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1DE09" w14:textId="187D8B75" w:rsidR="00E737BE" w:rsidRPr="00E737BE" w:rsidRDefault="00E737BE" w:rsidP="00E737BE">
      <w:pPr>
        <w:jc w:val="center"/>
        <w:rPr>
          <w:b/>
          <w:bCs/>
        </w:rPr>
      </w:pPr>
      <w:r w:rsidRPr="00E737BE">
        <w:rPr>
          <w:b/>
          <w:bCs/>
        </w:rPr>
        <w:t xml:space="preserve">Personality Predictors of Dementia </w:t>
      </w:r>
      <w:r w:rsidR="00EF769C">
        <w:rPr>
          <w:b/>
          <w:bCs/>
        </w:rPr>
        <w:t>Diagnosis and Neuropathic Burden</w:t>
      </w:r>
      <w:r w:rsidRPr="00E737BE">
        <w:rPr>
          <w:b/>
          <w:bCs/>
        </w:rPr>
        <w:t>: An Integrated Data Analysis</w:t>
      </w:r>
    </w:p>
    <w:p w14:paraId="0CD2FBF4" w14:textId="6869FFDB" w:rsidR="00E737BE" w:rsidRPr="00E737BE" w:rsidRDefault="00E737BE" w:rsidP="00E737BE">
      <w:pPr>
        <w:jc w:val="center"/>
      </w:pPr>
      <w:r w:rsidRPr="00E737BE">
        <w:t xml:space="preserve">Emorie D. Beck, Daniel K. </w:t>
      </w:r>
      <w:proofErr w:type="spellStart"/>
      <w:r w:rsidRPr="00E737BE">
        <w:t>Mroczek</w:t>
      </w:r>
      <w:proofErr w:type="spellEnd"/>
      <w:r w:rsidRPr="00E737BE">
        <w:t>, Eileen K. Graham</w:t>
      </w:r>
    </w:p>
    <w:p w14:paraId="458975E3" w14:textId="1D8C714D" w:rsidR="00E737BE" w:rsidRPr="00E737BE" w:rsidRDefault="00E737BE" w:rsidP="00E737BE">
      <w:pPr>
        <w:jc w:val="center"/>
        <w:rPr>
          <w:sz w:val="22"/>
          <w:szCs w:val="22"/>
        </w:rPr>
      </w:pPr>
      <w:r w:rsidRPr="00E737BE">
        <w:rPr>
          <w:sz w:val="22"/>
          <w:szCs w:val="22"/>
        </w:rPr>
        <w:t>Feinberg School of Medicine, Northwestern University</w:t>
      </w:r>
    </w:p>
    <w:p w14:paraId="2FE360EE" w14:textId="77777777" w:rsidR="00E737BE" w:rsidRPr="00E737BE" w:rsidRDefault="00E737BE" w:rsidP="00E737BE">
      <w:pPr>
        <w:jc w:val="center"/>
      </w:pPr>
    </w:p>
    <w:p w14:paraId="0BDB5B67" w14:textId="15D2006A" w:rsidR="00EF769C" w:rsidRDefault="008F463E" w:rsidP="008F463E">
      <w:pPr>
        <w:ind w:firstLine="720"/>
      </w:pPr>
      <w:r w:rsidRPr="00E737BE">
        <w:t>Personality traits are relatively stable, dispositional patterns that differentiate people from one another (Roberts, Wood, &amp; Caspi, 2008). Personality traits are robust predictors of many life outcomes (Beck &amp; Jackson, 2020), including health outcomes such as disease onset (Weston et al., 2015), terminal cognitive decline (Wilson et al., 2015) and mortality risk (</w:t>
      </w:r>
      <w:proofErr w:type="spellStart"/>
      <w:r w:rsidRPr="00E737BE">
        <w:t>Mroczek</w:t>
      </w:r>
      <w:proofErr w:type="spellEnd"/>
      <w:r w:rsidRPr="00E737BE">
        <w:t xml:space="preserve"> &amp; Spiro, 2007, Graham et al., 2017). They also are critical predictors of important factors that lead to later disease or early mortality, most notably health behaviors (</w:t>
      </w:r>
      <w:proofErr w:type="spellStart"/>
      <w:r w:rsidRPr="00E737BE">
        <w:t>Turiano</w:t>
      </w:r>
      <w:proofErr w:type="spellEnd"/>
      <w:r w:rsidRPr="00E737BE">
        <w:t xml:space="preserve"> et al., 2014) and physician adherence (Hill &amp; Roberts, 2011). In fact, this is one mechanism by which psychological dimensions such as well-being or personality influence more distal health outcomes: via mediating factors such as lifestyle factors. Those with particular personality- or wellbeing-based predisposing factors may have slower rates of decline, </w:t>
      </w:r>
      <w:r w:rsidR="00EF769C">
        <w:t>which may reduce their risk of the</w:t>
      </w:r>
      <w:r w:rsidRPr="00E737BE">
        <w:t xml:space="preserve"> onset of dementia. Years or decades of better pre-onset health behaviors, or a more positive outlook pre-onset, may lead to slower </w:t>
      </w:r>
      <w:r w:rsidR="00EF769C">
        <w:t xml:space="preserve">cognitive </w:t>
      </w:r>
      <w:r w:rsidRPr="00E737BE">
        <w:t xml:space="preserve">declines </w:t>
      </w:r>
      <w:r w:rsidR="00EF769C">
        <w:t xml:space="preserve">that reduce the likelihood of incident dementia diagnoses </w:t>
      </w:r>
      <w:r w:rsidRPr="00E737BE">
        <w:t xml:space="preserve">compared to those without these predisposing factors. </w:t>
      </w:r>
    </w:p>
    <w:p w14:paraId="235FEFDD" w14:textId="40D1BE92" w:rsidR="00D92D90" w:rsidRDefault="00D92D90" w:rsidP="00D92D90">
      <w:pPr>
        <w:ind w:firstLine="720"/>
      </w:pPr>
      <w:r>
        <w:t xml:space="preserve">In recent years, two dominant paradigms for understanding personality and well-being have emerged. First, the Big Five (Extraversion, Agreeableness, Conscientiousness, Neuroticism, and Openness to Experience) have risen as parsimonious descriptive and predictive structure of the core personality characteristics within a population. Indeed, </w:t>
      </w:r>
      <w:r w:rsidRPr="00D92D90">
        <w:t xml:space="preserve">there now exists a deep literature describing the extent to which the Big Five have been recovered across cultures (Benet-Martínez &amp; John, 1998; McCrae &amp; </w:t>
      </w:r>
      <w:proofErr w:type="spellStart"/>
      <w:r w:rsidRPr="00D92D90">
        <w:t>Terracciano</w:t>
      </w:r>
      <w:proofErr w:type="spellEnd"/>
      <w:r w:rsidRPr="00D92D90">
        <w:t>, 2005), languages (</w:t>
      </w:r>
      <w:proofErr w:type="spellStart"/>
      <w:r w:rsidRPr="00D92D90">
        <w:t>Denissen</w:t>
      </w:r>
      <w:proofErr w:type="spellEnd"/>
      <w:r w:rsidRPr="00D92D90">
        <w:t xml:space="preserve">, </w:t>
      </w:r>
      <w:proofErr w:type="spellStart"/>
      <w:r w:rsidRPr="00D92D90">
        <w:t>Geenen</w:t>
      </w:r>
      <w:proofErr w:type="spellEnd"/>
      <w:r w:rsidRPr="00D92D90">
        <w:t xml:space="preserve">, van </w:t>
      </w:r>
      <w:proofErr w:type="spellStart"/>
      <w:r w:rsidRPr="00D92D90">
        <w:t>Aken</w:t>
      </w:r>
      <w:proofErr w:type="spellEnd"/>
      <w:r w:rsidRPr="00D92D90">
        <w:t xml:space="preserve">, Gosling, &amp; Potter, 2008; Saucier &amp; Ostendorf, 1999), and age categories (Marsh, </w:t>
      </w:r>
      <w:proofErr w:type="spellStart"/>
      <w:r w:rsidRPr="00D92D90">
        <w:t>Nagengast</w:t>
      </w:r>
      <w:proofErr w:type="spellEnd"/>
      <w:r w:rsidRPr="00D92D90">
        <w:t>, &amp; Morin, 2012; McCrae et al., 1999).</w:t>
      </w:r>
      <w:r>
        <w:t xml:space="preserve"> Moreover, the Big Five have strong and replicable predictive utility (Ozer &amp; B</w:t>
      </w:r>
      <w:r w:rsidR="00CD2943">
        <w:t>e</w:t>
      </w:r>
      <w:r>
        <w:t>net-Martinez, 2005; Soto, 2019) across ages, studies, countries, covariates, moderators, and decades between personality and outcome measurement (Beck &amp; Jackson, 2020). For well-being, the last two decades have seen the rise of Subjective Well-Being, a tripartite construct consisting of positive affect, negative affect, and satisfaction with life, that captures the core aspects of psychological well-being within a population</w:t>
      </w:r>
      <w:r w:rsidR="00CD2943">
        <w:t xml:space="preserve"> (Diener, </w:t>
      </w:r>
      <w:proofErr w:type="spellStart"/>
      <w:r w:rsidR="00CD2943">
        <w:t>Sapyta</w:t>
      </w:r>
      <w:proofErr w:type="spellEnd"/>
      <w:r w:rsidR="00CD2943">
        <w:t>, &amp; Suh, 1998; Diener, Suh, Lucas, &amp; Smith, 1999)</w:t>
      </w:r>
      <w:r>
        <w:t>. Like the Big Five, Subjective Well-Being has demonstrated important descriptive and predictive power across cultures</w:t>
      </w:r>
      <w:r w:rsidR="00CD2943">
        <w:t xml:space="preserve"> (Diener &amp; Suh</w:t>
      </w:r>
      <w:r w:rsidR="003E4A44">
        <w:t>, 2003; Oishi &amp; Diener, 2009)</w:t>
      </w:r>
      <w:r>
        <w:t>, languages</w:t>
      </w:r>
      <w:r w:rsidR="003E4A44">
        <w:t xml:space="preserve"> (</w:t>
      </w:r>
      <w:proofErr w:type="spellStart"/>
      <w:r w:rsidR="003E4A44">
        <w:t>Jaidka</w:t>
      </w:r>
      <w:proofErr w:type="spellEnd"/>
      <w:r w:rsidR="003E4A44">
        <w:t xml:space="preserve"> et al., 2020)</w:t>
      </w:r>
      <w:r>
        <w:t>, and age categories</w:t>
      </w:r>
      <w:r w:rsidR="003E4A44">
        <w:t xml:space="preserve"> (Diener &amp; Suh, 1997).</w:t>
      </w:r>
    </w:p>
    <w:p w14:paraId="3DBB6F74" w14:textId="5D03524F" w:rsidR="0032646C" w:rsidRPr="0032646C" w:rsidRDefault="0032646C" w:rsidP="0032646C">
      <w:pPr>
        <w:jc w:val="center"/>
        <w:rPr>
          <w:b/>
          <w:bCs/>
        </w:rPr>
      </w:pPr>
      <w:r w:rsidRPr="0032646C">
        <w:rPr>
          <w:b/>
          <w:bCs/>
        </w:rPr>
        <w:t>Personality, Well-Being, and Dementia</w:t>
      </w:r>
    </w:p>
    <w:p w14:paraId="68327034" w14:textId="37E9B594" w:rsidR="008F463E" w:rsidRPr="00E737BE" w:rsidRDefault="00D92D90" w:rsidP="00D92D90">
      <w:pPr>
        <w:ind w:firstLine="720"/>
      </w:pPr>
      <w:r>
        <w:t xml:space="preserve">Previous research has demonstrated that personality and well-being </w:t>
      </w:r>
      <w:r w:rsidR="00EF769C">
        <w:t>prospectively predict later dementia diagnoses. Conscientiousness and Neuroticism, in particular</w:t>
      </w:r>
      <w:r w:rsidR="003E4A44">
        <w:t>,</w:t>
      </w:r>
      <w:r w:rsidR="00EF769C">
        <w:t xml:space="preserve"> have been consistently linked to dementia, with Conscientiousness serving as a protective factor and Neuroticism as a risk factor (</w:t>
      </w:r>
      <w:r w:rsidR="00EF769C" w:rsidRPr="00EF769C">
        <w:t xml:space="preserve">Duberstein et al., 2011; </w:t>
      </w:r>
      <w:proofErr w:type="spellStart"/>
      <w:r w:rsidR="00EF769C" w:rsidRPr="00EF769C">
        <w:t>Terracciano</w:t>
      </w:r>
      <w:proofErr w:type="spellEnd"/>
      <w:r w:rsidR="00EF769C" w:rsidRPr="00EF769C">
        <w:t xml:space="preserve"> et al., 2013, 2014; Wilson, Schneider, Arnold, </w:t>
      </w:r>
      <w:proofErr w:type="spellStart"/>
      <w:r w:rsidR="00EF769C" w:rsidRPr="00EF769C">
        <w:t>Bienias</w:t>
      </w:r>
      <w:proofErr w:type="spellEnd"/>
      <w:r w:rsidR="00EF769C" w:rsidRPr="00EF769C">
        <w:t>, &amp; Bennett, 2007</w:t>
      </w:r>
      <w:r w:rsidR="00EF769C">
        <w:t>). Extraversion has consistently had no relationship to incident dementia diagnoses, while Agreeableness and Openness have been differentially linked to dementia diagnoses across the studies in which they have been examined (</w:t>
      </w:r>
      <w:r w:rsidR="00EF769C" w:rsidRPr="00EF769C">
        <w:t>Duberstein et al., 2011</w:t>
      </w:r>
      <w:r w:rsidR="00EF769C">
        <w:t xml:space="preserve">; </w:t>
      </w:r>
      <w:proofErr w:type="spellStart"/>
      <w:r w:rsidR="00EF769C" w:rsidRPr="00EF769C">
        <w:t>Terracciano</w:t>
      </w:r>
      <w:proofErr w:type="spellEnd"/>
      <w:r w:rsidR="00EF769C" w:rsidRPr="00EF769C">
        <w:t xml:space="preserve"> et al., 201</w:t>
      </w:r>
      <w:r w:rsidR="00EF769C">
        <w:t xml:space="preserve">4). </w:t>
      </w:r>
      <w:r>
        <w:t>Although Subjective Well-Being has largely been examined following – rather than preceding – dementia diagnoses, there is some evidence that satisfaction with life is a protective factor against dementia diagnoses (</w:t>
      </w:r>
      <w:proofErr w:type="spellStart"/>
      <w:r w:rsidRPr="00D92D90">
        <w:t>Peitsch</w:t>
      </w:r>
      <w:proofErr w:type="spellEnd"/>
      <w:r w:rsidRPr="00D92D90">
        <w:t xml:space="preserve">, </w:t>
      </w:r>
      <w:proofErr w:type="spellStart"/>
      <w:r w:rsidRPr="00D92D90">
        <w:t>Tyas</w:t>
      </w:r>
      <w:proofErr w:type="spellEnd"/>
      <w:r w:rsidRPr="00D92D90">
        <w:t xml:space="preserve">, </w:t>
      </w:r>
      <w:proofErr w:type="spellStart"/>
      <w:r w:rsidRPr="00D92D90">
        <w:t>Menec</w:t>
      </w:r>
      <w:proofErr w:type="spellEnd"/>
      <w:r w:rsidRPr="00D92D90">
        <w:t>, &amp; St John, 2016</w:t>
      </w:r>
      <w:r>
        <w:t>).</w:t>
      </w:r>
    </w:p>
    <w:p w14:paraId="4E146AC5" w14:textId="0C71605B" w:rsidR="0036260E" w:rsidRDefault="008F463E" w:rsidP="00D92D90">
      <w:pPr>
        <w:ind w:firstLine="720"/>
      </w:pPr>
      <w:r w:rsidRPr="00E737BE">
        <w:lastRenderedPageBreak/>
        <w:t>Despite important advances of personality predictors of dementia, previous research leaves an incomplete picture of personality-dementia relationships. First, personality predictors of dementia onset and progression have not been investigated in a multi-study format.</w:t>
      </w:r>
      <w:r w:rsidR="003E4A44">
        <w:t xml:space="preserve"> T</w:t>
      </w:r>
      <w:r w:rsidR="003E4A44" w:rsidRPr="00E737BE">
        <w:t>he use of multiple studies is necessary to test the robustness of such associations across samples, measures, and time</w:t>
      </w:r>
      <w:r w:rsidR="003E4A44">
        <w:t xml:space="preserve">. </w:t>
      </w:r>
      <w:r w:rsidR="0036260E">
        <w:t xml:space="preserve">Given that different personality and well-being characteristics </w:t>
      </w:r>
      <w:r w:rsidR="003E4A44">
        <w:t xml:space="preserve">have </w:t>
      </w:r>
      <w:r w:rsidR="0036260E">
        <w:t xml:space="preserve">been differentially predictive of dementia diagnoses and neuropathic burden across studies, it is critical to examine the consistency of such associations across studies to determine their robustness and examine the study-level properties that may underlie such inconsistencies. </w:t>
      </w:r>
      <w:r w:rsidR="003E4A44">
        <w:t>Although traditional meta-analyses have investigated such relationships, their reliance on published effect sizes, which reflect the timing of publication and analytic choices made by different investigators, result in less than ideal final estimates of robustness.</w:t>
      </w:r>
      <w:r w:rsidR="003E4A44" w:rsidRPr="00E737BE">
        <w:t xml:space="preserve"> </w:t>
      </w:r>
      <w:r w:rsidR="003E4A44">
        <w:t>Even when personality and well-being predictors of dementia have been investigated in samples previously, pooling them together provides a more direct avenue for testing overall and study-specific effects as well as what underlies them.</w:t>
      </w:r>
    </w:p>
    <w:p w14:paraId="6CCB2740" w14:textId="435D958A" w:rsidR="0086377F" w:rsidRDefault="008F463E" w:rsidP="00D92D90">
      <w:pPr>
        <w:ind w:firstLine="720"/>
      </w:pPr>
      <w:r w:rsidRPr="00E737BE">
        <w:t>Second, most studies to date have examined simple personality-dementia relationships, which ignores individual differences in pathology</w:t>
      </w:r>
      <w:r w:rsidR="003E4A44">
        <w:t xml:space="preserve"> </w:t>
      </w:r>
      <w:r w:rsidR="003E4A44" w:rsidRPr="00E737BE">
        <w:t xml:space="preserve">(see </w:t>
      </w:r>
      <w:proofErr w:type="spellStart"/>
      <w:r w:rsidR="003E4A44" w:rsidRPr="00E737BE">
        <w:t>Duchek</w:t>
      </w:r>
      <w:proofErr w:type="spellEnd"/>
      <w:r w:rsidR="003E4A44" w:rsidRPr="00E737BE">
        <w:t xml:space="preserve"> et al., 2019</w:t>
      </w:r>
      <w:r w:rsidR="003E4A44">
        <w:t xml:space="preserve">; </w:t>
      </w:r>
      <w:proofErr w:type="spellStart"/>
      <w:r w:rsidR="003E4A44" w:rsidRPr="00D92D90">
        <w:t>Terracciano</w:t>
      </w:r>
      <w:proofErr w:type="spellEnd"/>
      <w:r w:rsidR="003E4A44" w:rsidRPr="00D92D90">
        <w:t xml:space="preserve"> et al., 2013</w:t>
      </w:r>
      <w:r w:rsidR="003E4A44">
        <w:t xml:space="preserve"> </w:t>
      </w:r>
      <w:r w:rsidR="003E4A44" w:rsidRPr="00E737BE">
        <w:t>for exception</w:t>
      </w:r>
      <w:r w:rsidR="003E4A44">
        <w:t>s</w:t>
      </w:r>
      <w:r w:rsidR="003E4A44" w:rsidRPr="00E737BE">
        <w:t>)</w:t>
      </w:r>
      <w:r w:rsidRPr="00E737BE">
        <w:t xml:space="preserve">. However, an increasing number of studies, such as the ongoing </w:t>
      </w:r>
      <w:r w:rsidR="0011420C">
        <w:t>BLSA</w:t>
      </w:r>
      <w:r w:rsidRPr="00E737BE">
        <w:t xml:space="preserve"> studies, are beginning to collect post-mortem autopsy data using criteria set forth by the joint working group of the National Institute of Neurological and Communicative Disorders and Stroke and the Alzheimer’s Disease and Related Disorders Association. Such an endeavor provides a number of neuropathological measures that capture the degree and type of Alzheimer’s disease. Examining-personality-neuropathology relationships may reveal important pathways through which lifestyle behaviors </w:t>
      </w:r>
      <w:r w:rsidR="0036260E">
        <w:t xml:space="preserve">and psychological experiences </w:t>
      </w:r>
      <w:r w:rsidRPr="00E737BE">
        <w:t xml:space="preserve">predict specific </w:t>
      </w:r>
      <w:r w:rsidR="00804DD4" w:rsidRPr="00E737BE">
        <w:t>kinds and degrees of pathology in ways that may provide avenues for early intervention and targeting.</w:t>
      </w:r>
    </w:p>
    <w:p w14:paraId="1F6F88AE" w14:textId="3F544F27" w:rsidR="0036260E" w:rsidRDefault="0036260E" w:rsidP="00D92D90">
      <w:pPr>
        <w:ind w:firstLine="720"/>
      </w:pPr>
      <w:r>
        <w:t xml:space="preserve">In the proposed study, </w:t>
      </w:r>
      <w:r w:rsidR="00A3309D">
        <w:t xml:space="preserve">we ask two questions. First, do personality and well-being predict later dementia diagnoses? Second, do personality and well-being predict different indicators of neuropathic burden? To do so, </w:t>
      </w:r>
      <w:r>
        <w:t xml:space="preserve">we will examine whether the Big Five and Subjective Well-Being predict dementia diagnoses in nine studies and neuropathic burden in </w:t>
      </w:r>
      <w:r w:rsidR="009653EE">
        <w:t>five</w:t>
      </w:r>
      <w:r>
        <w:t xml:space="preserve"> studies using an integrated analysis framework. The proposed study is the first of its kind to examine personality and well-being predictors of dementia in a multi-study framework, which will allow us to estimate the overall robustness of personality and well-being predictors of dementia and pathology while preserving real and important heterogeneity in prediction across studies. </w:t>
      </w:r>
    </w:p>
    <w:p w14:paraId="2C5AA99A" w14:textId="791889C7" w:rsidR="0032646C" w:rsidRPr="0032646C" w:rsidRDefault="0032646C" w:rsidP="0032646C">
      <w:pPr>
        <w:jc w:val="center"/>
        <w:rPr>
          <w:b/>
          <w:bCs/>
        </w:rPr>
      </w:pPr>
      <w:r w:rsidRPr="0032646C">
        <w:rPr>
          <w:b/>
          <w:bCs/>
        </w:rPr>
        <w:t>Method</w:t>
      </w:r>
    </w:p>
    <w:p w14:paraId="74DC8B19" w14:textId="12AE4FB6" w:rsidR="00804DD4" w:rsidRPr="00E737BE" w:rsidRDefault="00804DD4" w:rsidP="008F463E">
      <w:pPr>
        <w:ind w:firstLine="720"/>
      </w:pPr>
      <w:r w:rsidRPr="00E737BE">
        <w:t>The proposed study will examine the relationship between baseline personality</w:t>
      </w:r>
      <w:r w:rsidR="009653EE">
        <w:t xml:space="preserve"> </w:t>
      </w:r>
      <w:r w:rsidRPr="00E737BE">
        <w:t xml:space="preserve">and dementia </w:t>
      </w:r>
      <w:r w:rsidR="00436AEC">
        <w:t xml:space="preserve">diagnosis </w:t>
      </w:r>
      <w:r w:rsidR="009653EE">
        <w:t xml:space="preserve">in eight longitudinal studies </w:t>
      </w:r>
      <w:r w:rsidR="00436AEC">
        <w:t>and</w:t>
      </w:r>
      <w:r w:rsidRPr="00E737BE">
        <w:t xml:space="preserve"> neuropathic burden using </w:t>
      </w:r>
      <w:r w:rsidR="009653EE">
        <w:t>five</w:t>
      </w:r>
      <w:r w:rsidRPr="00E737BE">
        <w:t xml:space="preserve"> longitudinal studies</w:t>
      </w:r>
      <w:r w:rsidR="009653EE">
        <w:t>. Diagnoses will be examined using</w:t>
      </w:r>
      <w:r w:rsidRPr="00E737BE">
        <w:t xml:space="preserve"> </w:t>
      </w:r>
      <w:r w:rsidR="009653EE">
        <w:t xml:space="preserve">(1) </w:t>
      </w:r>
      <w:r w:rsidRPr="00E737BE">
        <w:t xml:space="preserve">the RUSH Memory and Aging Project, </w:t>
      </w:r>
      <w:r w:rsidR="009653EE">
        <w:t xml:space="preserve">(2) </w:t>
      </w:r>
      <w:r w:rsidRPr="00E737BE">
        <w:t>the RUSH Religious Orders Study</w:t>
      </w:r>
      <w:r w:rsidR="009653EE">
        <w:t xml:space="preserve">, (3) </w:t>
      </w:r>
      <w:r w:rsidRPr="00E737BE">
        <w:t xml:space="preserve">the ADRC Memory and Aging Project, </w:t>
      </w:r>
      <w:r w:rsidR="009653EE">
        <w:t xml:space="preserve">(4) the Einstein Aging Study, (5) </w:t>
      </w:r>
      <w:r w:rsidRPr="00E737BE">
        <w:t>the Baltimore Longitudinal Study</w:t>
      </w:r>
      <w:r w:rsidR="009653EE">
        <w:t xml:space="preserve">, (6) The Swedish Adoption Twin Study of Aging, (7) the German Socioeconomic Panel, (8) </w:t>
      </w:r>
      <w:r w:rsidR="009653EE" w:rsidRPr="009653EE">
        <w:t>The Longitudinal Studies for the Social sciences</w:t>
      </w:r>
      <w:r w:rsidR="009653EE">
        <w:t>, and (9) The Health and Retirement Study</w:t>
      </w:r>
      <w:r w:rsidRPr="00E737BE">
        <w:t xml:space="preserve">. </w:t>
      </w:r>
      <w:r w:rsidR="009653EE">
        <w:t xml:space="preserve">Neuropathic burden will be examined using the first five studies listed above. </w:t>
      </w:r>
      <w:r w:rsidRPr="00E737BE">
        <w:t xml:space="preserve">These </w:t>
      </w:r>
      <w:r w:rsidR="009653EE">
        <w:t>five</w:t>
      </w:r>
      <w:r w:rsidRPr="00E737BE">
        <w:t xml:space="preserve"> studies are unique in that they include personality, well-being, cognitive ability, dementia diagnoses and indicators, and background variables longitudinally, which allows for important extensions of previously addressed questions. Moreover, all analyses </w:t>
      </w:r>
      <w:r w:rsidR="0032646C">
        <w:t>have</w:t>
      </w:r>
      <w:r w:rsidRPr="00E737BE">
        <w:t xml:space="preserve"> be</w:t>
      </w:r>
      <w:r w:rsidR="0032646C">
        <w:t>en</w:t>
      </w:r>
      <w:r w:rsidRPr="00E737BE">
        <w:t xml:space="preserve"> preregistered on the Open Science Framework</w:t>
      </w:r>
      <w:r w:rsidR="00BD78FB">
        <w:t xml:space="preserve"> (</w:t>
      </w:r>
      <w:r w:rsidR="00BD78FB" w:rsidRPr="00BD78FB">
        <w:t>https://osf.io/fmjv3</w:t>
      </w:r>
      <w:r w:rsidR="00BD78FB">
        <w:t>)</w:t>
      </w:r>
      <w:r w:rsidRPr="00E737BE">
        <w:t>, and all code and results (minus data) will be made available for enhanced reproducibility</w:t>
      </w:r>
      <w:r w:rsidR="0032646C">
        <w:t xml:space="preserve"> (</w:t>
      </w:r>
      <w:r w:rsidR="0032646C" w:rsidRPr="0032646C">
        <w:t>https://osf.io/dzty7/</w:t>
      </w:r>
      <w:r w:rsidR="0032646C">
        <w:t>)</w:t>
      </w:r>
      <w:r w:rsidRPr="00E737BE">
        <w:t xml:space="preserve">. </w:t>
      </w:r>
    </w:p>
    <w:p w14:paraId="7DB2F07E" w14:textId="6E3EBD0C" w:rsidR="00804DD4" w:rsidRPr="00E737BE" w:rsidRDefault="00804DD4" w:rsidP="008F463E">
      <w:pPr>
        <w:ind w:firstLine="720"/>
      </w:pPr>
      <w:r w:rsidRPr="00E737BE">
        <w:lastRenderedPageBreak/>
        <w:t>The analyses of these data will proceed in several parts. First, prior to any analyses, data will be cleaned according to preregistered criteria to harmonize data across studies. Second, using Bayesian multilevel logistic regression models, we will predict</w:t>
      </w:r>
      <w:r w:rsidR="0032646C">
        <w:t xml:space="preserve"> dementia diagnoses </w:t>
      </w:r>
      <w:r w:rsidRPr="00E737BE">
        <w:t>from personality and well-being measures. Doing so will both give us an overall estimate of the personality-</w:t>
      </w:r>
      <w:r w:rsidR="0032646C">
        <w:t>dementia</w:t>
      </w:r>
      <w:r w:rsidRPr="00E737BE">
        <w:t xml:space="preserve"> relationship and study-specific deviations from that. </w:t>
      </w:r>
      <w:r w:rsidR="00250307" w:rsidRPr="00E737BE">
        <w:t>Third</w:t>
      </w:r>
      <w:r w:rsidRPr="00E737BE">
        <w:t xml:space="preserve">, we will predict </w:t>
      </w:r>
      <w:r w:rsidR="00250307" w:rsidRPr="00E737BE">
        <w:t xml:space="preserve">neuropathic burden from personality and wellbeing using a series of Bayesian multilevel regression models. All of these models will include age, gender, </w:t>
      </w:r>
      <w:r w:rsidR="0032646C">
        <w:t xml:space="preserve">lifestyle </w:t>
      </w:r>
      <w:r w:rsidR="00250307" w:rsidRPr="00E737BE">
        <w:t>indicators</w:t>
      </w:r>
      <w:r w:rsidR="0032646C">
        <w:t xml:space="preserve"> (e.g., smoking) and health markers (e.g., previous diagnoses of other clinical disorders).</w:t>
      </w:r>
    </w:p>
    <w:p w14:paraId="1CC392F8" w14:textId="1B97FD57" w:rsidR="00250307" w:rsidRDefault="00250307" w:rsidP="008F463E">
      <w:pPr>
        <w:ind w:firstLine="720"/>
      </w:pPr>
      <w:r w:rsidRPr="00E737BE">
        <w:t xml:space="preserve">We believe that data collected by the </w:t>
      </w:r>
      <w:r w:rsidR="0011420C">
        <w:t>BLSA</w:t>
      </w:r>
      <w:r w:rsidRPr="00E737BE">
        <w:t xml:space="preserve"> are among just </w:t>
      </w:r>
      <w:r w:rsidR="0032646C">
        <w:t>five</w:t>
      </w:r>
      <w:r w:rsidRPr="00E737BE">
        <w:t xml:space="preserve"> studies in the world who have the requisite data needed to test the proposed questions. Moreover, we believe that understanding linkages between personality and dementia </w:t>
      </w:r>
      <w:r w:rsidR="0032646C">
        <w:t>diagnoses</w:t>
      </w:r>
      <w:r w:rsidRPr="00E737BE">
        <w:t xml:space="preserve"> have clear implications for studying risk factors of </w:t>
      </w:r>
      <w:r w:rsidR="0032646C">
        <w:t>dementia</w:t>
      </w:r>
      <w:r w:rsidRPr="00E737BE">
        <w:t xml:space="preserve"> in early life by offering clear behavioral pathways through which behaviors might change incident </w:t>
      </w:r>
      <w:r w:rsidR="0032646C">
        <w:t>dementia</w:t>
      </w:r>
      <w:r w:rsidRPr="00E737BE">
        <w:t xml:space="preserve"> risk. Our research team is uniquely suited to running the proposed analyses</w:t>
      </w:r>
      <w:r w:rsidR="0089623E">
        <w:t xml:space="preserve"> for three reasons. First, </w:t>
      </w:r>
      <w:r w:rsidRPr="00E737BE">
        <w:t xml:space="preserve">we have become experts in conducting large-scale </w:t>
      </w:r>
      <w:r w:rsidR="00E737BE" w:rsidRPr="00E737BE">
        <w:t xml:space="preserve">integrated and </w:t>
      </w:r>
      <w:r w:rsidRPr="00E737BE">
        <w:t>coordinated analyses</w:t>
      </w:r>
      <w:r w:rsidR="00E737BE" w:rsidRPr="00E737BE">
        <w:t xml:space="preserve"> of many large studies (e.g., Beck &amp; Jackson, 2020; Graham et al, 2017, 2020). </w:t>
      </w:r>
      <w:r w:rsidR="0089623E" w:rsidRPr="0089623E">
        <w:t>Second, the authors have ongoing relationships with many of the studies we propose to include in project. Third, the authors have strong financial support to carry out the proposed project. The research team is currently working under a five-year NIA grant entitled "Personality prediction of dementia risk and progression" (1R01AG067622).</w:t>
      </w:r>
    </w:p>
    <w:p w14:paraId="196531F0" w14:textId="5A398FF0" w:rsidR="0089623E" w:rsidRDefault="0089623E" w:rsidP="0089623E"/>
    <w:p w14:paraId="55EFAA4A" w14:textId="3DC2EE98" w:rsidR="0089623E" w:rsidRPr="00E737BE" w:rsidRDefault="0032646C" w:rsidP="0089623E">
      <w:r>
        <w:t xml:space="preserve">Based on the documentation available and a survey of the literature that has used </w:t>
      </w:r>
      <w:r w:rsidR="0089623E">
        <w:t xml:space="preserve">BLSA </w:t>
      </w:r>
      <w:r>
        <w:t xml:space="preserve">data, we </w:t>
      </w:r>
      <w:r w:rsidR="0089623E">
        <w:t xml:space="preserve">are hoping to gain access to the following categories of data: </w:t>
      </w:r>
    </w:p>
    <w:p w14:paraId="51AC18B3" w14:textId="77777777" w:rsidR="00E737BE" w:rsidRPr="00E737BE" w:rsidRDefault="00E737BE" w:rsidP="00E737BE"/>
    <w:p w14:paraId="70725BC7" w14:textId="77777777" w:rsidR="00E737BE" w:rsidRPr="00E737BE" w:rsidRDefault="00E737BE" w:rsidP="00E737BE">
      <w:r w:rsidRPr="0089623E">
        <w:rPr>
          <w:b/>
          <w:bCs/>
        </w:rPr>
        <w:t>Demographics</w:t>
      </w:r>
      <w:r w:rsidRPr="00E737BE">
        <w:t xml:space="preserve">: </w:t>
      </w:r>
    </w:p>
    <w:p w14:paraId="2AEDF491" w14:textId="437C0E99" w:rsidR="00E737BE" w:rsidRDefault="0089623E" w:rsidP="00E737BE">
      <w:r>
        <w:t>Participant</w:t>
      </w:r>
      <w:r w:rsidR="00E737BE" w:rsidRPr="00E737BE">
        <w:t xml:space="preserve"> ID</w:t>
      </w:r>
      <w:r>
        <w:t>s</w:t>
      </w:r>
      <w:r w:rsidR="00E737BE" w:rsidRPr="00E737BE">
        <w:t>; date of birth; date of death; gender; race and ethnicity; years of education; marital status</w:t>
      </w:r>
    </w:p>
    <w:p w14:paraId="0948E4C5" w14:textId="4C7CFD3B" w:rsidR="0089623E" w:rsidRDefault="0089623E" w:rsidP="00E737BE"/>
    <w:p w14:paraId="720BABF4" w14:textId="6AFF850E" w:rsidR="0089623E" w:rsidRDefault="0089623E" w:rsidP="00E737BE">
      <w:r w:rsidRPr="0089623E">
        <w:rPr>
          <w:b/>
          <w:bCs/>
        </w:rPr>
        <w:t>Personality</w:t>
      </w:r>
      <w:r>
        <w:t xml:space="preserve">: </w:t>
      </w:r>
    </w:p>
    <w:p w14:paraId="67A06C02" w14:textId="69756CFD" w:rsidR="0089623E" w:rsidRPr="00E737BE" w:rsidRDefault="0089623E" w:rsidP="00E737BE">
      <w:r>
        <w:t>240 item NEO-PI-R (beginning 1989)</w:t>
      </w:r>
    </w:p>
    <w:p w14:paraId="05CC37EB" w14:textId="77777777" w:rsidR="00E737BE" w:rsidRPr="00E737BE" w:rsidRDefault="00E737BE" w:rsidP="00E737BE"/>
    <w:p w14:paraId="0689F2AA" w14:textId="0C1CC21D" w:rsidR="00E737BE" w:rsidRPr="0089623E" w:rsidRDefault="0089623E" w:rsidP="00E737BE">
      <w:pPr>
        <w:rPr>
          <w:b/>
          <w:bCs/>
        </w:rPr>
      </w:pPr>
      <w:r w:rsidRPr="0089623E">
        <w:rPr>
          <w:b/>
          <w:bCs/>
        </w:rPr>
        <w:t>BLSA cognitive battery</w:t>
      </w:r>
      <w:r w:rsidR="00E737BE" w:rsidRPr="0089623E">
        <w:rPr>
          <w:b/>
          <w:bCs/>
        </w:rPr>
        <w:t xml:space="preserve">: </w:t>
      </w:r>
    </w:p>
    <w:p w14:paraId="2CA09AC6" w14:textId="25BA25A1" w:rsidR="0089623E" w:rsidRDefault="0089623E" w:rsidP="0089623E">
      <w:r>
        <w:t>- California Verbal Learning Test (</w:t>
      </w:r>
      <w:r w:rsidRPr="0089623E">
        <w:t>List A Total Correct, Free Recall</w:t>
      </w:r>
      <w:r>
        <w:t>, Short Delay, and Free Recall Long Delay)</w:t>
      </w:r>
    </w:p>
    <w:p w14:paraId="7292726D" w14:textId="318753AD" w:rsidR="0089623E" w:rsidRDefault="0089623E" w:rsidP="0089623E">
      <w:r>
        <w:t>- Category Fluency</w:t>
      </w:r>
    </w:p>
    <w:p w14:paraId="754EB0D5" w14:textId="6E84F482" w:rsidR="0089623E" w:rsidRDefault="0089623E" w:rsidP="0089623E">
      <w:r>
        <w:t>- Boston Naming Test</w:t>
      </w:r>
    </w:p>
    <w:p w14:paraId="2A952D0D" w14:textId="4182DE6B" w:rsidR="0089623E" w:rsidRDefault="0089623E" w:rsidP="0089623E">
      <w:r>
        <w:t>- Card Rotation</w:t>
      </w:r>
    </w:p>
    <w:p w14:paraId="33912C4C" w14:textId="0F728689" w:rsidR="0089623E" w:rsidRDefault="0089623E" w:rsidP="0089623E">
      <w:r>
        <w:t>- Trail-Making Test (Parts A&amp;B)</w:t>
      </w:r>
    </w:p>
    <w:p w14:paraId="752F1163" w14:textId="0DAF9CF5" w:rsidR="00E737BE" w:rsidRPr="00E737BE" w:rsidRDefault="0089623E" w:rsidP="0089623E">
      <w:r>
        <w:t>- Digit Span (Forward and Backward)</w:t>
      </w:r>
    </w:p>
    <w:p w14:paraId="779FE6AF" w14:textId="3C9D959E" w:rsidR="0089623E" w:rsidRPr="00E737BE" w:rsidRDefault="0089623E" w:rsidP="00E737BE"/>
    <w:p w14:paraId="5E9DCBE6" w14:textId="77777777" w:rsidR="00E737BE" w:rsidRPr="00E737BE" w:rsidRDefault="00E737BE" w:rsidP="00E737BE">
      <w:r w:rsidRPr="0089623E">
        <w:rPr>
          <w:b/>
          <w:bCs/>
        </w:rPr>
        <w:t>Health history</w:t>
      </w:r>
      <w:r w:rsidRPr="00E737BE">
        <w:t>: previous diagnoses of other illnesses (e.g., stroke, diabetes, cancer, etc.)</w:t>
      </w:r>
    </w:p>
    <w:p w14:paraId="66A424D9" w14:textId="77777777" w:rsidR="00E737BE" w:rsidRPr="00E737BE" w:rsidRDefault="00E737BE" w:rsidP="00E737BE">
      <w:r w:rsidRPr="00E737BE">
        <w:t>Self-rated health</w:t>
      </w:r>
    </w:p>
    <w:p w14:paraId="3783FFE4" w14:textId="77777777" w:rsidR="00E737BE" w:rsidRPr="00E737BE" w:rsidRDefault="00E737BE" w:rsidP="00E737BE"/>
    <w:p w14:paraId="0664196B" w14:textId="51085620" w:rsidR="00E737BE" w:rsidRPr="00E737BE" w:rsidRDefault="00E737BE" w:rsidP="00E737BE">
      <w:r w:rsidRPr="0089623E">
        <w:rPr>
          <w:b/>
          <w:bCs/>
        </w:rPr>
        <w:t>Neuropathology</w:t>
      </w:r>
      <w:r w:rsidR="0089623E">
        <w:rPr>
          <w:b/>
          <w:bCs/>
        </w:rPr>
        <w:t>,</w:t>
      </w:r>
      <w:r w:rsidR="0089623E">
        <w:t xml:space="preserve"> </w:t>
      </w:r>
      <w:r w:rsidRPr="00E737BE">
        <w:t xml:space="preserve">based on the National Alzheimer's Coordinating Center's Neuropathology Data Form: </w:t>
      </w:r>
    </w:p>
    <w:p w14:paraId="492FDDA3" w14:textId="77777777" w:rsidR="00E737BE" w:rsidRPr="00E737BE" w:rsidRDefault="00E737BE" w:rsidP="00E737BE">
      <w:r w:rsidRPr="00E737BE">
        <w:t xml:space="preserve">- </w:t>
      </w:r>
      <w:proofErr w:type="spellStart"/>
      <w:r w:rsidRPr="00E737BE">
        <w:t>Braak</w:t>
      </w:r>
      <w:proofErr w:type="spellEnd"/>
      <w:r w:rsidRPr="00E737BE">
        <w:t xml:space="preserve"> stage (0 to 6)  </w:t>
      </w:r>
    </w:p>
    <w:p w14:paraId="4C567FCB" w14:textId="77777777" w:rsidR="00E737BE" w:rsidRPr="00E737BE" w:rsidRDefault="00E737BE" w:rsidP="00E737BE">
      <w:r w:rsidRPr="00E737BE">
        <w:t xml:space="preserve">- CERAD (1 = definite to 4 = no AD)  </w:t>
      </w:r>
    </w:p>
    <w:p w14:paraId="0E4801FE" w14:textId="7794A0A0" w:rsidR="00E737BE" w:rsidRPr="00E737BE" w:rsidRDefault="00E737BE" w:rsidP="00E737BE">
      <w:r w:rsidRPr="00E737BE">
        <w:lastRenderedPageBreak/>
        <w:t>- Lewy Body Disease (</w:t>
      </w:r>
      <w:r w:rsidR="0032646C">
        <w:t>2-level: 0 = No, 1 = Yes</w:t>
      </w:r>
      <w:r w:rsidRPr="00E737BE">
        <w:t>)</w:t>
      </w:r>
    </w:p>
    <w:p w14:paraId="7B8117F1" w14:textId="77777777" w:rsidR="00E737BE" w:rsidRPr="00E737BE" w:rsidRDefault="00E737BE" w:rsidP="00E737BE">
      <w:r w:rsidRPr="00E737BE">
        <w:t xml:space="preserve">- Gross Cerebral Infarcts (0 = No, 1 = Yes)  </w:t>
      </w:r>
    </w:p>
    <w:p w14:paraId="2280769F" w14:textId="77777777" w:rsidR="00E737BE" w:rsidRPr="00E737BE" w:rsidRDefault="00E737BE" w:rsidP="00E737BE">
      <w:r w:rsidRPr="00E737BE">
        <w:t xml:space="preserve">- Gross Cerebral Microinfarcts (0 = No, 1 = Yes)  </w:t>
      </w:r>
    </w:p>
    <w:p w14:paraId="35536996" w14:textId="77777777" w:rsidR="00E737BE" w:rsidRPr="00E737BE" w:rsidRDefault="00E737BE" w:rsidP="00E737BE">
      <w:r w:rsidRPr="00E737BE">
        <w:t xml:space="preserve">- Cerebral Atherosclerosis (0 = none to 3 = severe)  </w:t>
      </w:r>
    </w:p>
    <w:p w14:paraId="5C065F54" w14:textId="77777777" w:rsidR="00E737BE" w:rsidRPr="00E737BE" w:rsidRDefault="00E737BE" w:rsidP="00E737BE">
      <w:r w:rsidRPr="00E737BE">
        <w:t xml:space="preserve">- Cerebral Amyloid Angiopathy (0 = none to 3 = severe)  </w:t>
      </w:r>
    </w:p>
    <w:p w14:paraId="7B84106C" w14:textId="77777777" w:rsidR="00E737BE" w:rsidRPr="00E737BE" w:rsidRDefault="00E737BE" w:rsidP="00E737BE">
      <w:r w:rsidRPr="00E737BE">
        <w:t xml:space="preserve">- Arteriolosclerosis (0 = none to 3 = severe)  </w:t>
      </w:r>
    </w:p>
    <w:p w14:paraId="4291FF5E" w14:textId="64BFAC51" w:rsidR="00E737BE" w:rsidRDefault="00E737BE" w:rsidP="00E737BE">
      <w:r w:rsidRPr="00E737BE">
        <w:t xml:space="preserve">- Hippocampal Sclerosis (0 = No, 1 = Yes) </w:t>
      </w:r>
    </w:p>
    <w:p w14:paraId="28427D2A" w14:textId="18C25C3E" w:rsidR="0089623E" w:rsidRDefault="0032646C" w:rsidP="00E737BE">
      <w:r>
        <w:t xml:space="preserve">Note: parenthetical coding </w:t>
      </w:r>
      <w:proofErr w:type="gramStart"/>
      <w:r>
        <w:t>reflect</w:t>
      </w:r>
      <w:proofErr w:type="gramEnd"/>
      <w:r>
        <w:t xml:space="preserve"> final coding used for analyses. Provided data will be recoded as necessary.</w:t>
      </w:r>
    </w:p>
    <w:p w14:paraId="4034BE49" w14:textId="0801EA8A" w:rsidR="00E737BE" w:rsidRPr="0011420C" w:rsidRDefault="00E737BE" w:rsidP="00E737BE">
      <w:pPr>
        <w:jc w:val="center"/>
        <w:rPr>
          <w:b/>
          <w:bCs/>
        </w:rPr>
      </w:pPr>
      <w:r w:rsidRPr="0011420C">
        <w:rPr>
          <w:b/>
          <w:bCs/>
        </w:rPr>
        <w:t>References</w:t>
      </w:r>
    </w:p>
    <w:p w14:paraId="5F3C2CD6" w14:textId="7019D278" w:rsidR="00E737BE" w:rsidRPr="0087137B" w:rsidRDefault="00E737BE" w:rsidP="0087137B">
      <w:pPr>
        <w:ind w:left="720" w:hanging="720"/>
        <w:rPr>
          <w:color w:val="222222"/>
          <w:shd w:val="clear" w:color="auto" w:fill="FFFFFF"/>
        </w:rPr>
      </w:pPr>
      <w:r w:rsidRPr="0087137B">
        <w:rPr>
          <w:color w:val="222222"/>
          <w:shd w:val="clear" w:color="auto" w:fill="FFFFFF"/>
        </w:rPr>
        <w:t>Beck, E.D.</w:t>
      </w:r>
      <w:r w:rsidR="0087137B" w:rsidRPr="0087137B">
        <w:rPr>
          <w:color w:val="222222"/>
          <w:shd w:val="clear" w:color="auto" w:fill="FFFFFF"/>
        </w:rPr>
        <w:t xml:space="preserve">, &amp; Jackson, J.J. (2020). A Mega-Analysis of Personality Prediction: Robustness and Boundary Conditions. </w:t>
      </w:r>
      <w:r w:rsidR="0011420C" w:rsidRPr="0087137B">
        <w:rPr>
          <w:color w:val="222222"/>
          <w:shd w:val="clear" w:color="auto" w:fill="FFFFFF"/>
        </w:rPr>
        <w:t>Manuscript</w:t>
      </w:r>
      <w:r w:rsidR="0087137B" w:rsidRPr="0087137B">
        <w:rPr>
          <w:color w:val="222222"/>
          <w:shd w:val="clear" w:color="auto" w:fill="FFFFFF"/>
        </w:rPr>
        <w:t xml:space="preserve"> under review.</w:t>
      </w:r>
    </w:p>
    <w:p w14:paraId="573466D9" w14:textId="77777777" w:rsidR="00CD2943" w:rsidRPr="00CD2943" w:rsidRDefault="00CD2943" w:rsidP="00CD2943">
      <w:pPr>
        <w:ind w:left="720" w:hanging="720"/>
        <w:rPr>
          <w:color w:val="222222"/>
          <w:shd w:val="clear" w:color="auto" w:fill="FFFFFF"/>
        </w:rPr>
      </w:pPr>
      <w:r w:rsidRPr="00CD2943">
        <w:rPr>
          <w:color w:val="222222"/>
          <w:shd w:val="clear" w:color="auto" w:fill="FFFFFF"/>
        </w:rPr>
        <w:t xml:space="preserve">Benet-Martinez, V., &amp; John, O. P. (1998). Los Cinco Grandes across cultures and ethnic groups: </w:t>
      </w:r>
      <w:proofErr w:type="spellStart"/>
      <w:r w:rsidRPr="00CD2943">
        <w:rPr>
          <w:color w:val="222222"/>
          <w:shd w:val="clear" w:color="auto" w:fill="FFFFFF"/>
        </w:rPr>
        <w:t>Multitrait</w:t>
      </w:r>
      <w:proofErr w:type="spellEnd"/>
      <w:r w:rsidRPr="00CD2943">
        <w:rPr>
          <w:color w:val="222222"/>
          <w:shd w:val="clear" w:color="auto" w:fill="FFFFFF"/>
        </w:rPr>
        <w:t>-multimethod analyses of the Big Five in Spanish and English. </w:t>
      </w:r>
      <w:r w:rsidRPr="00CD2943">
        <w:rPr>
          <w:i/>
          <w:iCs/>
          <w:color w:val="222222"/>
          <w:shd w:val="clear" w:color="auto" w:fill="FFFFFF"/>
        </w:rPr>
        <w:t>Journal of Personality and Social Psychology</w:t>
      </w:r>
      <w:r w:rsidRPr="00CD2943">
        <w:rPr>
          <w:color w:val="222222"/>
          <w:shd w:val="clear" w:color="auto" w:fill="FFFFFF"/>
        </w:rPr>
        <w:t>, </w:t>
      </w:r>
      <w:r w:rsidRPr="00CD2943">
        <w:rPr>
          <w:i/>
          <w:iCs/>
          <w:color w:val="222222"/>
          <w:shd w:val="clear" w:color="auto" w:fill="FFFFFF"/>
        </w:rPr>
        <w:t>75</w:t>
      </w:r>
      <w:r w:rsidRPr="00CD2943">
        <w:rPr>
          <w:color w:val="222222"/>
          <w:shd w:val="clear" w:color="auto" w:fill="FFFFFF"/>
        </w:rPr>
        <w:t>(3), 729.</w:t>
      </w:r>
    </w:p>
    <w:p w14:paraId="7AB362FA" w14:textId="77777777" w:rsidR="00CD2943" w:rsidRPr="00CD2943" w:rsidRDefault="00CD2943" w:rsidP="00CD2943">
      <w:pPr>
        <w:ind w:left="720" w:hanging="720"/>
        <w:rPr>
          <w:color w:val="222222"/>
          <w:shd w:val="clear" w:color="auto" w:fill="FFFFFF"/>
        </w:rPr>
      </w:pPr>
      <w:proofErr w:type="spellStart"/>
      <w:r w:rsidRPr="00CD2943">
        <w:rPr>
          <w:color w:val="222222"/>
          <w:shd w:val="clear" w:color="auto" w:fill="FFFFFF"/>
        </w:rPr>
        <w:t>Denissen</w:t>
      </w:r>
      <w:proofErr w:type="spellEnd"/>
      <w:r w:rsidRPr="00CD2943">
        <w:rPr>
          <w:color w:val="222222"/>
          <w:shd w:val="clear" w:color="auto" w:fill="FFFFFF"/>
        </w:rPr>
        <w:t xml:space="preserve">, J. J., </w:t>
      </w:r>
      <w:proofErr w:type="spellStart"/>
      <w:r w:rsidRPr="00CD2943">
        <w:rPr>
          <w:color w:val="222222"/>
          <w:shd w:val="clear" w:color="auto" w:fill="FFFFFF"/>
        </w:rPr>
        <w:t>Geenen</w:t>
      </w:r>
      <w:proofErr w:type="spellEnd"/>
      <w:r w:rsidRPr="00CD2943">
        <w:rPr>
          <w:color w:val="222222"/>
          <w:shd w:val="clear" w:color="auto" w:fill="FFFFFF"/>
        </w:rPr>
        <w:t xml:space="preserve">, R., Van </w:t>
      </w:r>
      <w:proofErr w:type="spellStart"/>
      <w:r w:rsidRPr="00CD2943">
        <w:rPr>
          <w:color w:val="222222"/>
          <w:shd w:val="clear" w:color="auto" w:fill="FFFFFF"/>
        </w:rPr>
        <w:t>Aken</w:t>
      </w:r>
      <w:proofErr w:type="spellEnd"/>
      <w:r w:rsidRPr="00CD2943">
        <w:rPr>
          <w:color w:val="222222"/>
          <w:shd w:val="clear" w:color="auto" w:fill="FFFFFF"/>
        </w:rPr>
        <w:t>, M. A., Gosling, S. D., &amp; Potter, J. (2008). Development and validation of a Dutch translation of the Big Five Inventory (BFI). </w:t>
      </w:r>
      <w:r w:rsidRPr="00CD2943">
        <w:rPr>
          <w:i/>
          <w:iCs/>
          <w:color w:val="222222"/>
          <w:shd w:val="clear" w:color="auto" w:fill="FFFFFF"/>
        </w:rPr>
        <w:t>Journal of personality Assessment</w:t>
      </w:r>
      <w:r w:rsidRPr="00CD2943">
        <w:rPr>
          <w:color w:val="222222"/>
          <w:shd w:val="clear" w:color="auto" w:fill="FFFFFF"/>
        </w:rPr>
        <w:t>, </w:t>
      </w:r>
      <w:r w:rsidRPr="00CD2943">
        <w:rPr>
          <w:i/>
          <w:iCs/>
          <w:color w:val="222222"/>
          <w:shd w:val="clear" w:color="auto" w:fill="FFFFFF"/>
        </w:rPr>
        <w:t>90</w:t>
      </w:r>
      <w:r w:rsidRPr="00CD2943">
        <w:rPr>
          <w:color w:val="222222"/>
          <w:shd w:val="clear" w:color="auto" w:fill="FFFFFF"/>
        </w:rPr>
        <w:t>(2), 152-157.</w:t>
      </w:r>
    </w:p>
    <w:p w14:paraId="237E0159" w14:textId="77777777" w:rsidR="00CD2943" w:rsidRPr="00CD2943" w:rsidRDefault="00CD2943" w:rsidP="00CD2943">
      <w:pPr>
        <w:ind w:left="720" w:hanging="720"/>
        <w:rPr>
          <w:color w:val="222222"/>
          <w:shd w:val="clear" w:color="auto" w:fill="FFFFFF"/>
        </w:rPr>
      </w:pPr>
      <w:r w:rsidRPr="00CD2943">
        <w:rPr>
          <w:color w:val="222222"/>
          <w:shd w:val="clear" w:color="auto" w:fill="FFFFFF"/>
        </w:rPr>
        <w:t xml:space="preserve">Diener, E., </w:t>
      </w:r>
      <w:proofErr w:type="spellStart"/>
      <w:r w:rsidRPr="00CD2943">
        <w:rPr>
          <w:color w:val="222222"/>
          <w:shd w:val="clear" w:color="auto" w:fill="FFFFFF"/>
        </w:rPr>
        <w:t>Sapyta</w:t>
      </w:r>
      <w:proofErr w:type="spellEnd"/>
      <w:r w:rsidRPr="00CD2943">
        <w:rPr>
          <w:color w:val="222222"/>
          <w:shd w:val="clear" w:color="auto" w:fill="FFFFFF"/>
        </w:rPr>
        <w:t>, J. J., &amp; Suh, E. (1998). Subjective well-being is essential to well-being. </w:t>
      </w:r>
      <w:r w:rsidRPr="00CD2943">
        <w:rPr>
          <w:i/>
          <w:iCs/>
          <w:color w:val="222222"/>
          <w:shd w:val="clear" w:color="auto" w:fill="FFFFFF"/>
        </w:rPr>
        <w:t>Psychological inquiry</w:t>
      </w:r>
      <w:r w:rsidRPr="00CD2943">
        <w:rPr>
          <w:color w:val="222222"/>
          <w:shd w:val="clear" w:color="auto" w:fill="FFFFFF"/>
        </w:rPr>
        <w:t>, </w:t>
      </w:r>
      <w:r w:rsidRPr="00CD2943">
        <w:rPr>
          <w:i/>
          <w:iCs/>
          <w:color w:val="222222"/>
          <w:shd w:val="clear" w:color="auto" w:fill="FFFFFF"/>
        </w:rPr>
        <w:t>9</w:t>
      </w:r>
      <w:r w:rsidRPr="00CD2943">
        <w:rPr>
          <w:color w:val="222222"/>
          <w:shd w:val="clear" w:color="auto" w:fill="FFFFFF"/>
        </w:rPr>
        <w:t>(1), 33-37.</w:t>
      </w:r>
    </w:p>
    <w:p w14:paraId="0C69D252" w14:textId="77777777" w:rsidR="003E4A44" w:rsidRPr="003E4A44" w:rsidRDefault="003E4A44" w:rsidP="003E4A44">
      <w:pPr>
        <w:ind w:left="720" w:hanging="720"/>
        <w:rPr>
          <w:color w:val="222222"/>
          <w:shd w:val="clear" w:color="auto" w:fill="FFFFFF"/>
        </w:rPr>
      </w:pPr>
      <w:r w:rsidRPr="003E4A44">
        <w:rPr>
          <w:color w:val="222222"/>
          <w:shd w:val="clear" w:color="auto" w:fill="FFFFFF"/>
        </w:rPr>
        <w:t>Diener, E., &amp; Suh, M. E. (1997). Subjective well-being and age: An international analysis. </w:t>
      </w:r>
      <w:r w:rsidRPr="003E4A44">
        <w:rPr>
          <w:i/>
          <w:iCs/>
          <w:color w:val="222222"/>
          <w:shd w:val="clear" w:color="auto" w:fill="FFFFFF"/>
        </w:rPr>
        <w:t>Annual review of gerontology and geriatrics</w:t>
      </w:r>
      <w:r w:rsidRPr="003E4A44">
        <w:rPr>
          <w:color w:val="222222"/>
          <w:shd w:val="clear" w:color="auto" w:fill="FFFFFF"/>
        </w:rPr>
        <w:t>, </w:t>
      </w:r>
      <w:r w:rsidRPr="003E4A44">
        <w:rPr>
          <w:i/>
          <w:iCs/>
          <w:color w:val="222222"/>
          <w:shd w:val="clear" w:color="auto" w:fill="FFFFFF"/>
        </w:rPr>
        <w:t>17</w:t>
      </w:r>
      <w:r w:rsidRPr="003E4A44">
        <w:rPr>
          <w:color w:val="222222"/>
          <w:shd w:val="clear" w:color="auto" w:fill="FFFFFF"/>
        </w:rPr>
        <w:t>(1), 304-324.</w:t>
      </w:r>
    </w:p>
    <w:p w14:paraId="31E4C5A0" w14:textId="77777777" w:rsidR="003E4A44" w:rsidRPr="003E4A44" w:rsidRDefault="003E4A44" w:rsidP="003E4A44">
      <w:pPr>
        <w:ind w:left="720" w:hanging="720"/>
        <w:rPr>
          <w:color w:val="222222"/>
          <w:shd w:val="clear" w:color="auto" w:fill="FFFFFF"/>
        </w:rPr>
      </w:pPr>
      <w:r w:rsidRPr="003E4A44">
        <w:rPr>
          <w:color w:val="222222"/>
          <w:shd w:val="clear" w:color="auto" w:fill="FFFFFF"/>
        </w:rPr>
        <w:t>Diener, E., &amp; Suh, E. M. (Eds.). (2003). </w:t>
      </w:r>
      <w:r w:rsidRPr="003E4A44">
        <w:rPr>
          <w:i/>
          <w:iCs/>
          <w:color w:val="222222"/>
          <w:shd w:val="clear" w:color="auto" w:fill="FFFFFF"/>
        </w:rPr>
        <w:t>Culture and subjective well-being</w:t>
      </w:r>
      <w:r w:rsidRPr="003E4A44">
        <w:rPr>
          <w:color w:val="222222"/>
          <w:shd w:val="clear" w:color="auto" w:fill="FFFFFF"/>
        </w:rPr>
        <w:t>. MIT press.</w:t>
      </w:r>
    </w:p>
    <w:p w14:paraId="78467F13" w14:textId="77777777" w:rsidR="00CD2943" w:rsidRPr="00CD2943" w:rsidRDefault="00CD2943" w:rsidP="00CD2943">
      <w:pPr>
        <w:ind w:left="720" w:hanging="720"/>
        <w:rPr>
          <w:color w:val="222222"/>
          <w:shd w:val="clear" w:color="auto" w:fill="FFFFFF"/>
        </w:rPr>
      </w:pPr>
      <w:r w:rsidRPr="00CD2943">
        <w:rPr>
          <w:color w:val="222222"/>
          <w:shd w:val="clear" w:color="auto" w:fill="FFFFFF"/>
        </w:rPr>
        <w:t>Diener, E., Suh, E. M., Lucas, R. E., &amp; Smith, H. L. (1999). Subjective well-being: Three decades of progress. </w:t>
      </w:r>
      <w:r w:rsidRPr="00CD2943">
        <w:rPr>
          <w:i/>
          <w:iCs/>
          <w:color w:val="222222"/>
          <w:shd w:val="clear" w:color="auto" w:fill="FFFFFF"/>
        </w:rPr>
        <w:t>Psychological bulletin</w:t>
      </w:r>
      <w:r w:rsidRPr="00CD2943">
        <w:rPr>
          <w:color w:val="222222"/>
          <w:shd w:val="clear" w:color="auto" w:fill="FFFFFF"/>
        </w:rPr>
        <w:t>, </w:t>
      </w:r>
      <w:r w:rsidRPr="00CD2943">
        <w:rPr>
          <w:i/>
          <w:iCs/>
          <w:color w:val="222222"/>
          <w:shd w:val="clear" w:color="auto" w:fill="FFFFFF"/>
        </w:rPr>
        <w:t>125</w:t>
      </w:r>
      <w:r w:rsidRPr="00CD2943">
        <w:rPr>
          <w:color w:val="222222"/>
          <w:shd w:val="clear" w:color="auto" w:fill="FFFFFF"/>
        </w:rPr>
        <w:t>(2), 276.</w:t>
      </w:r>
    </w:p>
    <w:p w14:paraId="7B560F8C" w14:textId="00E2CD4E" w:rsidR="00CD2943" w:rsidRPr="00CD2943" w:rsidRDefault="00CD2943" w:rsidP="00CD2943">
      <w:pPr>
        <w:ind w:left="720" w:hanging="720"/>
        <w:rPr>
          <w:color w:val="222222"/>
          <w:shd w:val="clear" w:color="auto" w:fill="FFFFFF"/>
        </w:rPr>
      </w:pPr>
      <w:r w:rsidRPr="00CD2943">
        <w:rPr>
          <w:color w:val="222222"/>
          <w:shd w:val="clear" w:color="auto" w:fill="FFFFFF"/>
        </w:rPr>
        <w:t xml:space="preserve">Duberstein, P. R., Chapman, B. P., </w:t>
      </w:r>
      <w:proofErr w:type="spellStart"/>
      <w:r w:rsidRPr="00CD2943">
        <w:rPr>
          <w:color w:val="222222"/>
          <w:shd w:val="clear" w:color="auto" w:fill="FFFFFF"/>
        </w:rPr>
        <w:t>Tindle</w:t>
      </w:r>
      <w:proofErr w:type="spellEnd"/>
      <w:r w:rsidRPr="00CD2943">
        <w:rPr>
          <w:color w:val="222222"/>
          <w:shd w:val="clear" w:color="auto" w:fill="FFFFFF"/>
        </w:rPr>
        <w:t xml:space="preserve">, H. A., Sink, K. M., </w:t>
      </w:r>
      <w:proofErr w:type="spellStart"/>
      <w:r w:rsidRPr="00CD2943">
        <w:rPr>
          <w:color w:val="222222"/>
          <w:shd w:val="clear" w:color="auto" w:fill="FFFFFF"/>
        </w:rPr>
        <w:t>Bamonti</w:t>
      </w:r>
      <w:proofErr w:type="spellEnd"/>
      <w:r w:rsidRPr="00CD2943">
        <w:rPr>
          <w:color w:val="222222"/>
          <w:shd w:val="clear" w:color="auto" w:fill="FFFFFF"/>
        </w:rPr>
        <w:t xml:space="preserve">, P., Robbins, J., … Franks, P. (2011). Personality and risk for </w:t>
      </w:r>
      <w:proofErr w:type="spellStart"/>
      <w:r w:rsidRPr="00CD2943">
        <w:rPr>
          <w:color w:val="222222"/>
          <w:shd w:val="clear" w:color="auto" w:fill="FFFFFF"/>
        </w:rPr>
        <w:t>alzheimer’s</w:t>
      </w:r>
      <w:proofErr w:type="spellEnd"/>
      <w:r w:rsidRPr="00CD2943">
        <w:rPr>
          <w:color w:val="222222"/>
          <w:shd w:val="clear" w:color="auto" w:fill="FFFFFF"/>
        </w:rPr>
        <w:t xml:space="preserve"> disease in adults 72 years of age and older: A 6-year follow-up. </w:t>
      </w:r>
      <w:r w:rsidRPr="00CD2943">
        <w:rPr>
          <w:i/>
          <w:iCs/>
          <w:color w:val="222222"/>
          <w:shd w:val="clear" w:color="auto" w:fill="FFFFFF"/>
        </w:rPr>
        <w:t>Psychology and Aging</w:t>
      </w:r>
      <w:r w:rsidRPr="00CD2943">
        <w:rPr>
          <w:color w:val="222222"/>
          <w:shd w:val="clear" w:color="auto" w:fill="FFFFFF"/>
        </w:rPr>
        <w:t>, </w:t>
      </w:r>
      <w:r w:rsidRPr="00CD2943">
        <w:rPr>
          <w:i/>
          <w:iCs/>
          <w:color w:val="222222"/>
          <w:shd w:val="clear" w:color="auto" w:fill="FFFFFF"/>
        </w:rPr>
        <w:t>26</w:t>
      </w:r>
      <w:r w:rsidRPr="00CD2943">
        <w:rPr>
          <w:color w:val="222222"/>
          <w:shd w:val="clear" w:color="auto" w:fill="FFFFFF"/>
        </w:rPr>
        <w:t>(2), 351</w:t>
      </w:r>
      <w:r>
        <w:rPr>
          <w:color w:val="222222"/>
          <w:shd w:val="clear" w:color="auto" w:fill="FFFFFF"/>
        </w:rPr>
        <w:t>-362</w:t>
      </w:r>
      <w:r w:rsidRPr="00CD2943">
        <w:rPr>
          <w:color w:val="222222"/>
          <w:shd w:val="clear" w:color="auto" w:fill="FFFFFF"/>
        </w:rPr>
        <w:t>.</w:t>
      </w:r>
    </w:p>
    <w:p w14:paraId="2D1E051A" w14:textId="3D96DA29" w:rsidR="00E737BE" w:rsidRPr="00E737BE" w:rsidRDefault="00E737BE" w:rsidP="0087137B">
      <w:pPr>
        <w:ind w:left="720" w:hanging="720"/>
        <w:rPr>
          <w:color w:val="222222"/>
          <w:shd w:val="clear" w:color="auto" w:fill="FFFFFF"/>
        </w:rPr>
      </w:pPr>
      <w:proofErr w:type="spellStart"/>
      <w:r w:rsidRPr="00E737BE">
        <w:rPr>
          <w:color w:val="222222"/>
          <w:shd w:val="clear" w:color="auto" w:fill="FFFFFF"/>
        </w:rPr>
        <w:t>Duchek</w:t>
      </w:r>
      <w:proofErr w:type="spellEnd"/>
      <w:r w:rsidRPr="00E737BE">
        <w:rPr>
          <w:color w:val="222222"/>
          <w:shd w:val="clear" w:color="auto" w:fill="FFFFFF"/>
        </w:rPr>
        <w:t xml:space="preserve">, J. M., </w:t>
      </w:r>
      <w:proofErr w:type="spellStart"/>
      <w:r w:rsidRPr="00E737BE">
        <w:rPr>
          <w:color w:val="222222"/>
          <w:shd w:val="clear" w:color="auto" w:fill="FFFFFF"/>
        </w:rPr>
        <w:t>Aschenbrenner</w:t>
      </w:r>
      <w:proofErr w:type="spellEnd"/>
      <w:r w:rsidRPr="00E737BE">
        <w:rPr>
          <w:color w:val="222222"/>
          <w:shd w:val="clear" w:color="auto" w:fill="FFFFFF"/>
        </w:rPr>
        <w:t xml:space="preserve">, A. J., Fagan, A. M., </w:t>
      </w:r>
      <w:proofErr w:type="spellStart"/>
      <w:r w:rsidRPr="00E737BE">
        <w:rPr>
          <w:color w:val="222222"/>
          <w:shd w:val="clear" w:color="auto" w:fill="FFFFFF"/>
        </w:rPr>
        <w:t>Benzinger</w:t>
      </w:r>
      <w:proofErr w:type="spellEnd"/>
      <w:r w:rsidRPr="00E737BE">
        <w:rPr>
          <w:color w:val="222222"/>
          <w:shd w:val="clear" w:color="auto" w:fill="FFFFFF"/>
        </w:rPr>
        <w:t xml:space="preserve">, T. L., Morris, J. C., &amp; </w:t>
      </w:r>
      <w:proofErr w:type="spellStart"/>
      <w:r w:rsidRPr="00E737BE">
        <w:rPr>
          <w:color w:val="222222"/>
          <w:shd w:val="clear" w:color="auto" w:fill="FFFFFF"/>
        </w:rPr>
        <w:t>Balota</w:t>
      </w:r>
      <w:proofErr w:type="spellEnd"/>
      <w:r w:rsidRPr="00E737BE">
        <w:rPr>
          <w:color w:val="222222"/>
          <w:shd w:val="clear" w:color="auto" w:fill="FFFFFF"/>
        </w:rPr>
        <w:t>, D. A. (2020). The relation between personality and biomarkers in sensitivity and conversion to Alzheimer-type dementia. </w:t>
      </w:r>
      <w:r w:rsidRPr="00E737BE">
        <w:rPr>
          <w:i/>
          <w:iCs/>
          <w:color w:val="222222"/>
          <w:shd w:val="clear" w:color="auto" w:fill="FFFFFF"/>
        </w:rPr>
        <w:t>Journal of the International Neuropsychological Society</w:t>
      </w:r>
      <w:r w:rsidRPr="00E737BE">
        <w:rPr>
          <w:color w:val="222222"/>
          <w:shd w:val="clear" w:color="auto" w:fill="FFFFFF"/>
        </w:rPr>
        <w:t>, </w:t>
      </w:r>
      <w:r w:rsidRPr="00E737BE">
        <w:rPr>
          <w:i/>
          <w:iCs/>
          <w:color w:val="222222"/>
          <w:shd w:val="clear" w:color="auto" w:fill="FFFFFF"/>
        </w:rPr>
        <w:t>26</w:t>
      </w:r>
      <w:r w:rsidRPr="00E737BE">
        <w:rPr>
          <w:color w:val="222222"/>
          <w:shd w:val="clear" w:color="auto" w:fill="FFFFFF"/>
        </w:rPr>
        <w:t>(6), 596-606.</w:t>
      </w:r>
    </w:p>
    <w:p w14:paraId="23389DE8" w14:textId="77777777" w:rsidR="00E737BE" w:rsidRPr="00E737BE" w:rsidRDefault="00E737BE" w:rsidP="0087137B">
      <w:pPr>
        <w:ind w:left="720" w:hanging="720"/>
        <w:rPr>
          <w:color w:val="222222"/>
          <w:shd w:val="clear" w:color="auto" w:fill="FFFFFF"/>
        </w:rPr>
      </w:pPr>
      <w:r w:rsidRPr="00E737BE">
        <w:rPr>
          <w:color w:val="222222"/>
          <w:shd w:val="clear" w:color="auto" w:fill="FFFFFF"/>
        </w:rPr>
        <w:t xml:space="preserve">Graham, E. K., </w:t>
      </w:r>
      <w:proofErr w:type="spellStart"/>
      <w:r w:rsidRPr="00E737BE">
        <w:rPr>
          <w:color w:val="222222"/>
          <w:shd w:val="clear" w:color="auto" w:fill="FFFFFF"/>
        </w:rPr>
        <w:t>Rutsohn</w:t>
      </w:r>
      <w:proofErr w:type="spellEnd"/>
      <w:r w:rsidRPr="00E737BE">
        <w:rPr>
          <w:color w:val="222222"/>
          <w:shd w:val="clear" w:color="auto" w:fill="FFFFFF"/>
        </w:rPr>
        <w:t xml:space="preserve">, J. P., </w:t>
      </w:r>
      <w:proofErr w:type="spellStart"/>
      <w:r w:rsidRPr="00E737BE">
        <w:rPr>
          <w:color w:val="222222"/>
          <w:shd w:val="clear" w:color="auto" w:fill="FFFFFF"/>
        </w:rPr>
        <w:t>Turiano</w:t>
      </w:r>
      <w:proofErr w:type="spellEnd"/>
      <w:r w:rsidRPr="00E737BE">
        <w:rPr>
          <w:color w:val="222222"/>
          <w:shd w:val="clear" w:color="auto" w:fill="FFFFFF"/>
        </w:rPr>
        <w:t xml:space="preserve">, N. A., </w:t>
      </w:r>
      <w:proofErr w:type="spellStart"/>
      <w:r w:rsidRPr="00E737BE">
        <w:rPr>
          <w:color w:val="222222"/>
          <w:shd w:val="clear" w:color="auto" w:fill="FFFFFF"/>
        </w:rPr>
        <w:t>Bendayan</w:t>
      </w:r>
      <w:proofErr w:type="spellEnd"/>
      <w:r w:rsidRPr="00E737BE">
        <w:rPr>
          <w:color w:val="222222"/>
          <w:shd w:val="clear" w:color="auto" w:fill="FFFFFF"/>
        </w:rPr>
        <w:t xml:space="preserve">, R., </w:t>
      </w:r>
      <w:proofErr w:type="spellStart"/>
      <w:r w:rsidRPr="00E737BE">
        <w:rPr>
          <w:color w:val="222222"/>
          <w:shd w:val="clear" w:color="auto" w:fill="FFFFFF"/>
        </w:rPr>
        <w:t>Batterham</w:t>
      </w:r>
      <w:proofErr w:type="spellEnd"/>
      <w:r w:rsidRPr="00E737BE">
        <w:rPr>
          <w:color w:val="222222"/>
          <w:shd w:val="clear" w:color="auto" w:fill="FFFFFF"/>
        </w:rPr>
        <w:t xml:space="preserve">, P. J., </w:t>
      </w:r>
      <w:proofErr w:type="spellStart"/>
      <w:r w:rsidRPr="00E737BE">
        <w:rPr>
          <w:color w:val="222222"/>
          <w:shd w:val="clear" w:color="auto" w:fill="FFFFFF"/>
        </w:rPr>
        <w:t>Gerstorf</w:t>
      </w:r>
      <w:proofErr w:type="spellEnd"/>
      <w:r w:rsidRPr="00E737BE">
        <w:rPr>
          <w:color w:val="222222"/>
          <w:shd w:val="clear" w:color="auto" w:fill="FFFFFF"/>
        </w:rPr>
        <w:t xml:space="preserve">, D., ... &amp; </w:t>
      </w:r>
      <w:proofErr w:type="spellStart"/>
      <w:r w:rsidRPr="00E737BE">
        <w:rPr>
          <w:color w:val="222222"/>
          <w:shd w:val="clear" w:color="auto" w:fill="FFFFFF"/>
        </w:rPr>
        <w:t>Bastarache</w:t>
      </w:r>
      <w:proofErr w:type="spellEnd"/>
      <w:r w:rsidRPr="00E737BE">
        <w:rPr>
          <w:color w:val="222222"/>
          <w:shd w:val="clear" w:color="auto" w:fill="FFFFFF"/>
        </w:rPr>
        <w:t>, E. D. (2017). Personality predicts mortality risk: An integrative data analysis of 15 international longitudinal studies. </w:t>
      </w:r>
      <w:r w:rsidRPr="00E737BE">
        <w:rPr>
          <w:i/>
          <w:iCs/>
          <w:color w:val="222222"/>
          <w:shd w:val="clear" w:color="auto" w:fill="FFFFFF"/>
        </w:rPr>
        <w:t>Journal of Research in Personality</w:t>
      </w:r>
      <w:r w:rsidRPr="00E737BE">
        <w:rPr>
          <w:color w:val="222222"/>
          <w:shd w:val="clear" w:color="auto" w:fill="FFFFFF"/>
        </w:rPr>
        <w:t>, </w:t>
      </w:r>
      <w:r w:rsidRPr="00E737BE">
        <w:rPr>
          <w:i/>
          <w:iCs/>
          <w:color w:val="222222"/>
          <w:shd w:val="clear" w:color="auto" w:fill="FFFFFF"/>
        </w:rPr>
        <w:t>70</w:t>
      </w:r>
      <w:r w:rsidRPr="00E737BE">
        <w:rPr>
          <w:color w:val="222222"/>
          <w:shd w:val="clear" w:color="auto" w:fill="FFFFFF"/>
        </w:rPr>
        <w:t>, 174-186.</w:t>
      </w:r>
    </w:p>
    <w:p w14:paraId="128DBE14" w14:textId="77777777" w:rsidR="00E737BE" w:rsidRPr="00E737BE" w:rsidRDefault="00E737BE" w:rsidP="0087137B">
      <w:pPr>
        <w:ind w:left="720" w:hanging="720"/>
        <w:rPr>
          <w:color w:val="222222"/>
          <w:shd w:val="clear" w:color="auto" w:fill="FFFFFF"/>
        </w:rPr>
      </w:pPr>
      <w:r w:rsidRPr="00E737BE">
        <w:rPr>
          <w:color w:val="222222"/>
          <w:shd w:val="clear" w:color="auto" w:fill="FFFFFF"/>
        </w:rPr>
        <w:t xml:space="preserve">Graham, E. K., Weston, S. J., </w:t>
      </w:r>
      <w:proofErr w:type="spellStart"/>
      <w:r w:rsidRPr="00E737BE">
        <w:rPr>
          <w:color w:val="222222"/>
          <w:shd w:val="clear" w:color="auto" w:fill="FFFFFF"/>
        </w:rPr>
        <w:t>Gerstorf</w:t>
      </w:r>
      <w:proofErr w:type="spellEnd"/>
      <w:r w:rsidRPr="00E737BE">
        <w:rPr>
          <w:color w:val="222222"/>
          <w:shd w:val="clear" w:color="auto" w:fill="FFFFFF"/>
        </w:rPr>
        <w:t xml:space="preserve">, D., </w:t>
      </w:r>
      <w:proofErr w:type="spellStart"/>
      <w:r w:rsidRPr="00E737BE">
        <w:rPr>
          <w:color w:val="222222"/>
          <w:shd w:val="clear" w:color="auto" w:fill="FFFFFF"/>
        </w:rPr>
        <w:t>Yoneda</w:t>
      </w:r>
      <w:proofErr w:type="spellEnd"/>
      <w:r w:rsidRPr="00E737BE">
        <w:rPr>
          <w:color w:val="222222"/>
          <w:shd w:val="clear" w:color="auto" w:fill="FFFFFF"/>
        </w:rPr>
        <w:t>, T. B., Booth, T., Beam, C. R., ... &amp; Estabrook, R. (2020). Trajectories of Big Five Personality Traits: A Coordinated Analysis of 16 Longitudinal Samples. </w:t>
      </w:r>
      <w:r w:rsidRPr="00E737BE">
        <w:rPr>
          <w:i/>
          <w:iCs/>
          <w:color w:val="222222"/>
          <w:shd w:val="clear" w:color="auto" w:fill="FFFFFF"/>
        </w:rPr>
        <w:t>European Journal of Personality</w:t>
      </w:r>
      <w:r w:rsidRPr="00E737BE">
        <w:rPr>
          <w:color w:val="222222"/>
          <w:shd w:val="clear" w:color="auto" w:fill="FFFFFF"/>
        </w:rPr>
        <w:t>.</w:t>
      </w:r>
    </w:p>
    <w:p w14:paraId="376D7956" w14:textId="77777777" w:rsidR="00E737BE" w:rsidRPr="00E737BE" w:rsidRDefault="00E737BE" w:rsidP="0087137B">
      <w:pPr>
        <w:ind w:left="720" w:hanging="720"/>
        <w:rPr>
          <w:color w:val="222222"/>
          <w:shd w:val="clear" w:color="auto" w:fill="FFFFFF"/>
        </w:rPr>
      </w:pPr>
      <w:r w:rsidRPr="00E737BE">
        <w:rPr>
          <w:color w:val="222222"/>
          <w:shd w:val="clear" w:color="auto" w:fill="FFFFFF"/>
        </w:rPr>
        <w:t>Hill, P. L., &amp; Roberts, B. W. (2011). The role of adherence in the relationship between conscientiousness and perceived health. </w:t>
      </w:r>
      <w:r w:rsidRPr="00E737BE">
        <w:rPr>
          <w:i/>
          <w:iCs/>
          <w:color w:val="222222"/>
          <w:shd w:val="clear" w:color="auto" w:fill="FFFFFF"/>
        </w:rPr>
        <w:t>Health Psychology</w:t>
      </w:r>
      <w:r w:rsidRPr="00E737BE">
        <w:rPr>
          <w:color w:val="222222"/>
          <w:shd w:val="clear" w:color="auto" w:fill="FFFFFF"/>
        </w:rPr>
        <w:t>, </w:t>
      </w:r>
      <w:r w:rsidRPr="00E737BE">
        <w:rPr>
          <w:i/>
          <w:iCs/>
          <w:color w:val="222222"/>
          <w:shd w:val="clear" w:color="auto" w:fill="FFFFFF"/>
        </w:rPr>
        <w:t>30</w:t>
      </w:r>
      <w:r w:rsidRPr="00E737BE">
        <w:rPr>
          <w:color w:val="222222"/>
          <w:shd w:val="clear" w:color="auto" w:fill="FFFFFF"/>
        </w:rPr>
        <w:t>(6), 797.</w:t>
      </w:r>
    </w:p>
    <w:p w14:paraId="22DFA850" w14:textId="77777777" w:rsidR="003E4A44" w:rsidRPr="003E4A44" w:rsidRDefault="003E4A44" w:rsidP="003E4A44">
      <w:pPr>
        <w:ind w:left="720" w:hanging="720"/>
        <w:rPr>
          <w:color w:val="222222"/>
          <w:shd w:val="clear" w:color="auto" w:fill="FFFFFF"/>
        </w:rPr>
      </w:pPr>
      <w:proofErr w:type="spellStart"/>
      <w:r w:rsidRPr="003E4A44">
        <w:rPr>
          <w:color w:val="222222"/>
          <w:shd w:val="clear" w:color="auto" w:fill="FFFFFF"/>
        </w:rPr>
        <w:t>Jaidka</w:t>
      </w:r>
      <w:proofErr w:type="spellEnd"/>
      <w:r w:rsidRPr="003E4A44">
        <w:rPr>
          <w:color w:val="222222"/>
          <w:shd w:val="clear" w:color="auto" w:fill="FFFFFF"/>
        </w:rPr>
        <w:t>, K., Giorgi, S., Schwartz, H. A., Kern, M. L., Ungar, L. H., &amp; Eichstaedt, J. C. (2020). Estimating geographic subjective well-being from Twitter: A comparison of dictionary and data-driven language methods. </w:t>
      </w:r>
      <w:r w:rsidRPr="003E4A44">
        <w:rPr>
          <w:i/>
          <w:iCs/>
          <w:color w:val="222222"/>
          <w:shd w:val="clear" w:color="auto" w:fill="FFFFFF"/>
        </w:rPr>
        <w:t>Proceedings of the National Academy of Sciences</w:t>
      </w:r>
      <w:r w:rsidRPr="003E4A44">
        <w:rPr>
          <w:color w:val="222222"/>
          <w:shd w:val="clear" w:color="auto" w:fill="FFFFFF"/>
        </w:rPr>
        <w:t>, </w:t>
      </w:r>
      <w:r w:rsidRPr="003E4A44">
        <w:rPr>
          <w:i/>
          <w:iCs/>
          <w:color w:val="222222"/>
          <w:shd w:val="clear" w:color="auto" w:fill="FFFFFF"/>
        </w:rPr>
        <w:t>117</w:t>
      </w:r>
      <w:r w:rsidRPr="003E4A44">
        <w:rPr>
          <w:color w:val="222222"/>
          <w:shd w:val="clear" w:color="auto" w:fill="FFFFFF"/>
        </w:rPr>
        <w:t>(19), 10165-10171.</w:t>
      </w:r>
    </w:p>
    <w:p w14:paraId="3D53C5D2" w14:textId="77777777" w:rsidR="00CD2943" w:rsidRPr="00CD2943" w:rsidRDefault="00CD2943" w:rsidP="00CD2943">
      <w:pPr>
        <w:ind w:left="720" w:hanging="720"/>
        <w:rPr>
          <w:color w:val="222222"/>
          <w:shd w:val="clear" w:color="auto" w:fill="FFFFFF"/>
        </w:rPr>
      </w:pPr>
      <w:r w:rsidRPr="00CD2943">
        <w:rPr>
          <w:color w:val="222222"/>
          <w:shd w:val="clear" w:color="auto" w:fill="FFFFFF"/>
        </w:rPr>
        <w:lastRenderedPageBreak/>
        <w:t xml:space="preserve">Marsh, H. W., </w:t>
      </w:r>
      <w:proofErr w:type="spellStart"/>
      <w:r w:rsidRPr="00CD2943">
        <w:rPr>
          <w:color w:val="222222"/>
          <w:shd w:val="clear" w:color="auto" w:fill="FFFFFF"/>
        </w:rPr>
        <w:t>Nagengast</w:t>
      </w:r>
      <w:proofErr w:type="spellEnd"/>
      <w:r w:rsidRPr="00CD2943">
        <w:rPr>
          <w:color w:val="222222"/>
          <w:shd w:val="clear" w:color="auto" w:fill="FFFFFF"/>
        </w:rPr>
        <w:t>, B., &amp; Morin, A. J. (2013). Measurement invariance of big-five factors over the life span: ESEM tests of gender, age, plasticity, maturity, and la dolce vita effects. </w:t>
      </w:r>
      <w:r w:rsidRPr="00CD2943">
        <w:rPr>
          <w:i/>
          <w:iCs/>
          <w:color w:val="222222"/>
          <w:shd w:val="clear" w:color="auto" w:fill="FFFFFF"/>
        </w:rPr>
        <w:t>Developmental Psychology</w:t>
      </w:r>
      <w:r w:rsidRPr="00CD2943">
        <w:rPr>
          <w:color w:val="222222"/>
          <w:shd w:val="clear" w:color="auto" w:fill="FFFFFF"/>
        </w:rPr>
        <w:t>, </w:t>
      </w:r>
      <w:r w:rsidRPr="00CD2943">
        <w:rPr>
          <w:i/>
          <w:iCs/>
          <w:color w:val="222222"/>
          <w:shd w:val="clear" w:color="auto" w:fill="FFFFFF"/>
        </w:rPr>
        <w:t>49</w:t>
      </w:r>
      <w:r w:rsidRPr="00CD2943">
        <w:rPr>
          <w:color w:val="222222"/>
          <w:shd w:val="clear" w:color="auto" w:fill="FFFFFF"/>
        </w:rPr>
        <w:t>(6), 1194.</w:t>
      </w:r>
    </w:p>
    <w:p w14:paraId="73915D47" w14:textId="77777777" w:rsidR="00CD2943" w:rsidRPr="00CD2943" w:rsidRDefault="00CD2943" w:rsidP="00CD2943">
      <w:pPr>
        <w:ind w:left="720" w:hanging="720"/>
        <w:rPr>
          <w:color w:val="222222"/>
          <w:shd w:val="clear" w:color="auto" w:fill="FFFFFF"/>
        </w:rPr>
      </w:pPr>
      <w:r w:rsidRPr="00CD2943">
        <w:rPr>
          <w:color w:val="222222"/>
          <w:shd w:val="clear" w:color="auto" w:fill="FFFFFF"/>
        </w:rPr>
        <w:t xml:space="preserve">McCrae, R. R., Costa, P. T., de Lima, M. P., </w:t>
      </w:r>
      <w:proofErr w:type="spellStart"/>
      <w:r w:rsidRPr="00CD2943">
        <w:rPr>
          <w:color w:val="222222"/>
          <w:shd w:val="clear" w:color="auto" w:fill="FFFFFF"/>
        </w:rPr>
        <w:t>Simões</w:t>
      </w:r>
      <w:proofErr w:type="spellEnd"/>
      <w:r w:rsidRPr="00CD2943">
        <w:rPr>
          <w:color w:val="222222"/>
          <w:shd w:val="clear" w:color="auto" w:fill="FFFFFF"/>
        </w:rPr>
        <w:t xml:space="preserve">, A., Ostendorf, F., </w:t>
      </w:r>
      <w:proofErr w:type="spellStart"/>
      <w:r w:rsidRPr="00CD2943">
        <w:rPr>
          <w:color w:val="222222"/>
          <w:shd w:val="clear" w:color="auto" w:fill="FFFFFF"/>
        </w:rPr>
        <w:t>Angleitner</w:t>
      </w:r>
      <w:proofErr w:type="spellEnd"/>
      <w:r w:rsidRPr="00CD2943">
        <w:rPr>
          <w:color w:val="222222"/>
          <w:shd w:val="clear" w:color="auto" w:fill="FFFFFF"/>
        </w:rPr>
        <w:t>, A., ... &amp; Chae, J. H. (1999). Age differences in personality across the adult life span: parallels in five cultures. </w:t>
      </w:r>
      <w:r w:rsidRPr="00CD2943">
        <w:rPr>
          <w:i/>
          <w:iCs/>
          <w:color w:val="222222"/>
          <w:shd w:val="clear" w:color="auto" w:fill="FFFFFF"/>
        </w:rPr>
        <w:t>Developmental Psychology</w:t>
      </w:r>
      <w:r w:rsidRPr="00CD2943">
        <w:rPr>
          <w:color w:val="222222"/>
          <w:shd w:val="clear" w:color="auto" w:fill="FFFFFF"/>
        </w:rPr>
        <w:t>, </w:t>
      </w:r>
      <w:r w:rsidRPr="00CD2943">
        <w:rPr>
          <w:i/>
          <w:iCs/>
          <w:color w:val="222222"/>
          <w:shd w:val="clear" w:color="auto" w:fill="FFFFFF"/>
        </w:rPr>
        <w:t>35</w:t>
      </w:r>
      <w:r w:rsidRPr="00CD2943">
        <w:rPr>
          <w:color w:val="222222"/>
          <w:shd w:val="clear" w:color="auto" w:fill="FFFFFF"/>
        </w:rPr>
        <w:t>(2), 466.</w:t>
      </w:r>
    </w:p>
    <w:p w14:paraId="0AD41421" w14:textId="77777777" w:rsidR="00CD2943" w:rsidRPr="00CD2943" w:rsidRDefault="00CD2943" w:rsidP="00CD2943">
      <w:pPr>
        <w:ind w:left="720" w:hanging="720"/>
        <w:rPr>
          <w:color w:val="222222"/>
          <w:shd w:val="clear" w:color="auto" w:fill="FFFFFF"/>
        </w:rPr>
      </w:pPr>
      <w:r w:rsidRPr="00CD2943">
        <w:rPr>
          <w:color w:val="222222"/>
          <w:shd w:val="clear" w:color="auto" w:fill="FFFFFF"/>
        </w:rPr>
        <w:t xml:space="preserve">McCrae, R. R., &amp; </w:t>
      </w:r>
      <w:proofErr w:type="spellStart"/>
      <w:r w:rsidRPr="00CD2943">
        <w:rPr>
          <w:color w:val="222222"/>
          <w:shd w:val="clear" w:color="auto" w:fill="FFFFFF"/>
        </w:rPr>
        <w:t>Terracciano</w:t>
      </w:r>
      <w:proofErr w:type="spellEnd"/>
      <w:r w:rsidRPr="00CD2943">
        <w:rPr>
          <w:color w:val="222222"/>
          <w:shd w:val="clear" w:color="auto" w:fill="FFFFFF"/>
        </w:rPr>
        <w:t>, A. (2005). Universal features of personality traits from the observer's perspective: data from 50 cultures. </w:t>
      </w:r>
      <w:r w:rsidRPr="00CD2943">
        <w:rPr>
          <w:i/>
          <w:iCs/>
          <w:color w:val="222222"/>
          <w:shd w:val="clear" w:color="auto" w:fill="FFFFFF"/>
        </w:rPr>
        <w:t>Journal of Personality and Social Psychology</w:t>
      </w:r>
      <w:r w:rsidRPr="00CD2943">
        <w:rPr>
          <w:color w:val="222222"/>
          <w:shd w:val="clear" w:color="auto" w:fill="FFFFFF"/>
        </w:rPr>
        <w:t>, </w:t>
      </w:r>
      <w:r w:rsidRPr="00CD2943">
        <w:rPr>
          <w:i/>
          <w:iCs/>
          <w:color w:val="222222"/>
          <w:shd w:val="clear" w:color="auto" w:fill="FFFFFF"/>
        </w:rPr>
        <w:t>88</w:t>
      </w:r>
      <w:r w:rsidRPr="00CD2943">
        <w:rPr>
          <w:color w:val="222222"/>
          <w:shd w:val="clear" w:color="auto" w:fill="FFFFFF"/>
        </w:rPr>
        <w:t>(3), 547.</w:t>
      </w:r>
    </w:p>
    <w:p w14:paraId="1089021B" w14:textId="77777777" w:rsidR="003E4A44" w:rsidRPr="003E4A44" w:rsidRDefault="003E4A44" w:rsidP="003E4A44">
      <w:pPr>
        <w:ind w:left="720" w:hanging="720"/>
        <w:rPr>
          <w:color w:val="222222"/>
          <w:shd w:val="clear" w:color="auto" w:fill="FFFFFF"/>
        </w:rPr>
      </w:pPr>
      <w:r w:rsidRPr="003E4A44">
        <w:rPr>
          <w:color w:val="222222"/>
          <w:shd w:val="clear" w:color="auto" w:fill="FFFFFF"/>
        </w:rPr>
        <w:t>Oishi, S., &amp; Diener, E. (2009). Goals, culture, and subjective well-being. In </w:t>
      </w:r>
      <w:r w:rsidRPr="003E4A44">
        <w:rPr>
          <w:i/>
          <w:iCs/>
          <w:color w:val="222222"/>
          <w:shd w:val="clear" w:color="auto" w:fill="FFFFFF"/>
        </w:rPr>
        <w:t>Culture and well-being</w:t>
      </w:r>
      <w:r w:rsidRPr="003E4A44">
        <w:rPr>
          <w:color w:val="222222"/>
          <w:shd w:val="clear" w:color="auto" w:fill="FFFFFF"/>
        </w:rPr>
        <w:t> (pp. 93-108). Springer, Dordrecht.</w:t>
      </w:r>
    </w:p>
    <w:p w14:paraId="3CD3B81B" w14:textId="77777777" w:rsidR="00CD2943" w:rsidRPr="00CD2943" w:rsidRDefault="00CD2943" w:rsidP="00CD2943">
      <w:pPr>
        <w:ind w:left="720" w:hanging="720"/>
        <w:rPr>
          <w:color w:val="222222"/>
          <w:shd w:val="clear" w:color="auto" w:fill="FFFFFF"/>
        </w:rPr>
      </w:pPr>
      <w:r w:rsidRPr="00CD2943">
        <w:rPr>
          <w:color w:val="222222"/>
          <w:shd w:val="clear" w:color="auto" w:fill="FFFFFF"/>
        </w:rPr>
        <w:t>Ozer, D. J., &amp; Benet-Martinez, V. (2006). Personality and the prediction of consequential outcomes. </w:t>
      </w:r>
      <w:proofErr w:type="spellStart"/>
      <w:r w:rsidRPr="00CD2943">
        <w:rPr>
          <w:i/>
          <w:iCs/>
          <w:color w:val="222222"/>
          <w:shd w:val="clear" w:color="auto" w:fill="FFFFFF"/>
        </w:rPr>
        <w:t>Annu</w:t>
      </w:r>
      <w:proofErr w:type="spellEnd"/>
      <w:r w:rsidRPr="00CD2943">
        <w:rPr>
          <w:i/>
          <w:iCs/>
          <w:color w:val="222222"/>
          <w:shd w:val="clear" w:color="auto" w:fill="FFFFFF"/>
        </w:rPr>
        <w:t>. Rev. Psychol.</w:t>
      </w:r>
      <w:r w:rsidRPr="00CD2943">
        <w:rPr>
          <w:color w:val="222222"/>
          <w:shd w:val="clear" w:color="auto" w:fill="FFFFFF"/>
        </w:rPr>
        <w:t>, </w:t>
      </w:r>
      <w:r w:rsidRPr="00CD2943">
        <w:rPr>
          <w:i/>
          <w:iCs/>
          <w:color w:val="222222"/>
          <w:shd w:val="clear" w:color="auto" w:fill="FFFFFF"/>
        </w:rPr>
        <w:t>57</w:t>
      </w:r>
      <w:r w:rsidRPr="00CD2943">
        <w:rPr>
          <w:color w:val="222222"/>
          <w:shd w:val="clear" w:color="auto" w:fill="FFFFFF"/>
        </w:rPr>
        <w:t>, 401-421.</w:t>
      </w:r>
    </w:p>
    <w:p w14:paraId="6D4EA683" w14:textId="77777777" w:rsidR="00CD2943" w:rsidRPr="00CD2943" w:rsidRDefault="00CD2943" w:rsidP="00CD2943">
      <w:pPr>
        <w:ind w:left="720" w:hanging="720"/>
        <w:rPr>
          <w:color w:val="222222"/>
          <w:shd w:val="clear" w:color="auto" w:fill="FFFFFF"/>
        </w:rPr>
      </w:pPr>
      <w:proofErr w:type="spellStart"/>
      <w:r w:rsidRPr="00CD2943">
        <w:rPr>
          <w:color w:val="222222"/>
          <w:shd w:val="clear" w:color="auto" w:fill="FFFFFF"/>
        </w:rPr>
        <w:t>Peitsch</w:t>
      </w:r>
      <w:proofErr w:type="spellEnd"/>
      <w:r w:rsidRPr="00CD2943">
        <w:rPr>
          <w:color w:val="222222"/>
          <w:shd w:val="clear" w:color="auto" w:fill="FFFFFF"/>
        </w:rPr>
        <w:t xml:space="preserve">, L., </w:t>
      </w:r>
      <w:proofErr w:type="spellStart"/>
      <w:r w:rsidRPr="00CD2943">
        <w:rPr>
          <w:color w:val="222222"/>
          <w:shd w:val="clear" w:color="auto" w:fill="FFFFFF"/>
        </w:rPr>
        <w:t>Tyas</w:t>
      </w:r>
      <w:proofErr w:type="spellEnd"/>
      <w:r w:rsidRPr="00CD2943">
        <w:rPr>
          <w:color w:val="222222"/>
          <w:shd w:val="clear" w:color="auto" w:fill="FFFFFF"/>
        </w:rPr>
        <w:t xml:space="preserve">, S. L., </w:t>
      </w:r>
      <w:proofErr w:type="spellStart"/>
      <w:r w:rsidRPr="00CD2943">
        <w:rPr>
          <w:color w:val="222222"/>
          <w:shd w:val="clear" w:color="auto" w:fill="FFFFFF"/>
        </w:rPr>
        <w:t>Menec</w:t>
      </w:r>
      <w:proofErr w:type="spellEnd"/>
      <w:r w:rsidRPr="00CD2943">
        <w:rPr>
          <w:color w:val="222222"/>
          <w:shd w:val="clear" w:color="auto" w:fill="FFFFFF"/>
        </w:rPr>
        <w:t>, V. H., &amp; St John, P. D. (2016). General life satisfaction predicts dementia in community living older adults: A prospective cohort study. </w:t>
      </w:r>
      <w:r w:rsidRPr="00CD2943">
        <w:rPr>
          <w:i/>
          <w:iCs/>
          <w:color w:val="222222"/>
          <w:shd w:val="clear" w:color="auto" w:fill="FFFFFF"/>
        </w:rPr>
        <w:t>International Psychogeriatrics</w:t>
      </w:r>
      <w:r w:rsidRPr="00CD2943">
        <w:rPr>
          <w:color w:val="222222"/>
          <w:shd w:val="clear" w:color="auto" w:fill="FFFFFF"/>
        </w:rPr>
        <w:t>, </w:t>
      </w:r>
      <w:r w:rsidRPr="00CD2943">
        <w:rPr>
          <w:i/>
          <w:iCs/>
          <w:color w:val="222222"/>
          <w:shd w:val="clear" w:color="auto" w:fill="FFFFFF"/>
        </w:rPr>
        <w:t>28</w:t>
      </w:r>
      <w:r w:rsidRPr="00CD2943">
        <w:rPr>
          <w:color w:val="222222"/>
          <w:shd w:val="clear" w:color="auto" w:fill="FFFFFF"/>
        </w:rPr>
        <w:t>(7), 1101.</w:t>
      </w:r>
    </w:p>
    <w:p w14:paraId="4DEDD0CA" w14:textId="77777777" w:rsidR="00E737BE" w:rsidRPr="0087137B" w:rsidRDefault="00E737BE" w:rsidP="0087137B">
      <w:pPr>
        <w:ind w:left="720" w:hanging="720"/>
      </w:pPr>
      <w:r w:rsidRPr="0087137B">
        <w:rPr>
          <w:color w:val="222222"/>
          <w:shd w:val="clear" w:color="auto" w:fill="FFFFFF"/>
        </w:rPr>
        <w:t>Roberts, B. W., Wood, D., &amp; Caspi, A. (2008). The development of personality traits in adulthood.</w:t>
      </w:r>
    </w:p>
    <w:p w14:paraId="2CF8BC88" w14:textId="77777777" w:rsidR="00CD2943" w:rsidRPr="00CD2943" w:rsidRDefault="00CD2943" w:rsidP="00CD2943">
      <w:pPr>
        <w:ind w:left="720" w:hanging="720"/>
      </w:pPr>
      <w:r w:rsidRPr="00CD2943">
        <w:t>Saucier, G., &amp; Ostendorf, F. (1999). Hierarchical subcomponents of the big five personality factors: A cross-language replication. </w:t>
      </w:r>
      <w:r w:rsidRPr="00CD2943">
        <w:rPr>
          <w:i/>
          <w:iCs/>
        </w:rPr>
        <w:t>Journal of Personality and Social Psychology</w:t>
      </w:r>
      <w:r w:rsidRPr="00CD2943">
        <w:t>, </w:t>
      </w:r>
      <w:r w:rsidRPr="00CD2943">
        <w:rPr>
          <w:i/>
          <w:iCs/>
        </w:rPr>
        <w:t>76</w:t>
      </w:r>
      <w:r w:rsidRPr="00CD2943">
        <w:t>(4), 613.</w:t>
      </w:r>
    </w:p>
    <w:p w14:paraId="4535449C" w14:textId="77777777" w:rsidR="00CD2943" w:rsidRPr="00CD2943" w:rsidRDefault="00CD2943" w:rsidP="00CD2943">
      <w:pPr>
        <w:ind w:left="720" w:hanging="720"/>
      </w:pPr>
      <w:r w:rsidRPr="00CD2943">
        <w:t>Soto, C. J. (2019). How replicable are links between personality traits and consequential life outcomes? The Life Outcomes of Personality Replication Project. </w:t>
      </w:r>
      <w:r w:rsidRPr="00CD2943">
        <w:rPr>
          <w:i/>
          <w:iCs/>
        </w:rPr>
        <w:t>Psychological Science</w:t>
      </w:r>
      <w:r w:rsidRPr="00CD2943">
        <w:t>, </w:t>
      </w:r>
      <w:r w:rsidRPr="00CD2943">
        <w:rPr>
          <w:i/>
          <w:iCs/>
        </w:rPr>
        <w:t>30</w:t>
      </w:r>
      <w:r w:rsidRPr="00CD2943">
        <w:t>(5), 711-727.</w:t>
      </w:r>
    </w:p>
    <w:p w14:paraId="195A7C5B" w14:textId="77777777" w:rsidR="00CD2943" w:rsidRPr="00CD2943" w:rsidRDefault="00CD2943" w:rsidP="00CD2943">
      <w:pPr>
        <w:ind w:left="720" w:hanging="720"/>
        <w:rPr>
          <w:color w:val="222222"/>
          <w:shd w:val="clear" w:color="auto" w:fill="FFFFFF"/>
        </w:rPr>
      </w:pPr>
      <w:proofErr w:type="spellStart"/>
      <w:r w:rsidRPr="00CD2943">
        <w:rPr>
          <w:color w:val="222222"/>
          <w:shd w:val="clear" w:color="auto" w:fill="FFFFFF"/>
        </w:rPr>
        <w:t>Terracciano</w:t>
      </w:r>
      <w:proofErr w:type="spellEnd"/>
      <w:r w:rsidRPr="00CD2943">
        <w:rPr>
          <w:color w:val="222222"/>
          <w:shd w:val="clear" w:color="auto" w:fill="FFFFFF"/>
        </w:rPr>
        <w:t xml:space="preserve">, A., </w:t>
      </w:r>
      <w:proofErr w:type="spellStart"/>
      <w:r w:rsidRPr="00CD2943">
        <w:rPr>
          <w:color w:val="222222"/>
          <w:shd w:val="clear" w:color="auto" w:fill="FFFFFF"/>
        </w:rPr>
        <w:t>Iacono</w:t>
      </w:r>
      <w:proofErr w:type="spellEnd"/>
      <w:r w:rsidRPr="00CD2943">
        <w:rPr>
          <w:color w:val="222222"/>
          <w:shd w:val="clear" w:color="auto" w:fill="FFFFFF"/>
        </w:rPr>
        <w:t xml:space="preserve">, D., O’Brien, R. J., </w:t>
      </w:r>
      <w:proofErr w:type="spellStart"/>
      <w:r w:rsidRPr="00CD2943">
        <w:rPr>
          <w:color w:val="222222"/>
          <w:shd w:val="clear" w:color="auto" w:fill="FFFFFF"/>
        </w:rPr>
        <w:t>Troncoso</w:t>
      </w:r>
      <w:proofErr w:type="spellEnd"/>
      <w:r w:rsidRPr="00CD2943">
        <w:rPr>
          <w:color w:val="222222"/>
          <w:shd w:val="clear" w:color="auto" w:fill="FFFFFF"/>
        </w:rPr>
        <w:t xml:space="preserve">, J. C., An, Y., </w:t>
      </w:r>
      <w:proofErr w:type="spellStart"/>
      <w:r w:rsidRPr="00CD2943">
        <w:rPr>
          <w:color w:val="222222"/>
          <w:shd w:val="clear" w:color="auto" w:fill="FFFFFF"/>
        </w:rPr>
        <w:t>Sutin</w:t>
      </w:r>
      <w:proofErr w:type="spellEnd"/>
      <w:r w:rsidRPr="00CD2943">
        <w:rPr>
          <w:color w:val="222222"/>
          <w:shd w:val="clear" w:color="auto" w:fill="FFFFFF"/>
        </w:rPr>
        <w:t xml:space="preserve">, A. R., … Resnick, S. M. (2013). Personality and resilience to </w:t>
      </w:r>
      <w:proofErr w:type="spellStart"/>
      <w:r w:rsidRPr="00CD2943">
        <w:rPr>
          <w:color w:val="222222"/>
          <w:shd w:val="clear" w:color="auto" w:fill="FFFFFF"/>
        </w:rPr>
        <w:t>alzheimer’s</w:t>
      </w:r>
      <w:proofErr w:type="spellEnd"/>
      <w:r w:rsidRPr="00CD2943">
        <w:rPr>
          <w:color w:val="222222"/>
          <w:shd w:val="clear" w:color="auto" w:fill="FFFFFF"/>
        </w:rPr>
        <w:t xml:space="preserve"> disease neuropathology: A prospective autopsy study. </w:t>
      </w:r>
      <w:r w:rsidRPr="00CD2943">
        <w:rPr>
          <w:i/>
          <w:iCs/>
          <w:color w:val="222222"/>
          <w:shd w:val="clear" w:color="auto" w:fill="FFFFFF"/>
        </w:rPr>
        <w:t>Neurobiology of Aging</w:t>
      </w:r>
      <w:r w:rsidRPr="00CD2943">
        <w:rPr>
          <w:color w:val="222222"/>
          <w:shd w:val="clear" w:color="auto" w:fill="FFFFFF"/>
        </w:rPr>
        <w:t>, </w:t>
      </w:r>
      <w:r w:rsidRPr="00CD2943">
        <w:rPr>
          <w:i/>
          <w:iCs/>
          <w:color w:val="222222"/>
          <w:shd w:val="clear" w:color="auto" w:fill="FFFFFF"/>
        </w:rPr>
        <w:t>34</w:t>
      </w:r>
      <w:r w:rsidRPr="00CD2943">
        <w:rPr>
          <w:color w:val="222222"/>
          <w:shd w:val="clear" w:color="auto" w:fill="FFFFFF"/>
        </w:rPr>
        <w:t>(4), 1045–1050. </w:t>
      </w:r>
      <w:hyperlink r:id="rId4" w:history="1">
        <w:r w:rsidRPr="00CD2943">
          <w:rPr>
            <w:rStyle w:val="Hyperlink"/>
            <w:shd w:val="clear" w:color="auto" w:fill="FFFFFF"/>
          </w:rPr>
          <w:t>https://doi.org/https://doi.org/10.1016/j.neurobiolaging.2012.08.008</w:t>
        </w:r>
      </w:hyperlink>
    </w:p>
    <w:p w14:paraId="3F615CD7" w14:textId="77777777" w:rsidR="00CD2943" w:rsidRPr="00CD2943" w:rsidRDefault="00CD2943" w:rsidP="00CD2943">
      <w:pPr>
        <w:ind w:left="720" w:hanging="720"/>
        <w:rPr>
          <w:color w:val="222222"/>
          <w:shd w:val="clear" w:color="auto" w:fill="FFFFFF"/>
        </w:rPr>
      </w:pPr>
      <w:proofErr w:type="spellStart"/>
      <w:r w:rsidRPr="00CD2943">
        <w:rPr>
          <w:color w:val="222222"/>
          <w:shd w:val="clear" w:color="auto" w:fill="FFFFFF"/>
        </w:rPr>
        <w:t>Terracciano</w:t>
      </w:r>
      <w:proofErr w:type="spellEnd"/>
      <w:r w:rsidRPr="00CD2943">
        <w:rPr>
          <w:color w:val="222222"/>
          <w:shd w:val="clear" w:color="auto" w:fill="FFFFFF"/>
        </w:rPr>
        <w:t xml:space="preserve">, A., </w:t>
      </w:r>
      <w:proofErr w:type="spellStart"/>
      <w:r w:rsidRPr="00CD2943">
        <w:rPr>
          <w:color w:val="222222"/>
          <w:shd w:val="clear" w:color="auto" w:fill="FFFFFF"/>
        </w:rPr>
        <w:t>Sutin</w:t>
      </w:r>
      <w:proofErr w:type="spellEnd"/>
      <w:r w:rsidRPr="00CD2943">
        <w:rPr>
          <w:color w:val="222222"/>
          <w:shd w:val="clear" w:color="auto" w:fill="FFFFFF"/>
        </w:rPr>
        <w:t xml:space="preserve">, A. R., An, Y., O’Brien, R. J., </w:t>
      </w:r>
      <w:proofErr w:type="spellStart"/>
      <w:r w:rsidRPr="00CD2943">
        <w:rPr>
          <w:color w:val="222222"/>
          <w:shd w:val="clear" w:color="auto" w:fill="FFFFFF"/>
        </w:rPr>
        <w:t>Ferrucci</w:t>
      </w:r>
      <w:proofErr w:type="spellEnd"/>
      <w:r w:rsidRPr="00CD2943">
        <w:rPr>
          <w:color w:val="222222"/>
          <w:shd w:val="clear" w:color="auto" w:fill="FFFFFF"/>
        </w:rPr>
        <w:t xml:space="preserve">, L., </w:t>
      </w:r>
      <w:proofErr w:type="spellStart"/>
      <w:r w:rsidRPr="00CD2943">
        <w:rPr>
          <w:color w:val="222222"/>
          <w:shd w:val="clear" w:color="auto" w:fill="FFFFFF"/>
        </w:rPr>
        <w:t>Zonderman</w:t>
      </w:r>
      <w:proofErr w:type="spellEnd"/>
      <w:r w:rsidRPr="00CD2943">
        <w:rPr>
          <w:color w:val="222222"/>
          <w:shd w:val="clear" w:color="auto" w:fill="FFFFFF"/>
        </w:rPr>
        <w:t xml:space="preserve">, A. B., &amp; Resnick, S. M. (2014). Personality and risk of </w:t>
      </w:r>
      <w:proofErr w:type="spellStart"/>
      <w:r w:rsidRPr="00CD2943">
        <w:rPr>
          <w:color w:val="222222"/>
          <w:shd w:val="clear" w:color="auto" w:fill="FFFFFF"/>
        </w:rPr>
        <w:t>alzheimer’s</w:t>
      </w:r>
      <w:proofErr w:type="spellEnd"/>
      <w:r w:rsidRPr="00CD2943">
        <w:rPr>
          <w:color w:val="222222"/>
          <w:shd w:val="clear" w:color="auto" w:fill="FFFFFF"/>
        </w:rPr>
        <w:t xml:space="preserve"> disease: New data and meta-analysis. </w:t>
      </w:r>
      <w:r w:rsidRPr="00CD2943">
        <w:rPr>
          <w:i/>
          <w:iCs/>
          <w:color w:val="222222"/>
          <w:shd w:val="clear" w:color="auto" w:fill="FFFFFF"/>
        </w:rPr>
        <w:t>Alzheimer’s &amp; Dementia</w:t>
      </w:r>
      <w:r w:rsidRPr="00CD2943">
        <w:rPr>
          <w:color w:val="222222"/>
          <w:shd w:val="clear" w:color="auto" w:fill="FFFFFF"/>
        </w:rPr>
        <w:t>, </w:t>
      </w:r>
      <w:r w:rsidRPr="00CD2943">
        <w:rPr>
          <w:i/>
          <w:iCs/>
          <w:color w:val="222222"/>
          <w:shd w:val="clear" w:color="auto" w:fill="FFFFFF"/>
        </w:rPr>
        <w:t>10</w:t>
      </w:r>
      <w:r w:rsidRPr="00CD2943">
        <w:rPr>
          <w:color w:val="222222"/>
          <w:shd w:val="clear" w:color="auto" w:fill="FFFFFF"/>
        </w:rPr>
        <w:t>(2), 179–186.</w:t>
      </w:r>
    </w:p>
    <w:p w14:paraId="1D84B29C" w14:textId="06F6CBF3" w:rsidR="00E737BE" w:rsidRPr="00E737BE" w:rsidRDefault="00E737BE" w:rsidP="0087137B">
      <w:pPr>
        <w:ind w:left="720" w:hanging="720"/>
      </w:pPr>
      <w:proofErr w:type="spellStart"/>
      <w:r w:rsidRPr="00E737BE">
        <w:t>Turiano</w:t>
      </w:r>
      <w:proofErr w:type="spellEnd"/>
      <w:r w:rsidRPr="00E737BE">
        <w:t xml:space="preserve">, N. A., Chapman, B. P., </w:t>
      </w:r>
      <w:proofErr w:type="spellStart"/>
      <w:r w:rsidRPr="00E737BE">
        <w:t>Agrigoroaei</w:t>
      </w:r>
      <w:proofErr w:type="spellEnd"/>
      <w:r w:rsidRPr="00E737BE">
        <w:t xml:space="preserve">, S., </w:t>
      </w:r>
      <w:proofErr w:type="spellStart"/>
      <w:r w:rsidRPr="00E737BE">
        <w:t>Infurna</w:t>
      </w:r>
      <w:proofErr w:type="spellEnd"/>
      <w:r w:rsidRPr="00E737BE">
        <w:t>, F. J., &amp; Lachman, M. (2014). Perceived control reduces mortality risk at low, not high, education levels. </w:t>
      </w:r>
      <w:r w:rsidRPr="00E737BE">
        <w:rPr>
          <w:i/>
          <w:iCs/>
        </w:rPr>
        <w:t xml:space="preserve">Health </w:t>
      </w:r>
      <w:r w:rsidRPr="0087137B">
        <w:rPr>
          <w:i/>
          <w:iCs/>
        </w:rPr>
        <w:t>P</w:t>
      </w:r>
      <w:r w:rsidRPr="00E737BE">
        <w:rPr>
          <w:i/>
          <w:iCs/>
        </w:rPr>
        <w:t>sychology</w:t>
      </w:r>
      <w:r w:rsidRPr="00E737BE">
        <w:t>, </w:t>
      </w:r>
      <w:r w:rsidRPr="00E737BE">
        <w:rPr>
          <w:i/>
          <w:iCs/>
        </w:rPr>
        <w:t>33</w:t>
      </w:r>
      <w:r w:rsidRPr="00E737BE">
        <w:t>(8), 883.</w:t>
      </w:r>
    </w:p>
    <w:p w14:paraId="3A0BDF3D" w14:textId="77777777" w:rsidR="00E737BE" w:rsidRPr="00E737BE" w:rsidRDefault="00E737BE" w:rsidP="0087137B">
      <w:pPr>
        <w:ind w:left="720" w:hanging="720"/>
      </w:pPr>
      <w:r w:rsidRPr="00E737BE">
        <w:t>Weston, S. J., Hill, P. L., &amp; Jackson, J. J. (2015). Personality traits predict the onset of disease. </w:t>
      </w:r>
      <w:r w:rsidRPr="00E737BE">
        <w:rPr>
          <w:i/>
          <w:iCs/>
        </w:rPr>
        <w:t>Social Psychological and Personality Science</w:t>
      </w:r>
      <w:r w:rsidRPr="00E737BE">
        <w:t>, </w:t>
      </w:r>
      <w:r w:rsidRPr="00E737BE">
        <w:rPr>
          <w:i/>
          <w:iCs/>
        </w:rPr>
        <w:t>6</w:t>
      </w:r>
      <w:r w:rsidRPr="00E737BE">
        <w:t>(3), 309-317.</w:t>
      </w:r>
    </w:p>
    <w:p w14:paraId="53DD38DD" w14:textId="0DC7AC1D" w:rsidR="00E737BE" w:rsidRPr="00E737BE" w:rsidRDefault="00E737BE" w:rsidP="0087137B">
      <w:pPr>
        <w:ind w:left="720" w:hanging="720"/>
      </w:pPr>
      <w:r w:rsidRPr="00E737BE">
        <w:t xml:space="preserve">Wilson, R. S., Boyle, P. A., Yu, L., </w:t>
      </w:r>
      <w:proofErr w:type="spellStart"/>
      <w:r w:rsidRPr="00E737BE">
        <w:t>Segawa</w:t>
      </w:r>
      <w:proofErr w:type="spellEnd"/>
      <w:r w:rsidRPr="00E737BE">
        <w:t>, E., Sytsma, J., &amp; Bennett, D. A. (2015). Conscientiousness, dementia related pathology, and trajectories of cognitive aging. </w:t>
      </w:r>
      <w:r w:rsidRPr="00E737BE">
        <w:rPr>
          <w:i/>
          <w:iCs/>
        </w:rPr>
        <w:t xml:space="preserve">Psychology and </w:t>
      </w:r>
      <w:r w:rsidRPr="0087137B">
        <w:rPr>
          <w:i/>
          <w:iCs/>
        </w:rPr>
        <w:t>A</w:t>
      </w:r>
      <w:r w:rsidRPr="00E737BE">
        <w:rPr>
          <w:i/>
          <w:iCs/>
        </w:rPr>
        <w:t>ging</w:t>
      </w:r>
      <w:r w:rsidRPr="00E737BE">
        <w:t>, </w:t>
      </w:r>
      <w:r w:rsidRPr="00E737BE">
        <w:rPr>
          <w:i/>
          <w:iCs/>
        </w:rPr>
        <w:t>30</w:t>
      </w:r>
      <w:r w:rsidRPr="00E737BE">
        <w:t>(1), 74.</w:t>
      </w:r>
    </w:p>
    <w:p w14:paraId="7C1253DF" w14:textId="77777777" w:rsidR="00CD2943" w:rsidRPr="00CD2943" w:rsidRDefault="00CD2943" w:rsidP="00CD2943">
      <w:pPr>
        <w:ind w:left="720" w:hanging="720"/>
      </w:pPr>
      <w:r w:rsidRPr="00CD2943">
        <w:t xml:space="preserve">Wilson, R. S., Schneider, J. A., Arnold, S. E., </w:t>
      </w:r>
      <w:proofErr w:type="spellStart"/>
      <w:r w:rsidRPr="00CD2943">
        <w:t>Bienias</w:t>
      </w:r>
      <w:proofErr w:type="spellEnd"/>
      <w:r w:rsidRPr="00CD2943">
        <w:t xml:space="preserve">, J. L., &amp; Bennett, D. A. (2007). Conscientiousness and the incidence of </w:t>
      </w:r>
      <w:proofErr w:type="spellStart"/>
      <w:r w:rsidRPr="00CD2943">
        <w:t>alzheimer</w:t>
      </w:r>
      <w:proofErr w:type="spellEnd"/>
      <w:r w:rsidRPr="00CD2943">
        <w:t xml:space="preserve"> disease and mild cognitive impairment. </w:t>
      </w:r>
      <w:r w:rsidRPr="00CD2943">
        <w:rPr>
          <w:i/>
          <w:iCs/>
        </w:rPr>
        <w:t>Archives of General Psychiatry</w:t>
      </w:r>
      <w:r w:rsidRPr="00CD2943">
        <w:t>, </w:t>
      </w:r>
      <w:r w:rsidRPr="00CD2943">
        <w:rPr>
          <w:i/>
          <w:iCs/>
        </w:rPr>
        <w:t>64</w:t>
      </w:r>
      <w:r w:rsidRPr="00CD2943">
        <w:t>(10), 1204–1212.</w:t>
      </w:r>
    </w:p>
    <w:p w14:paraId="4C8F5705" w14:textId="77777777" w:rsidR="00E737BE" w:rsidRPr="00E737BE" w:rsidRDefault="00E737BE" w:rsidP="00E737BE"/>
    <w:sectPr w:rsidR="00E737BE" w:rsidRPr="00E737BE" w:rsidSect="00E96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63E"/>
    <w:rsid w:val="00024F00"/>
    <w:rsid w:val="000E1C45"/>
    <w:rsid w:val="000F0D8C"/>
    <w:rsid w:val="0011420C"/>
    <w:rsid w:val="00250307"/>
    <w:rsid w:val="0032646C"/>
    <w:rsid w:val="00336AED"/>
    <w:rsid w:val="0036260E"/>
    <w:rsid w:val="00365241"/>
    <w:rsid w:val="003E4A44"/>
    <w:rsid w:val="00436AEC"/>
    <w:rsid w:val="004A4104"/>
    <w:rsid w:val="004A425B"/>
    <w:rsid w:val="005303C5"/>
    <w:rsid w:val="00804DD4"/>
    <w:rsid w:val="0087137B"/>
    <w:rsid w:val="0089623E"/>
    <w:rsid w:val="008E68EA"/>
    <w:rsid w:val="008F463E"/>
    <w:rsid w:val="00920835"/>
    <w:rsid w:val="009653EE"/>
    <w:rsid w:val="009C560B"/>
    <w:rsid w:val="009E0444"/>
    <w:rsid w:val="00A3309D"/>
    <w:rsid w:val="00B71248"/>
    <w:rsid w:val="00BD78FB"/>
    <w:rsid w:val="00C64691"/>
    <w:rsid w:val="00C649EC"/>
    <w:rsid w:val="00CB41A3"/>
    <w:rsid w:val="00CD2943"/>
    <w:rsid w:val="00CE0802"/>
    <w:rsid w:val="00D92D90"/>
    <w:rsid w:val="00E737BE"/>
    <w:rsid w:val="00E96AA8"/>
    <w:rsid w:val="00EF7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8494E"/>
  <w14:defaultImageDpi w14:val="32767"/>
  <w15:chartTrackingRefBased/>
  <w15:docId w15:val="{47B61C29-7863-4444-8976-7E5B8ADED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737B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137B"/>
    <w:rPr>
      <w:sz w:val="18"/>
      <w:szCs w:val="18"/>
    </w:rPr>
  </w:style>
  <w:style w:type="character" w:customStyle="1" w:styleId="BalloonTextChar">
    <w:name w:val="Balloon Text Char"/>
    <w:basedOn w:val="DefaultParagraphFont"/>
    <w:link w:val="BalloonText"/>
    <w:uiPriority w:val="99"/>
    <w:semiHidden/>
    <w:rsid w:val="0087137B"/>
    <w:rPr>
      <w:rFonts w:ascii="Times New Roman" w:eastAsia="Times New Roman" w:hAnsi="Times New Roman" w:cs="Times New Roman"/>
      <w:sz w:val="18"/>
      <w:szCs w:val="18"/>
    </w:rPr>
  </w:style>
  <w:style w:type="paragraph" w:styleId="NormalWeb">
    <w:name w:val="Normal (Web)"/>
    <w:basedOn w:val="Normal"/>
    <w:uiPriority w:val="99"/>
    <w:semiHidden/>
    <w:unhideWhenUsed/>
    <w:rsid w:val="0089623E"/>
  </w:style>
  <w:style w:type="paragraph" w:styleId="ListParagraph">
    <w:name w:val="List Paragraph"/>
    <w:basedOn w:val="Normal"/>
    <w:uiPriority w:val="34"/>
    <w:qFormat/>
    <w:rsid w:val="0089623E"/>
    <w:pPr>
      <w:ind w:left="720"/>
      <w:contextualSpacing/>
    </w:pPr>
  </w:style>
  <w:style w:type="character" w:styleId="Hyperlink">
    <w:name w:val="Hyperlink"/>
    <w:basedOn w:val="DefaultParagraphFont"/>
    <w:uiPriority w:val="99"/>
    <w:unhideWhenUsed/>
    <w:rsid w:val="00CD2943"/>
    <w:rPr>
      <w:color w:val="0563C1" w:themeColor="hyperlink"/>
      <w:u w:val="single"/>
    </w:rPr>
  </w:style>
  <w:style w:type="character" w:styleId="UnresolvedMention">
    <w:name w:val="Unresolved Mention"/>
    <w:basedOn w:val="DefaultParagraphFont"/>
    <w:uiPriority w:val="99"/>
    <w:rsid w:val="00CD29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4630">
      <w:bodyDiv w:val="1"/>
      <w:marLeft w:val="0"/>
      <w:marRight w:val="0"/>
      <w:marTop w:val="0"/>
      <w:marBottom w:val="0"/>
      <w:divBdr>
        <w:top w:val="none" w:sz="0" w:space="0" w:color="auto"/>
        <w:left w:val="none" w:sz="0" w:space="0" w:color="auto"/>
        <w:bottom w:val="none" w:sz="0" w:space="0" w:color="auto"/>
        <w:right w:val="none" w:sz="0" w:space="0" w:color="auto"/>
      </w:divBdr>
    </w:div>
    <w:div w:id="119811839">
      <w:bodyDiv w:val="1"/>
      <w:marLeft w:val="0"/>
      <w:marRight w:val="0"/>
      <w:marTop w:val="0"/>
      <w:marBottom w:val="0"/>
      <w:divBdr>
        <w:top w:val="none" w:sz="0" w:space="0" w:color="auto"/>
        <w:left w:val="none" w:sz="0" w:space="0" w:color="auto"/>
        <w:bottom w:val="none" w:sz="0" w:space="0" w:color="auto"/>
        <w:right w:val="none" w:sz="0" w:space="0" w:color="auto"/>
      </w:divBdr>
    </w:div>
    <w:div w:id="121116379">
      <w:bodyDiv w:val="1"/>
      <w:marLeft w:val="0"/>
      <w:marRight w:val="0"/>
      <w:marTop w:val="0"/>
      <w:marBottom w:val="0"/>
      <w:divBdr>
        <w:top w:val="none" w:sz="0" w:space="0" w:color="auto"/>
        <w:left w:val="none" w:sz="0" w:space="0" w:color="auto"/>
        <w:bottom w:val="none" w:sz="0" w:space="0" w:color="auto"/>
        <w:right w:val="none" w:sz="0" w:space="0" w:color="auto"/>
      </w:divBdr>
      <w:divsChild>
        <w:div w:id="480318003">
          <w:marLeft w:val="0"/>
          <w:marRight w:val="0"/>
          <w:marTop w:val="0"/>
          <w:marBottom w:val="0"/>
          <w:divBdr>
            <w:top w:val="none" w:sz="0" w:space="0" w:color="auto"/>
            <w:left w:val="none" w:sz="0" w:space="0" w:color="auto"/>
            <w:bottom w:val="none" w:sz="0" w:space="0" w:color="auto"/>
            <w:right w:val="none" w:sz="0" w:space="0" w:color="auto"/>
          </w:divBdr>
        </w:div>
        <w:div w:id="1317031651">
          <w:marLeft w:val="0"/>
          <w:marRight w:val="0"/>
          <w:marTop w:val="0"/>
          <w:marBottom w:val="0"/>
          <w:divBdr>
            <w:top w:val="none" w:sz="0" w:space="0" w:color="auto"/>
            <w:left w:val="none" w:sz="0" w:space="0" w:color="auto"/>
            <w:bottom w:val="none" w:sz="0" w:space="0" w:color="auto"/>
            <w:right w:val="none" w:sz="0" w:space="0" w:color="auto"/>
          </w:divBdr>
        </w:div>
        <w:div w:id="1998266343">
          <w:marLeft w:val="0"/>
          <w:marRight w:val="0"/>
          <w:marTop w:val="0"/>
          <w:marBottom w:val="0"/>
          <w:divBdr>
            <w:top w:val="none" w:sz="0" w:space="0" w:color="auto"/>
            <w:left w:val="none" w:sz="0" w:space="0" w:color="auto"/>
            <w:bottom w:val="none" w:sz="0" w:space="0" w:color="auto"/>
            <w:right w:val="none" w:sz="0" w:space="0" w:color="auto"/>
          </w:divBdr>
        </w:div>
        <w:div w:id="1736397633">
          <w:marLeft w:val="0"/>
          <w:marRight w:val="0"/>
          <w:marTop w:val="0"/>
          <w:marBottom w:val="0"/>
          <w:divBdr>
            <w:top w:val="none" w:sz="0" w:space="0" w:color="auto"/>
            <w:left w:val="none" w:sz="0" w:space="0" w:color="auto"/>
            <w:bottom w:val="none" w:sz="0" w:space="0" w:color="auto"/>
            <w:right w:val="none" w:sz="0" w:space="0" w:color="auto"/>
          </w:divBdr>
        </w:div>
      </w:divsChild>
    </w:div>
    <w:div w:id="135148058">
      <w:bodyDiv w:val="1"/>
      <w:marLeft w:val="0"/>
      <w:marRight w:val="0"/>
      <w:marTop w:val="0"/>
      <w:marBottom w:val="0"/>
      <w:divBdr>
        <w:top w:val="none" w:sz="0" w:space="0" w:color="auto"/>
        <w:left w:val="none" w:sz="0" w:space="0" w:color="auto"/>
        <w:bottom w:val="none" w:sz="0" w:space="0" w:color="auto"/>
        <w:right w:val="none" w:sz="0" w:space="0" w:color="auto"/>
      </w:divBdr>
    </w:div>
    <w:div w:id="215439463">
      <w:bodyDiv w:val="1"/>
      <w:marLeft w:val="0"/>
      <w:marRight w:val="0"/>
      <w:marTop w:val="0"/>
      <w:marBottom w:val="0"/>
      <w:divBdr>
        <w:top w:val="none" w:sz="0" w:space="0" w:color="auto"/>
        <w:left w:val="none" w:sz="0" w:space="0" w:color="auto"/>
        <w:bottom w:val="none" w:sz="0" w:space="0" w:color="auto"/>
        <w:right w:val="none" w:sz="0" w:space="0" w:color="auto"/>
      </w:divBdr>
    </w:div>
    <w:div w:id="248078481">
      <w:bodyDiv w:val="1"/>
      <w:marLeft w:val="0"/>
      <w:marRight w:val="0"/>
      <w:marTop w:val="0"/>
      <w:marBottom w:val="0"/>
      <w:divBdr>
        <w:top w:val="none" w:sz="0" w:space="0" w:color="auto"/>
        <w:left w:val="none" w:sz="0" w:space="0" w:color="auto"/>
        <w:bottom w:val="none" w:sz="0" w:space="0" w:color="auto"/>
        <w:right w:val="none" w:sz="0" w:space="0" w:color="auto"/>
      </w:divBdr>
    </w:div>
    <w:div w:id="301884116">
      <w:bodyDiv w:val="1"/>
      <w:marLeft w:val="0"/>
      <w:marRight w:val="0"/>
      <w:marTop w:val="0"/>
      <w:marBottom w:val="0"/>
      <w:divBdr>
        <w:top w:val="none" w:sz="0" w:space="0" w:color="auto"/>
        <w:left w:val="none" w:sz="0" w:space="0" w:color="auto"/>
        <w:bottom w:val="none" w:sz="0" w:space="0" w:color="auto"/>
        <w:right w:val="none" w:sz="0" w:space="0" w:color="auto"/>
      </w:divBdr>
    </w:div>
    <w:div w:id="318729094">
      <w:bodyDiv w:val="1"/>
      <w:marLeft w:val="0"/>
      <w:marRight w:val="0"/>
      <w:marTop w:val="0"/>
      <w:marBottom w:val="0"/>
      <w:divBdr>
        <w:top w:val="none" w:sz="0" w:space="0" w:color="auto"/>
        <w:left w:val="none" w:sz="0" w:space="0" w:color="auto"/>
        <w:bottom w:val="none" w:sz="0" w:space="0" w:color="auto"/>
        <w:right w:val="none" w:sz="0" w:space="0" w:color="auto"/>
      </w:divBdr>
    </w:div>
    <w:div w:id="399140359">
      <w:bodyDiv w:val="1"/>
      <w:marLeft w:val="0"/>
      <w:marRight w:val="0"/>
      <w:marTop w:val="0"/>
      <w:marBottom w:val="0"/>
      <w:divBdr>
        <w:top w:val="none" w:sz="0" w:space="0" w:color="auto"/>
        <w:left w:val="none" w:sz="0" w:space="0" w:color="auto"/>
        <w:bottom w:val="none" w:sz="0" w:space="0" w:color="auto"/>
        <w:right w:val="none" w:sz="0" w:space="0" w:color="auto"/>
      </w:divBdr>
    </w:div>
    <w:div w:id="614751084">
      <w:bodyDiv w:val="1"/>
      <w:marLeft w:val="0"/>
      <w:marRight w:val="0"/>
      <w:marTop w:val="0"/>
      <w:marBottom w:val="0"/>
      <w:divBdr>
        <w:top w:val="none" w:sz="0" w:space="0" w:color="auto"/>
        <w:left w:val="none" w:sz="0" w:space="0" w:color="auto"/>
        <w:bottom w:val="none" w:sz="0" w:space="0" w:color="auto"/>
        <w:right w:val="none" w:sz="0" w:space="0" w:color="auto"/>
      </w:divBdr>
    </w:div>
    <w:div w:id="665599561">
      <w:bodyDiv w:val="1"/>
      <w:marLeft w:val="0"/>
      <w:marRight w:val="0"/>
      <w:marTop w:val="0"/>
      <w:marBottom w:val="0"/>
      <w:divBdr>
        <w:top w:val="none" w:sz="0" w:space="0" w:color="auto"/>
        <w:left w:val="none" w:sz="0" w:space="0" w:color="auto"/>
        <w:bottom w:val="none" w:sz="0" w:space="0" w:color="auto"/>
        <w:right w:val="none" w:sz="0" w:space="0" w:color="auto"/>
      </w:divBdr>
      <w:divsChild>
        <w:div w:id="1893301398">
          <w:marLeft w:val="0"/>
          <w:marRight w:val="0"/>
          <w:marTop w:val="0"/>
          <w:marBottom w:val="0"/>
          <w:divBdr>
            <w:top w:val="none" w:sz="0" w:space="0" w:color="auto"/>
            <w:left w:val="none" w:sz="0" w:space="0" w:color="auto"/>
            <w:bottom w:val="none" w:sz="0" w:space="0" w:color="auto"/>
            <w:right w:val="none" w:sz="0" w:space="0" w:color="auto"/>
          </w:divBdr>
          <w:divsChild>
            <w:div w:id="665399099">
              <w:marLeft w:val="0"/>
              <w:marRight w:val="0"/>
              <w:marTop w:val="0"/>
              <w:marBottom w:val="0"/>
              <w:divBdr>
                <w:top w:val="none" w:sz="0" w:space="0" w:color="auto"/>
                <w:left w:val="none" w:sz="0" w:space="0" w:color="auto"/>
                <w:bottom w:val="none" w:sz="0" w:space="0" w:color="auto"/>
                <w:right w:val="none" w:sz="0" w:space="0" w:color="auto"/>
              </w:divBdr>
              <w:divsChild>
                <w:div w:id="27236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250517">
      <w:bodyDiv w:val="1"/>
      <w:marLeft w:val="0"/>
      <w:marRight w:val="0"/>
      <w:marTop w:val="0"/>
      <w:marBottom w:val="0"/>
      <w:divBdr>
        <w:top w:val="none" w:sz="0" w:space="0" w:color="auto"/>
        <w:left w:val="none" w:sz="0" w:space="0" w:color="auto"/>
        <w:bottom w:val="none" w:sz="0" w:space="0" w:color="auto"/>
        <w:right w:val="none" w:sz="0" w:space="0" w:color="auto"/>
      </w:divBdr>
    </w:div>
    <w:div w:id="729883572">
      <w:bodyDiv w:val="1"/>
      <w:marLeft w:val="0"/>
      <w:marRight w:val="0"/>
      <w:marTop w:val="0"/>
      <w:marBottom w:val="0"/>
      <w:divBdr>
        <w:top w:val="none" w:sz="0" w:space="0" w:color="auto"/>
        <w:left w:val="none" w:sz="0" w:space="0" w:color="auto"/>
        <w:bottom w:val="none" w:sz="0" w:space="0" w:color="auto"/>
        <w:right w:val="none" w:sz="0" w:space="0" w:color="auto"/>
      </w:divBdr>
    </w:div>
    <w:div w:id="743646557">
      <w:bodyDiv w:val="1"/>
      <w:marLeft w:val="0"/>
      <w:marRight w:val="0"/>
      <w:marTop w:val="0"/>
      <w:marBottom w:val="0"/>
      <w:divBdr>
        <w:top w:val="none" w:sz="0" w:space="0" w:color="auto"/>
        <w:left w:val="none" w:sz="0" w:space="0" w:color="auto"/>
        <w:bottom w:val="none" w:sz="0" w:space="0" w:color="auto"/>
        <w:right w:val="none" w:sz="0" w:space="0" w:color="auto"/>
      </w:divBdr>
    </w:div>
    <w:div w:id="782651267">
      <w:bodyDiv w:val="1"/>
      <w:marLeft w:val="0"/>
      <w:marRight w:val="0"/>
      <w:marTop w:val="0"/>
      <w:marBottom w:val="0"/>
      <w:divBdr>
        <w:top w:val="none" w:sz="0" w:space="0" w:color="auto"/>
        <w:left w:val="none" w:sz="0" w:space="0" w:color="auto"/>
        <w:bottom w:val="none" w:sz="0" w:space="0" w:color="auto"/>
        <w:right w:val="none" w:sz="0" w:space="0" w:color="auto"/>
      </w:divBdr>
    </w:div>
    <w:div w:id="844897928">
      <w:bodyDiv w:val="1"/>
      <w:marLeft w:val="0"/>
      <w:marRight w:val="0"/>
      <w:marTop w:val="0"/>
      <w:marBottom w:val="0"/>
      <w:divBdr>
        <w:top w:val="none" w:sz="0" w:space="0" w:color="auto"/>
        <w:left w:val="none" w:sz="0" w:space="0" w:color="auto"/>
        <w:bottom w:val="none" w:sz="0" w:space="0" w:color="auto"/>
        <w:right w:val="none" w:sz="0" w:space="0" w:color="auto"/>
      </w:divBdr>
    </w:div>
    <w:div w:id="861937412">
      <w:bodyDiv w:val="1"/>
      <w:marLeft w:val="0"/>
      <w:marRight w:val="0"/>
      <w:marTop w:val="0"/>
      <w:marBottom w:val="0"/>
      <w:divBdr>
        <w:top w:val="none" w:sz="0" w:space="0" w:color="auto"/>
        <w:left w:val="none" w:sz="0" w:space="0" w:color="auto"/>
        <w:bottom w:val="none" w:sz="0" w:space="0" w:color="auto"/>
        <w:right w:val="none" w:sz="0" w:space="0" w:color="auto"/>
      </w:divBdr>
    </w:div>
    <w:div w:id="874847329">
      <w:bodyDiv w:val="1"/>
      <w:marLeft w:val="0"/>
      <w:marRight w:val="0"/>
      <w:marTop w:val="0"/>
      <w:marBottom w:val="0"/>
      <w:divBdr>
        <w:top w:val="none" w:sz="0" w:space="0" w:color="auto"/>
        <w:left w:val="none" w:sz="0" w:space="0" w:color="auto"/>
        <w:bottom w:val="none" w:sz="0" w:space="0" w:color="auto"/>
        <w:right w:val="none" w:sz="0" w:space="0" w:color="auto"/>
      </w:divBdr>
      <w:divsChild>
        <w:div w:id="1777822447">
          <w:marLeft w:val="0"/>
          <w:marRight w:val="0"/>
          <w:marTop w:val="0"/>
          <w:marBottom w:val="0"/>
          <w:divBdr>
            <w:top w:val="none" w:sz="0" w:space="0" w:color="auto"/>
            <w:left w:val="none" w:sz="0" w:space="0" w:color="auto"/>
            <w:bottom w:val="none" w:sz="0" w:space="0" w:color="auto"/>
            <w:right w:val="none" w:sz="0" w:space="0" w:color="auto"/>
          </w:divBdr>
        </w:div>
        <w:div w:id="1816801877">
          <w:marLeft w:val="0"/>
          <w:marRight w:val="0"/>
          <w:marTop w:val="0"/>
          <w:marBottom w:val="0"/>
          <w:divBdr>
            <w:top w:val="none" w:sz="0" w:space="0" w:color="auto"/>
            <w:left w:val="none" w:sz="0" w:space="0" w:color="auto"/>
            <w:bottom w:val="none" w:sz="0" w:space="0" w:color="auto"/>
            <w:right w:val="none" w:sz="0" w:space="0" w:color="auto"/>
          </w:divBdr>
        </w:div>
        <w:div w:id="1963998192">
          <w:marLeft w:val="0"/>
          <w:marRight w:val="0"/>
          <w:marTop w:val="0"/>
          <w:marBottom w:val="0"/>
          <w:divBdr>
            <w:top w:val="none" w:sz="0" w:space="0" w:color="auto"/>
            <w:left w:val="none" w:sz="0" w:space="0" w:color="auto"/>
            <w:bottom w:val="none" w:sz="0" w:space="0" w:color="auto"/>
            <w:right w:val="none" w:sz="0" w:space="0" w:color="auto"/>
          </w:divBdr>
        </w:div>
        <w:div w:id="296575004">
          <w:marLeft w:val="0"/>
          <w:marRight w:val="0"/>
          <w:marTop w:val="0"/>
          <w:marBottom w:val="0"/>
          <w:divBdr>
            <w:top w:val="none" w:sz="0" w:space="0" w:color="auto"/>
            <w:left w:val="none" w:sz="0" w:space="0" w:color="auto"/>
            <w:bottom w:val="none" w:sz="0" w:space="0" w:color="auto"/>
            <w:right w:val="none" w:sz="0" w:space="0" w:color="auto"/>
          </w:divBdr>
        </w:div>
      </w:divsChild>
    </w:div>
    <w:div w:id="1004552160">
      <w:bodyDiv w:val="1"/>
      <w:marLeft w:val="0"/>
      <w:marRight w:val="0"/>
      <w:marTop w:val="0"/>
      <w:marBottom w:val="0"/>
      <w:divBdr>
        <w:top w:val="none" w:sz="0" w:space="0" w:color="auto"/>
        <w:left w:val="none" w:sz="0" w:space="0" w:color="auto"/>
        <w:bottom w:val="none" w:sz="0" w:space="0" w:color="auto"/>
        <w:right w:val="none" w:sz="0" w:space="0" w:color="auto"/>
      </w:divBdr>
    </w:div>
    <w:div w:id="1052270395">
      <w:bodyDiv w:val="1"/>
      <w:marLeft w:val="0"/>
      <w:marRight w:val="0"/>
      <w:marTop w:val="0"/>
      <w:marBottom w:val="0"/>
      <w:divBdr>
        <w:top w:val="none" w:sz="0" w:space="0" w:color="auto"/>
        <w:left w:val="none" w:sz="0" w:space="0" w:color="auto"/>
        <w:bottom w:val="none" w:sz="0" w:space="0" w:color="auto"/>
        <w:right w:val="none" w:sz="0" w:space="0" w:color="auto"/>
      </w:divBdr>
    </w:div>
    <w:div w:id="1071777432">
      <w:bodyDiv w:val="1"/>
      <w:marLeft w:val="0"/>
      <w:marRight w:val="0"/>
      <w:marTop w:val="0"/>
      <w:marBottom w:val="0"/>
      <w:divBdr>
        <w:top w:val="none" w:sz="0" w:space="0" w:color="auto"/>
        <w:left w:val="none" w:sz="0" w:space="0" w:color="auto"/>
        <w:bottom w:val="none" w:sz="0" w:space="0" w:color="auto"/>
        <w:right w:val="none" w:sz="0" w:space="0" w:color="auto"/>
      </w:divBdr>
    </w:div>
    <w:div w:id="1082987992">
      <w:bodyDiv w:val="1"/>
      <w:marLeft w:val="0"/>
      <w:marRight w:val="0"/>
      <w:marTop w:val="0"/>
      <w:marBottom w:val="0"/>
      <w:divBdr>
        <w:top w:val="none" w:sz="0" w:space="0" w:color="auto"/>
        <w:left w:val="none" w:sz="0" w:space="0" w:color="auto"/>
        <w:bottom w:val="none" w:sz="0" w:space="0" w:color="auto"/>
        <w:right w:val="none" w:sz="0" w:space="0" w:color="auto"/>
      </w:divBdr>
    </w:div>
    <w:div w:id="1101996226">
      <w:bodyDiv w:val="1"/>
      <w:marLeft w:val="0"/>
      <w:marRight w:val="0"/>
      <w:marTop w:val="0"/>
      <w:marBottom w:val="0"/>
      <w:divBdr>
        <w:top w:val="none" w:sz="0" w:space="0" w:color="auto"/>
        <w:left w:val="none" w:sz="0" w:space="0" w:color="auto"/>
        <w:bottom w:val="none" w:sz="0" w:space="0" w:color="auto"/>
        <w:right w:val="none" w:sz="0" w:space="0" w:color="auto"/>
      </w:divBdr>
    </w:div>
    <w:div w:id="1192037856">
      <w:bodyDiv w:val="1"/>
      <w:marLeft w:val="0"/>
      <w:marRight w:val="0"/>
      <w:marTop w:val="0"/>
      <w:marBottom w:val="0"/>
      <w:divBdr>
        <w:top w:val="none" w:sz="0" w:space="0" w:color="auto"/>
        <w:left w:val="none" w:sz="0" w:space="0" w:color="auto"/>
        <w:bottom w:val="none" w:sz="0" w:space="0" w:color="auto"/>
        <w:right w:val="none" w:sz="0" w:space="0" w:color="auto"/>
      </w:divBdr>
    </w:div>
    <w:div w:id="1274362480">
      <w:bodyDiv w:val="1"/>
      <w:marLeft w:val="0"/>
      <w:marRight w:val="0"/>
      <w:marTop w:val="0"/>
      <w:marBottom w:val="0"/>
      <w:divBdr>
        <w:top w:val="none" w:sz="0" w:space="0" w:color="auto"/>
        <w:left w:val="none" w:sz="0" w:space="0" w:color="auto"/>
        <w:bottom w:val="none" w:sz="0" w:space="0" w:color="auto"/>
        <w:right w:val="none" w:sz="0" w:space="0" w:color="auto"/>
      </w:divBdr>
    </w:div>
    <w:div w:id="1277828867">
      <w:bodyDiv w:val="1"/>
      <w:marLeft w:val="0"/>
      <w:marRight w:val="0"/>
      <w:marTop w:val="0"/>
      <w:marBottom w:val="0"/>
      <w:divBdr>
        <w:top w:val="none" w:sz="0" w:space="0" w:color="auto"/>
        <w:left w:val="none" w:sz="0" w:space="0" w:color="auto"/>
        <w:bottom w:val="none" w:sz="0" w:space="0" w:color="auto"/>
        <w:right w:val="none" w:sz="0" w:space="0" w:color="auto"/>
      </w:divBdr>
    </w:div>
    <w:div w:id="1347486555">
      <w:bodyDiv w:val="1"/>
      <w:marLeft w:val="0"/>
      <w:marRight w:val="0"/>
      <w:marTop w:val="0"/>
      <w:marBottom w:val="0"/>
      <w:divBdr>
        <w:top w:val="none" w:sz="0" w:space="0" w:color="auto"/>
        <w:left w:val="none" w:sz="0" w:space="0" w:color="auto"/>
        <w:bottom w:val="none" w:sz="0" w:space="0" w:color="auto"/>
        <w:right w:val="none" w:sz="0" w:space="0" w:color="auto"/>
      </w:divBdr>
    </w:div>
    <w:div w:id="1421364934">
      <w:bodyDiv w:val="1"/>
      <w:marLeft w:val="0"/>
      <w:marRight w:val="0"/>
      <w:marTop w:val="0"/>
      <w:marBottom w:val="0"/>
      <w:divBdr>
        <w:top w:val="none" w:sz="0" w:space="0" w:color="auto"/>
        <w:left w:val="none" w:sz="0" w:space="0" w:color="auto"/>
        <w:bottom w:val="none" w:sz="0" w:space="0" w:color="auto"/>
        <w:right w:val="none" w:sz="0" w:space="0" w:color="auto"/>
      </w:divBdr>
    </w:div>
    <w:div w:id="1429041808">
      <w:bodyDiv w:val="1"/>
      <w:marLeft w:val="0"/>
      <w:marRight w:val="0"/>
      <w:marTop w:val="0"/>
      <w:marBottom w:val="0"/>
      <w:divBdr>
        <w:top w:val="none" w:sz="0" w:space="0" w:color="auto"/>
        <w:left w:val="none" w:sz="0" w:space="0" w:color="auto"/>
        <w:bottom w:val="none" w:sz="0" w:space="0" w:color="auto"/>
        <w:right w:val="none" w:sz="0" w:space="0" w:color="auto"/>
      </w:divBdr>
    </w:div>
    <w:div w:id="1542086018">
      <w:bodyDiv w:val="1"/>
      <w:marLeft w:val="0"/>
      <w:marRight w:val="0"/>
      <w:marTop w:val="0"/>
      <w:marBottom w:val="0"/>
      <w:divBdr>
        <w:top w:val="none" w:sz="0" w:space="0" w:color="auto"/>
        <w:left w:val="none" w:sz="0" w:space="0" w:color="auto"/>
        <w:bottom w:val="none" w:sz="0" w:space="0" w:color="auto"/>
        <w:right w:val="none" w:sz="0" w:space="0" w:color="auto"/>
      </w:divBdr>
    </w:div>
    <w:div w:id="1562984318">
      <w:bodyDiv w:val="1"/>
      <w:marLeft w:val="0"/>
      <w:marRight w:val="0"/>
      <w:marTop w:val="0"/>
      <w:marBottom w:val="0"/>
      <w:divBdr>
        <w:top w:val="none" w:sz="0" w:space="0" w:color="auto"/>
        <w:left w:val="none" w:sz="0" w:space="0" w:color="auto"/>
        <w:bottom w:val="none" w:sz="0" w:space="0" w:color="auto"/>
        <w:right w:val="none" w:sz="0" w:space="0" w:color="auto"/>
      </w:divBdr>
    </w:div>
    <w:div w:id="1584487943">
      <w:bodyDiv w:val="1"/>
      <w:marLeft w:val="0"/>
      <w:marRight w:val="0"/>
      <w:marTop w:val="0"/>
      <w:marBottom w:val="0"/>
      <w:divBdr>
        <w:top w:val="none" w:sz="0" w:space="0" w:color="auto"/>
        <w:left w:val="none" w:sz="0" w:space="0" w:color="auto"/>
        <w:bottom w:val="none" w:sz="0" w:space="0" w:color="auto"/>
        <w:right w:val="none" w:sz="0" w:space="0" w:color="auto"/>
      </w:divBdr>
    </w:div>
    <w:div w:id="1803301541">
      <w:bodyDiv w:val="1"/>
      <w:marLeft w:val="0"/>
      <w:marRight w:val="0"/>
      <w:marTop w:val="0"/>
      <w:marBottom w:val="0"/>
      <w:divBdr>
        <w:top w:val="none" w:sz="0" w:space="0" w:color="auto"/>
        <w:left w:val="none" w:sz="0" w:space="0" w:color="auto"/>
        <w:bottom w:val="none" w:sz="0" w:space="0" w:color="auto"/>
        <w:right w:val="none" w:sz="0" w:space="0" w:color="auto"/>
      </w:divBdr>
    </w:div>
    <w:div w:id="1814449600">
      <w:bodyDiv w:val="1"/>
      <w:marLeft w:val="0"/>
      <w:marRight w:val="0"/>
      <w:marTop w:val="0"/>
      <w:marBottom w:val="0"/>
      <w:divBdr>
        <w:top w:val="none" w:sz="0" w:space="0" w:color="auto"/>
        <w:left w:val="none" w:sz="0" w:space="0" w:color="auto"/>
        <w:bottom w:val="none" w:sz="0" w:space="0" w:color="auto"/>
        <w:right w:val="none" w:sz="0" w:space="0" w:color="auto"/>
      </w:divBdr>
    </w:div>
    <w:div w:id="1865482243">
      <w:bodyDiv w:val="1"/>
      <w:marLeft w:val="0"/>
      <w:marRight w:val="0"/>
      <w:marTop w:val="0"/>
      <w:marBottom w:val="0"/>
      <w:divBdr>
        <w:top w:val="none" w:sz="0" w:space="0" w:color="auto"/>
        <w:left w:val="none" w:sz="0" w:space="0" w:color="auto"/>
        <w:bottom w:val="none" w:sz="0" w:space="0" w:color="auto"/>
        <w:right w:val="none" w:sz="0" w:space="0" w:color="auto"/>
      </w:divBdr>
      <w:divsChild>
        <w:div w:id="194664383">
          <w:marLeft w:val="0"/>
          <w:marRight w:val="0"/>
          <w:marTop w:val="0"/>
          <w:marBottom w:val="0"/>
          <w:divBdr>
            <w:top w:val="none" w:sz="0" w:space="0" w:color="auto"/>
            <w:left w:val="none" w:sz="0" w:space="0" w:color="auto"/>
            <w:bottom w:val="none" w:sz="0" w:space="0" w:color="auto"/>
            <w:right w:val="none" w:sz="0" w:space="0" w:color="auto"/>
          </w:divBdr>
          <w:divsChild>
            <w:div w:id="235752420">
              <w:marLeft w:val="0"/>
              <w:marRight w:val="0"/>
              <w:marTop w:val="0"/>
              <w:marBottom w:val="0"/>
              <w:divBdr>
                <w:top w:val="none" w:sz="0" w:space="0" w:color="auto"/>
                <w:left w:val="none" w:sz="0" w:space="0" w:color="auto"/>
                <w:bottom w:val="none" w:sz="0" w:space="0" w:color="auto"/>
                <w:right w:val="none" w:sz="0" w:space="0" w:color="auto"/>
              </w:divBdr>
              <w:divsChild>
                <w:div w:id="128249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649405">
      <w:bodyDiv w:val="1"/>
      <w:marLeft w:val="0"/>
      <w:marRight w:val="0"/>
      <w:marTop w:val="0"/>
      <w:marBottom w:val="0"/>
      <w:divBdr>
        <w:top w:val="none" w:sz="0" w:space="0" w:color="auto"/>
        <w:left w:val="none" w:sz="0" w:space="0" w:color="auto"/>
        <w:bottom w:val="none" w:sz="0" w:space="0" w:color="auto"/>
        <w:right w:val="none" w:sz="0" w:space="0" w:color="auto"/>
      </w:divBdr>
      <w:divsChild>
        <w:div w:id="302346079">
          <w:marLeft w:val="0"/>
          <w:marRight w:val="0"/>
          <w:marTop w:val="0"/>
          <w:marBottom w:val="0"/>
          <w:divBdr>
            <w:top w:val="none" w:sz="0" w:space="0" w:color="auto"/>
            <w:left w:val="none" w:sz="0" w:space="0" w:color="auto"/>
            <w:bottom w:val="none" w:sz="0" w:space="0" w:color="auto"/>
            <w:right w:val="none" w:sz="0" w:space="0" w:color="auto"/>
          </w:divBdr>
        </w:div>
        <w:div w:id="866455768">
          <w:marLeft w:val="0"/>
          <w:marRight w:val="0"/>
          <w:marTop w:val="0"/>
          <w:marBottom w:val="0"/>
          <w:divBdr>
            <w:top w:val="none" w:sz="0" w:space="0" w:color="auto"/>
            <w:left w:val="none" w:sz="0" w:space="0" w:color="auto"/>
            <w:bottom w:val="none" w:sz="0" w:space="0" w:color="auto"/>
            <w:right w:val="none" w:sz="0" w:space="0" w:color="auto"/>
          </w:divBdr>
        </w:div>
        <w:div w:id="1102265076">
          <w:marLeft w:val="0"/>
          <w:marRight w:val="0"/>
          <w:marTop w:val="0"/>
          <w:marBottom w:val="0"/>
          <w:divBdr>
            <w:top w:val="none" w:sz="0" w:space="0" w:color="auto"/>
            <w:left w:val="none" w:sz="0" w:space="0" w:color="auto"/>
            <w:bottom w:val="none" w:sz="0" w:space="0" w:color="auto"/>
            <w:right w:val="none" w:sz="0" w:space="0" w:color="auto"/>
          </w:divBdr>
        </w:div>
        <w:div w:id="730343958">
          <w:marLeft w:val="0"/>
          <w:marRight w:val="0"/>
          <w:marTop w:val="0"/>
          <w:marBottom w:val="0"/>
          <w:divBdr>
            <w:top w:val="none" w:sz="0" w:space="0" w:color="auto"/>
            <w:left w:val="none" w:sz="0" w:space="0" w:color="auto"/>
            <w:bottom w:val="none" w:sz="0" w:space="0" w:color="auto"/>
            <w:right w:val="none" w:sz="0" w:space="0" w:color="auto"/>
          </w:divBdr>
        </w:div>
        <w:div w:id="355162613">
          <w:marLeft w:val="0"/>
          <w:marRight w:val="0"/>
          <w:marTop w:val="0"/>
          <w:marBottom w:val="0"/>
          <w:divBdr>
            <w:top w:val="none" w:sz="0" w:space="0" w:color="auto"/>
            <w:left w:val="none" w:sz="0" w:space="0" w:color="auto"/>
            <w:bottom w:val="none" w:sz="0" w:space="0" w:color="auto"/>
            <w:right w:val="none" w:sz="0" w:space="0" w:color="auto"/>
          </w:divBdr>
        </w:div>
        <w:div w:id="1047490940">
          <w:marLeft w:val="0"/>
          <w:marRight w:val="0"/>
          <w:marTop w:val="0"/>
          <w:marBottom w:val="0"/>
          <w:divBdr>
            <w:top w:val="none" w:sz="0" w:space="0" w:color="auto"/>
            <w:left w:val="none" w:sz="0" w:space="0" w:color="auto"/>
            <w:bottom w:val="none" w:sz="0" w:space="0" w:color="auto"/>
            <w:right w:val="none" w:sz="0" w:space="0" w:color="auto"/>
          </w:divBdr>
        </w:div>
        <w:div w:id="1238250572">
          <w:marLeft w:val="0"/>
          <w:marRight w:val="0"/>
          <w:marTop w:val="0"/>
          <w:marBottom w:val="0"/>
          <w:divBdr>
            <w:top w:val="none" w:sz="0" w:space="0" w:color="auto"/>
            <w:left w:val="none" w:sz="0" w:space="0" w:color="auto"/>
            <w:bottom w:val="none" w:sz="0" w:space="0" w:color="auto"/>
            <w:right w:val="none" w:sz="0" w:space="0" w:color="auto"/>
          </w:divBdr>
        </w:div>
        <w:div w:id="1766341464">
          <w:marLeft w:val="0"/>
          <w:marRight w:val="0"/>
          <w:marTop w:val="0"/>
          <w:marBottom w:val="0"/>
          <w:divBdr>
            <w:top w:val="none" w:sz="0" w:space="0" w:color="auto"/>
            <w:left w:val="none" w:sz="0" w:space="0" w:color="auto"/>
            <w:bottom w:val="none" w:sz="0" w:space="0" w:color="auto"/>
            <w:right w:val="none" w:sz="0" w:space="0" w:color="auto"/>
          </w:divBdr>
        </w:div>
        <w:div w:id="950935131">
          <w:marLeft w:val="0"/>
          <w:marRight w:val="0"/>
          <w:marTop w:val="0"/>
          <w:marBottom w:val="0"/>
          <w:divBdr>
            <w:top w:val="none" w:sz="0" w:space="0" w:color="auto"/>
            <w:left w:val="none" w:sz="0" w:space="0" w:color="auto"/>
            <w:bottom w:val="none" w:sz="0" w:space="0" w:color="auto"/>
            <w:right w:val="none" w:sz="0" w:space="0" w:color="auto"/>
          </w:divBdr>
        </w:div>
        <w:div w:id="232741101">
          <w:marLeft w:val="0"/>
          <w:marRight w:val="0"/>
          <w:marTop w:val="0"/>
          <w:marBottom w:val="0"/>
          <w:divBdr>
            <w:top w:val="none" w:sz="0" w:space="0" w:color="auto"/>
            <w:left w:val="none" w:sz="0" w:space="0" w:color="auto"/>
            <w:bottom w:val="none" w:sz="0" w:space="0" w:color="auto"/>
            <w:right w:val="none" w:sz="0" w:space="0" w:color="auto"/>
          </w:divBdr>
        </w:div>
        <w:div w:id="494951579">
          <w:marLeft w:val="0"/>
          <w:marRight w:val="0"/>
          <w:marTop w:val="0"/>
          <w:marBottom w:val="0"/>
          <w:divBdr>
            <w:top w:val="none" w:sz="0" w:space="0" w:color="auto"/>
            <w:left w:val="none" w:sz="0" w:space="0" w:color="auto"/>
            <w:bottom w:val="none" w:sz="0" w:space="0" w:color="auto"/>
            <w:right w:val="none" w:sz="0" w:space="0" w:color="auto"/>
          </w:divBdr>
        </w:div>
        <w:div w:id="1139690960">
          <w:marLeft w:val="0"/>
          <w:marRight w:val="0"/>
          <w:marTop w:val="0"/>
          <w:marBottom w:val="0"/>
          <w:divBdr>
            <w:top w:val="none" w:sz="0" w:space="0" w:color="auto"/>
            <w:left w:val="none" w:sz="0" w:space="0" w:color="auto"/>
            <w:bottom w:val="none" w:sz="0" w:space="0" w:color="auto"/>
            <w:right w:val="none" w:sz="0" w:space="0" w:color="auto"/>
          </w:divBdr>
        </w:div>
        <w:div w:id="948052944">
          <w:marLeft w:val="0"/>
          <w:marRight w:val="0"/>
          <w:marTop w:val="0"/>
          <w:marBottom w:val="0"/>
          <w:divBdr>
            <w:top w:val="none" w:sz="0" w:space="0" w:color="auto"/>
            <w:left w:val="none" w:sz="0" w:space="0" w:color="auto"/>
            <w:bottom w:val="none" w:sz="0" w:space="0" w:color="auto"/>
            <w:right w:val="none" w:sz="0" w:space="0" w:color="auto"/>
          </w:divBdr>
        </w:div>
      </w:divsChild>
    </w:div>
    <w:div w:id="1898932519">
      <w:bodyDiv w:val="1"/>
      <w:marLeft w:val="0"/>
      <w:marRight w:val="0"/>
      <w:marTop w:val="0"/>
      <w:marBottom w:val="0"/>
      <w:divBdr>
        <w:top w:val="none" w:sz="0" w:space="0" w:color="auto"/>
        <w:left w:val="none" w:sz="0" w:space="0" w:color="auto"/>
        <w:bottom w:val="none" w:sz="0" w:space="0" w:color="auto"/>
        <w:right w:val="none" w:sz="0" w:space="0" w:color="auto"/>
      </w:divBdr>
    </w:div>
    <w:div w:id="1943411698">
      <w:bodyDiv w:val="1"/>
      <w:marLeft w:val="0"/>
      <w:marRight w:val="0"/>
      <w:marTop w:val="0"/>
      <w:marBottom w:val="0"/>
      <w:divBdr>
        <w:top w:val="none" w:sz="0" w:space="0" w:color="auto"/>
        <w:left w:val="none" w:sz="0" w:space="0" w:color="auto"/>
        <w:bottom w:val="none" w:sz="0" w:space="0" w:color="auto"/>
        <w:right w:val="none" w:sz="0" w:space="0" w:color="auto"/>
      </w:divBdr>
    </w:div>
    <w:div w:id="1998998231">
      <w:bodyDiv w:val="1"/>
      <w:marLeft w:val="0"/>
      <w:marRight w:val="0"/>
      <w:marTop w:val="0"/>
      <w:marBottom w:val="0"/>
      <w:divBdr>
        <w:top w:val="none" w:sz="0" w:space="0" w:color="auto"/>
        <w:left w:val="none" w:sz="0" w:space="0" w:color="auto"/>
        <w:bottom w:val="none" w:sz="0" w:space="0" w:color="auto"/>
        <w:right w:val="none" w:sz="0" w:space="0" w:color="auto"/>
      </w:divBdr>
    </w:div>
    <w:div w:id="2076319448">
      <w:bodyDiv w:val="1"/>
      <w:marLeft w:val="0"/>
      <w:marRight w:val="0"/>
      <w:marTop w:val="0"/>
      <w:marBottom w:val="0"/>
      <w:divBdr>
        <w:top w:val="none" w:sz="0" w:space="0" w:color="auto"/>
        <w:left w:val="none" w:sz="0" w:space="0" w:color="auto"/>
        <w:bottom w:val="none" w:sz="0" w:space="0" w:color="auto"/>
        <w:right w:val="none" w:sz="0" w:space="0" w:color="auto"/>
      </w:divBdr>
    </w:div>
    <w:div w:id="2090154330">
      <w:bodyDiv w:val="1"/>
      <w:marLeft w:val="0"/>
      <w:marRight w:val="0"/>
      <w:marTop w:val="0"/>
      <w:marBottom w:val="0"/>
      <w:divBdr>
        <w:top w:val="none" w:sz="0" w:space="0" w:color="auto"/>
        <w:left w:val="none" w:sz="0" w:space="0" w:color="auto"/>
        <w:bottom w:val="none" w:sz="0" w:space="0" w:color="auto"/>
        <w:right w:val="none" w:sz="0" w:space="0" w:color="auto"/>
      </w:divBdr>
    </w:div>
    <w:div w:id="209597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https:/doi.org/10.1016/j.neurobiolaging.2012.08.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2483</Words>
  <Characters>14157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 Emorie</dc:creator>
  <cp:keywords/>
  <dc:description/>
  <cp:lastModifiedBy>Emorie Danielle Beck</cp:lastModifiedBy>
  <cp:revision>8</cp:revision>
  <dcterms:created xsi:type="dcterms:W3CDTF">2020-08-24T22:07:00Z</dcterms:created>
  <dcterms:modified xsi:type="dcterms:W3CDTF">2020-09-09T19:54:00Z</dcterms:modified>
</cp:coreProperties>
</file>