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portada"/>
    <w:p>
      <w:pPr>
        <w:pStyle w:val="Heading1"/>
      </w:pPr>
      <w:r>
        <w:t xml:space="preserve">Portada</w:t>
      </w:r>
    </w:p>
    <w:p>
      <w:pPr>
        <w:pStyle w:val="FirstParagraph"/>
      </w:pPr>
      <w:r>
        <w:rPr>
          <w:b/>
          <w:bCs/>
        </w:rPr>
        <w:t xml:space="preserve">Título del reporte</w:t>
      </w:r>
      <w:r>
        <w:t xml:space="preserve">: _________________________________________________</w:t>
      </w:r>
      <w:r>
        <w:br/>
      </w:r>
      <w:r>
        <w:rPr>
          <w:b/>
          <w:bCs/>
        </w:rPr>
        <w:t xml:space="preserve">Instrumento analizado</w:t>
      </w:r>
      <w:r>
        <w:t xml:space="preserve">: _____________________________________________</w:t>
      </w:r>
      <w:r>
        <w:br/>
      </w:r>
      <w:r>
        <w:rPr>
          <w:b/>
          <w:bCs/>
        </w:rPr>
        <w:t xml:space="preserve">Autores / Equipo</w:t>
      </w:r>
      <w:r>
        <w:t xml:space="preserve">: _________________________________________________</w:t>
      </w:r>
      <w:r>
        <w:br/>
      </w:r>
      <w:r>
        <w:rPr>
          <w:b/>
          <w:bCs/>
        </w:rPr>
        <w:t xml:space="preserve">Fecha</w:t>
      </w:r>
      <w:r>
        <w:t xml:space="preserve">:</w:t>
      </w:r>
      <w:r>
        <w:t xml:space="preserve"> </w:t>
      </w:r>
      <w:r>
        <w:rPr>
          <w:b/>
          <w:bCs/>
          <w:i/>
          <w:iCs/>
        </w:rPr>
        <w:t xml:space="preserve">/</w:t>
      </w:r>
      <w:r>
        <w:t xml:space="preserve">/______</w:t>
      </w:r>
    </w:p>
    <w:p>
      <w:r>
        <w:pict>
          <v:rect style="width:0;height:1.5pt" o:hralign="center" o:hrstd="t" o:hr="t"/>
        </w:pict>
      </w:r>
    </w:p>
    <w:bookmarkStart w:id="20" w:name="instrucciones-de-uso"/>
    <w:p>
      <w:pPr>
        <w:pStyle w:val="Heading2"/>
      </w:pPr>
      <w:r>
        <w:t xml:space="preserve">Instrucciones de uso</w:t>
      </w:r>
    </w:p>
    <w:p>
      <w:pPr>
        <w:pStyle w:val="FirstParagraph"/>
      </w:pPr>
      <w:r>
        <w:t xml:space="preserve">Esta plantilla resume los apartados esenciales para documentar los análisis factoriales exploratorio (AFE) y confirmatorio (AFC). Complete los campos</w:t>
      </w:r>
      <w:r>
        <w:t xml:space="preserve"> </w:t>
      </w:r>
      <w:r>
        <w:rPr>
          <w:b/>
          <w:bCs/>
        </w:rPr>
        <w:t xml:space="preserve">entre corchetes [ ]</w:t>
      </w:r>
      <w:r>
        <w:t xml:space="preserve"> </w:t>
      </w:r>
      <w:r>
        <w:t xml:space="preserve">y ajuste las tablas según la cantidad de factores o ítems.</w:t>
      </w:r>
    </w:p>
    <w:p>
      <w:r>
        <w:pict>
          <v:rect style="width:0;height:1.5pt" o:hralign="center" o:hrstd="t" o:hr="t"/>
        </w:pict>
      </w:r>
    </w:p>
    <w:bookmarkEnd w:id="20"/>
    <w:bookmarkStart w:id="21" w:name="preparación-de-datos"/>
    <w:p>
      <w:pPr>
        <w:pStyle w:val="Heading2"/>
      </w:pPr>
      <w:r>
        <w:t xml:space="preserve">1. Preparación de datos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Software y versión</w:t>
      </w:r>
      <w:r>
        <w:t xml:space="preserve">: [Jamovi 2.5.5 / R 4.4, etc.]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Manejo de datos faltantes</w:t>
      </w:r>
      <w:r>
        <w:t xml:space="preserve">: [Descripción breve]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Detección y tratamiento de atípicos</w:t>
      </w:r>
      <w:r>
        <w:t xml:space="preserve">: [Método y casos afectados]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Pruebas de normalidad</w:t>
      </w:r>
      <w:r>
        <w:t xml:space="preserve">: [Kolmogorov‑Smirnov, Shapiro‑Wilk, asimetría, curtosis]</w:t>
      </w:r>
    </w:p>
    <w:p>
      <w:r>
        <w:pict>
          <v:rect style="width:0;height:1.5pt" o:hralign="center" o:hrstd="t" o:hr="t"/>
        </w:pict>
      </w:r>
    </w:p>
    <w:bookmarkEnd w:id="21"/>
    <w:bookmarkStart w:id="22" w:name="factorabilidad-de-los-datos"/>
    <w:p>
      <w:pPr>
        <w:pStyle w:val="Heading2"/>
      </w:pPr>
      <w:r>
        <w:t xml:space="preserve">2. Factorabilidad de los datos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Estadístico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  <w:tc>
          <w:tcPr/>
          <w:p>
            <w:pPr>
              <w:pStyle w:val="Compact"/>
            </w:pPr>
            <w:r>
              <w:t xml:space="preserve">Criterio</w:t>
            </w:r>
          </w:p>
        </w:tc>
        <w:tc>
          <w:tcPr/>
          <w:p>
            <w:pPr>
              <w:pStyle w:val="Compact"/>
            </w:pPr>
            <w:r>
              <w:t xml:space="preserve">Cumple (Sí/No)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 de esfericidad de Bartlett (p‑valor)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p ≤ .05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KMO global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≥ .60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Correlaciones &gt; 0.30 (proporción)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&gt; .50 recomendable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6" w:name="análisis-factorial-exploratorio-afe"/>
    <w:p>
      <w:pPr>
        <w:pStyle w:val="Heading2"/>
      </w:pPr>
      <w:r>
        <w:t xml:space="preserve">3. Análisis factorial exploratorio (AFE)</w:t>
      </w:r>
    </w:p>
    <w:bookmarkStart w:id="23" w:name="X755abd5ab8e8ee08102ba3083e3e1f04ce4e98b"/>
    <w:p>
      <w:pPr>
        <w:pStyle w:val="Heading3"/>
      </w:pPr>
      <w:r>
        <w:t xml:space="preserve">3.1 Criterios de extracción y número de factores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Método de extracción</w:t>
      </w:r>
      <w:r>
        <w:t xml:space="preserve">: [PAF / ML]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Método de rotación</w:t>
      </w:r>
      <w:r>
        <w:t xml:space="preserve">: [Oblicua – Direct Oblimin / Promax]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Criterios para número de factores</w:t>
      </w:r>
      <w:r>
        <w:t xml:space="preserve">: Scree, PA, MAP, teoría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Factores retenidos</w:t>
      </w:r>
      <w:r>
        <w:t xml:space="preserve">: [n]</w:t>
      </w:r>
    </w:p>
    <w:bookmarkEnd w:id="23"/>
    <w:bookmarkStart w:id="24" w:name="matriz-de-cargas-factoriales"/>
    <w:p>
      <w:pPr>
        <w:pStyle w:val="Heading3"/>
      </w:pPr>
      <w:r>
        <w:t xml:space="preserve">3.2 Matriz de cargas factoriales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Ítem</w:t>
            </w:r>
          </w:p>
        </w:tc>
        <w:tc>
          <w:tcPr/>
          <w:p>
            <w:pPr>
              <w:pStyle w:val="Compact"/>
            </w:pPr>
            <w:r>
              <w:t xml:space="preserve">Factor 1</w:t>
            </w:r>
          </w:p>
        </w:tc>
        <w:tc>
          <w:tcPr/>
          <w:p>
            <w:pPr>
              <w:pStyle w:val="Compact"/>
            </w:pPr>
            <w:r>
              <w:t xml:space="preserve">Factor 2</w:t>
            </w:r>
          </w:p>
        </w:tc>
        <w:tc>
          <w:tcPr/>
          <w:p>
            <w:pPr>
              <w:pStyle w:val="Compact"/>
            </w:pPr>
            <w:r>
              <w:t xml:space="preserve">Factor 3</w:t>
            </w:r>
          </w:p>
        </w:tc>
        <w:tc>
          <w:tcPr/>
          <w:p>
            <w:pPr>
              <w:pStyle w:val="Compact"/>
            </w:pPr>
            <w:r>
              <w:t xml:space="preserve">Comun.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lockText"/>
      </w:pPr>
      <w:r>
        <w:rPr>
          <w:i/>
          <w:iCs/>
        </w:rPr>
        <w:t xml:space="preserve">Indique en negrita las cargas ≥ 0.40. Añada/elimine columnas según factores.</w:t>
      </w:r>
    </w:p>
    <w:bookmarkEnd w:id="24"/>
    <w:bookmarkStart w:id="25" w:name="varianza-explicada"/>
    <w:p>
      <w:pPr>
        <w:pStyle w:val="Heading3"/>
      </w:pPr>
      <w:r>
        <w:t xml:space="preserve">3.3 Varianza explicada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Factor</w:t>
            </w:r>
          </w:p>
        </w:tc>
        <w:tc>
          <w:tcPr/>
          <w:p>
            <w:pPr>
              <w:pStyle w:val="Compact"/>
            </w:pPr>
            <w:r>
              <w:t xml:space="preserve">Autovalor</w:t>
            </w:r>
          </w:p>
        </w:tc>
        <w:tc>
          <w:tcPr/>
          <w:p>
            <w:pPr>
              <w:pStyle w:val="Compact"/>
            </w:pPr>
            <w:r>
              <w:t xml:space="preserve">% varianza</w:t>
            </w:r>
          </w:p>
        </w:tc>
        <w:tc>
          <w:tcPr/>
          <w:p>
            <w:pPr>
              <w:pStyle w:val="Compact"/>
            </w:pPr>
            <w:r>
              <w:t xml:space="preserve">% acumulada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análisis-factorial-confirmatorio-afc"/>
    <w:p>
      <w:pPr>
        <w:pStyle w:val="Heading2"/>
      </w:pPr>
      <w:r>
        <w:t xml:space="preserve">4. Análisis factorial confirmatorio (AFC)</w:t>
      </w:r>
    </w:p>
    <w:bookmarkStart w:id="27" w:name="especificación-del-modelo"/>
    <w:p>
      <w:pPr>
        <w:pStyle w:val="Heading3"/>
      </w:pPr>
      <w:r>
        <w:t xml:space="preserve">4.1 Especificación del modelo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Número de factores</w:t>
      </w:r>
      <w:r>
        <w:t xml:space="preserve">: [ ]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Ítems por factor</w:t>
      </w:r>
      <w:r>
        <w:t xml:space="preserve">: [ ]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Correlaciones entre factores</w:t>
      </w:r>
      <w:r>
        <w:t xml:space="preserve">: [Sí/No]</w:t>
      </w:r>
    </w:p>
    <w:bookmarkEnd w:id="27"/>
    <w:bookmarkStart w:id="28" w:name="índices-de-ajuste"/>
    <w:p>
      <w:pPr>
        <w:pStyle w:val="Heading3"/>
      </w:pPr>
      <w:r>
        <w:t xml:space="preserve">4.2 Índices de ajuste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Índice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  <w:tc>
          <w:tcPr/>
          <w:p>
            <w:pPr>
              <w:pStyle w:val="Compact"/>
            </w:pPr>
            <w:r>
              <w:t xml:space="preserve">Criterio</w:t>
            </w:r>
          </w:p>
        </w:tc>
        <w:tc>
          <w:tcPr/>
          <w:p>
            <w:pPr>
              <w:pStyle w:val="Compact"/>
            </w:pPr>
            <w:r>
              <w:t xml:space="preserve">Ajuste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χ²/df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&lt; 3.0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CFI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≥ .95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TLI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≥ .95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RMSEA (IC 90 %)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≤ 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SRMR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≤ .08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modificaciones-si-aplica"/>
    <w:p>
      <w:pPr>
        <w:pStyle w:val="Heading3"/>
      </w:pPr>
      <w:r>
        <w:t xml:space="preserve">4.3 Modificaciones (si aplica)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Ítems correlacionados / parámetros liberados</w:t>
      </w:r>
      <w:r>
        <w:t xml:space="preserve">: [Descripción]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Justificación teórica</w:t>
      </w:r>
      <w:r>
        <w:t xml:space="preserve">: [ ]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interpretación-de-hallazgos"/>
    <w:p>
      <w:pPr>
        <w:pStyle w:val="Heading2"/>
      </w:pPr>
      <w:r>
        <w:t xml:space="preserve">5. Interpretación de hallazgos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Resumen AFE</w:t>
      </w:r>
      <w:r>
        <w:t xml:space="preserve">: [Estructura y adecuación]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Resumen AFC</w:t>
      </w:r>
      <w:r>
        <w:t xml:space="preserve">: [Ajuste y confirmación del modelo]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Cambios en la escala</w:t>
      </w:r>
      <w:r>
        <w:t xml:space="preserve">: [Ítems eliminados, fusiones de factores]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Implicaciones para la validez</w:t>
      </w:r>
      <w:r>
        <w:t xml:space="preserve">: [Discusión breve]</w:t>
      </w:r>
    </w:p>
    <w:p>
      <w:r>
        <w:pict>
          <v:rect style="width:0;height:1.5pt" o:hralign="center" o:hrstd="t" o:hr="t"/>
        </w:pict>
      </w:r>
    </w:p>
    <w:bookmarkEnd w:id="31"/>
    <w:bookmarkStart w:id="33" w:name="referencias"/>
    <w:p>
      <w:pPr>
        <w:pStyle w:val="Heading2"/>
      </w:pPr>
      <w:r>
        <w:t xml:space="preserve">6. Referencias</w:t>
      </w:r>
    </w:p>
    <w:p>
      <w:pPr>
        <w:pStyle w:val="FirstParagraph"/>
      </w:pPr>
      <w:r>
        <w:t xml:space="preserve">[Formatee según APA u otra normativa requerida.]</w:t>
      </w:r>
    </w:p>
    <w:p>
      <w:r>
        <w:pict>
          <v:rect style="width:0;height:1.5pt" o:hralign="center" o:hrstd="t" o:hr="t"/>
        </w:pict>
      </w:r>
    </w:p>
    <w:bookmarkStart w:id="32" w:name="notas-finales"/>
    <w:p>
      <w:pPr>
        <w:pStyle w:val="Heading3"/>
      </w:pPr>
      <w:r>
        <w:t xml:space="preserve">Notas finales</w:t>
      </w:r>
    </w:p>
    <w:p>
      <w:pPr>
        <w:pStyle w:val="Compact"/>
        <w:numPr>
          <w:ilvl w:val="0"/>
          <w:numId w:val="1006"/>
        </w:numPr>
      </w:pPr>
      <w:r>
        <w:t xml:space="preserve">Actualice el índice automático aplicando estilos de encabezado.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Incluya gráficas de scree plot o diagrama estructural en apéndices si es necesario.</w:t>
      </w:r>
    </w:p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2025-08-05T02:41:21Z</dcterms:created>
  <dcterms:modified xsi:type="dcterms:W3CDTF">2025-08-05T02:41:21Z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