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C44B22" w14:textId="00E9C19C" w:rsidR="00F57530" w:rsidRPr="001E4C9A" w:rsidRDefault="00000000">
      <w:pPr>
        <w:spacing w:after="360"/>
        <w:jc w:val="center"/>
        <w:rPr>
          <w:rFonts w:ascii="Verdana Pro Cond Semibold" w:hAnsi="Verdana Pro Cond Semibold"/>
          <w:sz w:val="24"/>
          <w:szCs w:val="24"/>
          <w:lang w:val="es-PY"/>
        </w:rPr>
      </w:pPr>
      <w:r w:rsidRPr="001E4C9A">
        <w:rPr>
          <w:rFonts w:ascii="Verdana Pro Cond Semibold" w:hAnsi="Verdana Pro Cond Semibold"/>
          <w:color w:val="1F4E79"/>
          <w:sz w:val="44"/>
          <w:szCs w:val="24"/>
          <w:lang w:val="es-PY"/>
        </w:rPr>
        <w:t>FICHA TÉCNICA CLÍNICA: BDI</w:t>
      </w:r>
      <w:r w:rsidR="001E4C9A" w:rsidRPr="001E4C9A">
        <w:rPr>
          <w:rFonts w:ascii="Verdana Pro Cond Semibold" w:hAnsi="Verdana Pro Cond Semibold"/>
          <w:color w:val="1F4E79"/>
          <w:sz w:val="44"/>
          <w:szCs w:val="24"/>
          <w:lang w:val="es-PY"/>
        </w:rPr>
        <w:t>-</w:t>
      </w:r>
      <w:r w:rsidRPr="001E4C9A">
        <w:rPr>
          <w:rFonts w:ascii="Verdana Pro Cond Semibold" w:hAnsi="Verdana Pro Cond Semibold"/>
          <w:color w:val="1F4E79"/>
          <w:sz w:val="44"/>
          <w:szCs w:val="24"/>
          <w:lang w:val="es-PY"/>
        </w:rPr>
        <w:t>II</w:t>
      </w:r>
    </w:p>
    <w:p w14:paraId="5B832CD8" w14:textId="77777777" w:rsidR="00F57530" w:rsidRPr="001E4C9A" w:rsidRDefault="00000000">
      <w:pPr>
        <w:spacing w:before="240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b/>
          <w:color w:val="2F5597"/>
          <w:sz w:val="28"/>
          <w:lang w:val="es-PY"/>
        </w:rPr>
        <w:t>1. Identificación del Instrumento</w:t>
      </w: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2660"/>
        <w:gridCol w:w="7229"/>
      </w:tblGrid>
      <w:tr w:rsidR="00F57530" w:rsidRPr="001E4C9A" w14:paraId="36444DCC" w14:textId="77777777" w:rsidTr="001E4C9A">
        <w:trPr>
          <w:trHeight w:val="454"/>
        </w:trPr>
        <w:tc>
          <w:tcPr>
            <w:tcW w:w="2660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525C3DF9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proofErr w:type="spellStart"/>
            <w:r w:rsidRPr="001E4C9A">
              <w:rPr>
                <w:rFonts w:ascii="Aptos Narrow" w:hAnsi="Aptos Narrow"/>
                <w:b/>
              </w:rPr>
              <w:t>Título</w:t>
            </w:r>
            <w:proofErr w:type="spellEnd"/>
            <w:r w:rsidRPr="001E4C9A">
              <w:rPr>
                <w:rFonts w:ascii="Aptos Narrow" w:hAnsi="Aptos Narrow"/>
                <w:b/>
              </w:rPr>
              <w:t xml:space="preserve"> original</w:t>
            </w:r>
          </w:p>
        </w:tc>
        <w:tc>
          <w:tcPr>
            <w:tcW w:w="7229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37C25BB0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Beck Depression Inventory - II (BDI-II)</w:t>
            </w:r>
          </w:p>
        </w:tc>
      </w:tr>
      <w:tr w:rsidR="00F57530" w:rsidRPr="001E4C9A" w14:paraId="6B5C1D12" w14:textId="77777777" w:rsidTr="001E4C9A">
        <w:trPr>
          <w:trHeight w:val="454"/>
        </w:trPr>
        <w:tc>
          <w:tcPr>
            <w:tcW w:w="2660" w:type="dxa"/>
            <w:tcBorders>
              <w:bottom w:val="single" w:sz="4" w:space="0" w:color="D3D3D3"/>
            </w:tcBorders>
            <w:vAlign w:val="center"/>
          </w:tcPr>
          <w:p w14:paraId="7569634C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proofErr w:type="spellStart"/>
            <w:r w:rsidRPr="001E4C9A">
              <w:rPr>
                <w:rFonts w:ascii="Aptos Narrow" w:hAnsi="Aptos Narrow"/>
                <w:b/>
              </w:rPr>
              <w:t>Título</w:t>
            </w:r>
            <w:proofErr w:type="spellEnd"/>
            <w:r w:rsidRPr="001E4C9A">
              <w:rPr>
                <w:rFonts w:ascii="Aptos Narrow" w:hAnsi="Aptos Narrow"/>
                <w:b/>
              </w:rPr>
              <w:t xml:space="preserve"> </w:t>
            </w:r>
            <w:proofErr w:type="spellStart"/>
            <w:r w:rsidRPr="001E4C9A">
              <w:rPr>
                <w:rFonts w:ascii="Aptos Narrow" w:hAnsi="Aptos Narrow"/>
                <w:b/>
              </w:rPr>
              <w:t>español</w:t>
            </w:r>
            <w:proofErr w:type="spellEnd"/>
          </w:p>
        </w:tc>
        <w:tc>
          <w:tcPr>
            <w:tcW w:w="7229" w:type="dxa"/>
            <w:tcBorders>
              <w:bottom w:val="single" w:sz="4" w:space="0" w:color="D3D3D3"/>
            </w:tcBorders>
            <w:vAlign w:val="center"/>
          </w:tcPr>
          <w:p w14:paraId="671352CB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Inventario de Depresión de Beck - II</w:t>
            </w:r>
          </w:p>
        </w:tc>
      </w:tr>
      <w:tr w:rsidR="00F57530" w:rsidRPr="001E4C9A" w14:paraId="0D711E08" w14:textId="77777777" w:rsidTr="001E4C9A">
        <w:trPr>
          <w:trHeight w:val="454"/>
        </w:trPr>
        <w:tc>
          <w:tcPr>
            <w:tcW w:w="2660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47D427E3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>Sigla</w:t>
            </w:r>
          </w:p>
        </w:tc>
        <w:tc>
          <w:tcPr>
            <w:tcW w:w="7229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310AFBF8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BDI-II</w:t>
            </w:r>
          </w:p>
        </w:tc>
      </w:tr>
      <w:tr w:rsidR="00F57530" w:rsidRPr="001E4C9A" w14:paraId="1FFF89B3" w14:textId="77777777" w:rsidTr="001E4C9A">
        <w:trPr>
          <w:trHeight w:val="454"/>
        </w:trPr>
        <w:tc>
          <w:tcPr>
            <w:tcW w:w="2660" w:type="dxa"/>
            <w:tcBorders>
              <w:bottom w:val="single" w:sz="4" w:space="0" w:color="D3D3D3"/>
            </w:tcBorders>
            <w:vAlign w:val="center"/>
          </w:tcPr>
          <w:p w14:paraId="4799D094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 xml:space="preserve">Autores </w:t>
            </w:r>
            <w:proofErr w:type="spellStart"/>
            <w:r w:rsidRPr="001E4C9A">
              <w:rPr>
                <w:rFonts w:ascii="Aptos Narrow" w:hAnsi="Aptos Narrow"/>
                <w:b/>
              </w:rPr>
              <w:t>originales</w:t>
            </w:r>
            <w:proofErr w:type="spellEnd"/>
          </w:p>
        </w:tc>
        <w:tc>
          <w:tcPr>
            <w:tcW w:w="7229" w:type="dxa"/>
            <w:tcBorders>
              <w:bottom w:val="single" w:sz="4" w:space="0" w:color="D3D3D3"/>
            </w:tcBorders>
            <w:vAlign w:val="center"/>
          </w:tcPr>
          <w:p w14:paraId="72E39607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Aaron T. Beck, Robert A. Steer y Gregory K. Brown</w:t>
            </w:r>
          </w:p>
        </w:tc>
      </w:tr>
      <w:tr w:rsidR="00F57530" w:rsidRPr="001E4C9A" w14:paraId="2A173062" w14:textId="77777777" w:rsidTr="001E4C9A">
        <w:trPr>
          <w:trHeight w:val="454"/>
        </w:trPr>
        <w:tc>
          <w:tcPr>
            <w:tcW w:w="2660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295254F2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>Año original</w:t>
            </w:r>
          </w:p>
        </w:tc>
        <w:tc>
          <w:tcPr>
            <w:tcW w:w="7229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5691953D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1996</w:t>
            </w:r>
          </w:p>
        </w:tc>
      </w:tr>
      <w:tr w:rsidR="00F57530" w:rsidRPr="001E4C9A" w14:paraId="430185A4" w14:textId="77777777" w:rsidTr="001E4C9A">
        <w:trPr>
          <w:trHeight w:val="454"/>
        </w:trPr>
        <w:tc>
          <w:tcPr>
            <w:tcW w:w="2660" w:type="dxa"/>
            <w:tcBorders>
              <w:bottom w:val="single" w:sz="4" w:space="0" w:color="D3D3D3"/>
            </w:tcBorders>
            <w:vAlign w:val="center"/>
          </w:tcPr>
          <w:p w14:paraId="56A7F6AB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proofErr w:type="spellStart"/>
            <w:r w:rsidRPr="001E4C9A">
              <w:rPr>
                <w:rFonts w:ascii="Aptos Narrow" w:hAnsi="Aptos Narrow"/>
                <w:b/>
              </w:rPr>
              <w:t>Adaptador</w:t>
            </w:r>
            <w:proofErr w:type="spellEnd"/>
            <w:r w:rsidRPr="001E4C9A">
              <w:rPr>
                <w:rFonts w:ascii="Aptos Narrow" w:hAnsi="Aptos Narrow"/>
                <w:b/>
              </w:rPr>
              <w:t xml:space="preserve"> </w:t>
            </w:r>
            <w:proofErr w:type="spellStart"/>
            <w:r w:rsidRPr="001E4C9A">
              <w:rPr>
                <w:rFonts w:ascii="Aptos Narrow" w:hAnsi="Aptos Narrow"/>
                <w:b/>
              </w:rPr>
              <w:t>español</w:t>
            </w:r>
            <w:proofErr w:type="spellEnd"/>
          </w:p>
        </w:tc>
        <w:tc>
          <w:tcPr>
            <w:tcW w:w="7229" w:type="dxa"/>
            <w:tcBorders>
              <w:bottom w:val="single" w:sz="4" w:space="0" w:color="D3D3D3"/>
            </w:tcBorders>
            <w:vAlign w:val="center"/>
          </w:tcPr>
          <w:p w14:paraId="04AEDA83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Sanz, García-Vera, Espinosa, Fortún y Vázquez</w:t>
            </w:r>
          </w:p>
        </w:tc>
      </w:tr>
      <w:tr w:rsidR="00F57530" w:rsidRPr="001E4C9A" w14:paraId="37133315" w14:textId="77777777" w:rsidTr="001E4C9A">
        <w:trPr>
          <w:trHeight w:val="454"/>
        </w:trPr>
        <w:tc>
          <w:tcPr>
            <w:tcW w:w="2660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2C70CB4E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 xml:space="preserve">Año </w:t>
            </w:r>
            <w:proofErr w:type="spellStart"/>
            <w:r w:rsidRPr="001E4C9A">
              <w:rPr>
                <w:rFonts w:ascii="Aptos Narrow" w:hAnsi="Aptos Narrow"/>
                <w:b/>
              </w:rPr>
              <w:t>adaptación</w:t>
            </w:r>
            <w:proofErr w:type="spellEnd"/>
          </w:p>
        </w:tc>
        <w:tc>
          <w:tcPr>
            <w:tcW w:w="7229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7E344A4C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2003</w:t>
            </w:r>
          </w:p>
        </w:tc>
      </w:tr>
      <w:tr w:rsidR="00F57530" w:rsidRPr="001E4C9A" w14:paraId="78482FDC" w14:textId="77777777" w:rsidTr="001E4C9A">
        <w:trPr>
          <w:trHeight w:val="454"/>
        </w:trPr>
        <w:tc>
          <w:tcPr>
            <w:tcW w:w="2660" w:type="dxa"/>
            <w:tcBorders>
              <w:bottom w:val="single" w:sz="4" w:space="0" w:color="D3D3D3"/>
            </w:tcBorders>
            <w:vAlign w:val="center"/>
          </w:tcPr>
          <w:p w14:paraId="769B6EA3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>Formato</w:t>
            </w:r>
          </w:p>
        </w:tc>
        <w:tc>
          <w:tcPr>
            <w:tcW w:w="7229" w:type="dxa"/>
            <w:tcBorders>
              <w:bottom w:val="single" w:sz="4" w:space="0" w:color="D3D3D3"/>
            </w:tcBorders>
            <w:vAlign w:val="center"/>
          </w:tcPr>
          <w:p w14:paraId="43F06464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Cuestionario autoadministrado de 21 ítems</w:t>
            </w:r>
          </w:p>
        </w:tc>
      </w:tr>
    </w:tbl>
    <w:p w14:paraId="0460FB78" w14:textId="77777777" w:rsidR="00F57530" w:rsidRPr="001E4C9A" w:rsidRDefault="00F57530">
      <w:pPr>
        <w:rPr>
          <w:rFonts w:ascii="Aptos Narrow" w:hAnsi="Aptos Narrow"/>
        </w:rPr>
      </w:pPr>
    </w:p>
    <w:p w14:paraId="179BD754" w14:textId="77777777" w:rsidR="00F57530" w:rsidRPr="001E4C9A" w:rsidRDefault="00000000">
      <w:pPr>
        <w:spacing w:before="240"/>
        <w:rPr>
          <w:rFonts w:ascii="Aptos Narrow" w:hAnsi="Aptos Narrow"/>
        </w:rPr>
      </w:pPr>
      <w:r w:rsidRPr="001E4C9A">
        <w:rPr>
          <w:rFonts w:ascii="Aptos Narrow" w:hAnsi="Aptos Narrow"/>
          <w:b/>
          <w:color w:val="2F5597"/>
          <w:sz w:val="28"/>
        </w:rPr>
        <w:t>2. Fundamentación Conceptual y Teórica</w:t>
      </w:r>
    </w:p>
    <w:p w14:paraId="50A075D9" w14:textId="77777777" w:rsidR="00F57530" w:rsidRPr="001E4C9A" w:rsidRDefault="00000000">
      <w:pPr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El BDI-II es uno de los instrumentos autoaplicados más utilizados a nivel mundial para evaluar la gravedad de la sintomatología depresiva. Se diseñó para corresponderse con los criterios diagnósticos del DSM-IV para el trastorno depresivo mayor. A diferencia de su predecesor (BDI), el BDI-II reemplazó ítems sobre pérdida de peso, cambios en la imagen corporal e hipocondría por ítems referidos a agitación, pérdida de energía, sentimientos de inutilidad y dificultad de concentración, reflejando mejor los criterios sintomáticos contemporáneos.</w:t>
      </w:r>
    </w:p>
    <w:p w14:paraId="36D5F8D9" w14:textId="77777777" w:rsidR="00F57530" w:rsidRPr="001E4C9A" w:rsidRDefault="00000000">
      <w:pPr>
        <w:spacing w:before="240"/>
        <w:rPr>
          <w:rFonts w:ascii="Aptos Narrow" w:hAnsi="Aptos Narrow"/>
        </w:rPr>
      </w:pPr>
      <w:r w:rsidRPr="001E4C9A">
        <w:rPr>
          <w:rFonts w:ascii="Aptos Narrow" w:hAnsi="Aptos Narrow"/>
          <w:b/>
          <w:color w:val="2F5597"/>
          <w:sz w:val="28"/>
        </w:rPr>
        <w:t>3. Características Generales</w:t>
      </w: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2093"/>
        <w:gridCol w:w="7796"/>
      </w:tblGrid>
      <w:tr w:rsidR="00F57530" w:rsidRPr="001E4C9A" w14:paraId="3E063E17" w14:textId="77777777" w:rsidTr="001E4C9A">
        <w:trPr>
          <w:trHeight w:val="429"/>
        </w:trPr>
        <w:tc>
          <w:tcPr>
            <w:tcW w:w="2093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49B86FB4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proofErr w:type="spellStart"/>
            <w:r w:rsidRPr="001E4C9A">
              <w:rPr>
                <w:rFonts w:ascii="Aptos Narrow" w:hAnsi="Aptos Narrow"/>
                <w:b/>
              </w:rPr>
              <w:t>Objetivo</w:t>
            </w:r>
            <w:proofErr w:type="spellEnd"/>
          </w:p>
        </w:tc>
        <w:tc>
          <w:tcPr>
            <w:tcW w:w="779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43A2222F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Evaluar la presencia y gravedad de la sintomatología depresiva.</w:t>
            </w:r>
          </w:p>
        </w:tc>
      </w:tr>
      <w:tr w:rsidR="00F57530" w:rsidRPr="001E4C9A" w14:paraId="1C09D3F1" w14:textId="77777777" w:rsidTr="001E4C9A">
        <w:trPr>
          <w:trHeight w:val="429"/>
        </w:trPr>
        <w:tc>
          <w:tcPr>
            <w:tcW w:w="2093" w:type="dxa"/>
            <w:tcBorders>
              <w:bottom w:val="single" w:sz="4" w:space="0" w:color="D3D3D3"/>
            </w:tcBorders>
            <w:vAlign w:val="center"/>
          </w:tcPr>
          <w:p w14:paraId="1088CA1B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>Población</w:t>
            </w:r>
          </w:p>
        </w:tc>
        <w:tc>
          <w:tcPr>
            <w:tcW w:w="7796" w:type="dxa"/>
            <w:tcBorders>
              <w:bottom w:val="single" w:sz="4" w:space="0" w:color="D3D3D3"/>
            </w:tcBorders>
            <w:vAlign w:val="center"/>
          </w:tcPr>
          <w:p w14:paraId="6ABE27CD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Adolescentes (desde los 13 años) y adultos.</w:t>
            </w:r>
          </w:p>
        </w:tc>
      </w:tr>
      <w:tr w:rsidR="00F57530" w:rsidRPr="001E4C9A" w14:paraId="2B3B0B66" w14:textId="77777777" w:rsidTr="001E4C9A">
        <w:trPr>
          <w:trHeight w:val="429"/>
        </w:trPr>
        <w:tc>
          <w:tcPr>
            <w:tcW w:w="2093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401490AE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>Administración</w:t>
            </w:r>
          </w:p>
        </w:tc>
        <w:tc>
          <w:tcPr>
            <w:tcW w:w="779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6FFF2BAA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lang w:val="es-PY"/>
              </w:rPr>
              <w:t xml:space="preserve">Autoadministrado o administrado oralmente (aprox. </w:t>
            </w:r>
            <w:r w:rsidRPr="001E4C9A">
              <w:rPr>
                <w:rFonts w:ascii="Aptos Narrow" w:hAnsi="Aptos Narrow"/>
              </w:rPr>
              <w:t xml:space="preserve">5-10 </w:t>
            </w:r>
            <w:proofErr w:type="spellStart"/>
            <w:r w:rsidRPr="001E4C9A">
              <w:rPr>
                <w:rFonts w:ascii="Aptos Narrow" w:hAnsi="Aptos Narrow"/>
              </w:rPr>
              <w:t>minutos</w:t>
            </w:r>
            <w:proofErr w:type="spellEnd"/>
            <w:r w:rsidRPr="001E4C9A">
              <w:rPr>
                <w:rFonts w:ascii="Aptos Narrow" w:hAnsi="Aptos Narrow"/>
              </w:rPr>
              <w:t>).</w:t>
            </w:r>
          </w:p>
        </w:tc>
      </w:tr>
      <w:tr w:rsidR="00F57530" w:rsidRPr="001E4C9A" w14:paraId="1FA233B5" w14:textId="77777777" w:rsidTr="001E4C9A">
        <w:trPr>
          <w:trHeight w:val="429"/>
        </w:trPr>
        <w:tc>
          <w:tcPr>
            <w:tcW w:w="2093" w:type="dxa"/>
            <w:tcBorders>
              <w:bottom w:val="single" w:sz="4" w:space="0" w:color="D3D3D3"/>
            </w:tcBorders>
            <w:vAlign w:val="center"/>
          </w:tcPr>
          <w:p w14:paraId="13311E73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>Tiempo</w:t>
            </w:r>
          </w:p>
        </w:tc>
        <w:tc>
          <w:tcPr>
            <w:tcW w:w="7796" w:type="dxa"/>
            <w:tcBorders>
              <w:bottom w:val="single" w:sz="4" w:space="0" w:color="D3D3D3"/>
            </w:tcBorders>
            <w:vAlign w:val="center"/>
          </w:tcPr>
          <w:p w14:paraId="5E69E5D0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Estimado entre 5 y 10 minutos.</w:t>
            </w:r>
          </w:p>
        </w:tc>
      </w:tr>
      <w:tr w:rsidR="00F57530" w:rsidRPr="001E4C9A" w14:paraId="63027C4F" w14:textId="77777777" w:rsidTr="001E4C9A">
        <w:trPr>
          <w:trHeight w:val="429"/>
        </w:trPr>
        <w:tc>
          <w:tcPr>
            <w:tcW w:w="2093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2CA663BF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</w:rPr>
              <w:t>Corrección</w:t>
            </w:r>
          </w:p>
        </w:tc>
        <w:tc>
          <w:tcPr>
            <w:tcW w:w="7796" w:type="dxa"/>
            <w:tcBorders>
              <w:bottom w:val="single" w:sz="4" w:space="0" w:color="D3D3D3"/>
            </w:tcBorders>
            <w:shd w:val="clear" w:color="auto" w:fill="F2F4F7"/>
            <w:vAlign w:val="center"/>
          </w:tcPr>
          <w:p w14:paraId="064D6AAF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Suma directa de las puntuaciones de cada ítem (rango global: 0-63).</w:t>
            </w:r>
          </w:p>
        </w:tc>
      </w:tr>
    </w:tbl>
    <w:p w14:paraId="7167E080" w14:textId="77777777" w:rsidR="00F57530" w:rsidRPr="001E4C9A" w:rsidRDefault="00F57530">
      <w:pPr>
        <w:rPr>
          <w:rFonts w:ascii="Aptos Narrow" w:hAnsi="Aptos Narrow"/>
          <w:lang w:val="es-PY"/>
        </w:rPr>
      </w:pPr>
    </w:p>
    <w:p w14:paraId="391C8DBB" w14:textId="77777777" w:rsidR="00F57530" w:rsidRPr="001E4C9A" w:rsidRDefault="00000000">
      <w:pPr>
        <w:spacing w:before="240"/>
        <w:rPr>
          <w:rFonts w:ascii="Aptos Narrow" w:hAnsi="Aptos Narrow"/>
        </w:rPr>
      </w:pPr>
      <w:r w:rsidRPr="001E4C9A">
        <w:rPr>
          <w:rFonts w:ascii="Aptos Narrow" w:hAnsi="Aptos Narrow"/>
          <w:b/>
          <w:color w:val="2F5597"/>
          <w:sz w:val="28"/>
        </w:rPr>
        <w:t>4. Estructura y Dimensiones</w:t>
      </w:r>
    </w:p>
    <w:tbl>
      <w:tblPr>
        <w:tblW w:w="9889" w:type="dxa"/>
        <w:tblLayout w:type="fixed"/>
        <w:tblLook w:val="04A0" w:firstRow="1" w:lastRow="0" w:firstColumn="1" w:lastColumn="0" w:noHBand="0" w:noVBand="1"/>
      </w:tblPr>
      <w:tblGrid>
        <w:gridCol w:w="1384"/>
        <w:gridCol w:w="3402"/>
        <w:gridCol w:w="1276"/>
        <w:gridCol w:w="3827"/>
      </w:tblGrid>
      <w:tr w:rsidR="00F57530" w:rsidRPr="001E4C9A" w14:paraId="3ABEDBDD" w14:textId="77777777" w:rsidTr="001E4C9A">
        <w:trPr>
          <w:tblHeader/>
        </w:trPr>
        <w:tc>
          <w:tcPr>
            <w:tcW w:w="1384" w:type="dxa"/>
            <w:shd w:val="clear" w:color="auto" w:fill="1F4E79"/>
            <w:vAlign w:val="center"/>
          </w:tcPr>
          <w:p w14:paraId="177602BF" w14:textId="365B7413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  <w:color w:val="FFFFFF"/>
              </w:rPr>
              <w:t>Factor</w:t>
            </w:r>
          </w:p>
        </w:tc>
        <w:tc>
          <w:tcPr>
            <w:tcW w:w="3402" w:type="dxa"/>
            <w:shd w:val="clear" w:color="auto" w:fill="1F4E79"/>
            <w:vAlign w:val="center"/>
          </w:tcPr>
          <w:p w14:paraId="25541BA0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  <w:color w:val="FFFFFF"/>
              </w:rPr>
              <w:t>Ítems</w:t>
            </w:r>
          </w:p>
        </w:tc>
        <w:tc>
          <w:tcPr>
            <w:tcW w:w="1276" w:type="dxa"/>
            <w:shd w:val="clear" w:color="auto" w:fill="1F4E79"/>
            <w:vAlign w:val="center"/>
          </w:tcPr>
          <w:p w14:paraId="26B4927B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  <w:color w:val="FFFFFF"/>
              </w:rPr>
              <w:t>Invertidos</w:t>
            </w:r>
          </w:p>
        </w:tc>
        <w:tc>
          <w:tcPr>
            <w:tcW w:w="3827" w:type="dxa"/>
            <w:shd w:val="clear" w:color="auto" w:fill="1F4E79"/>
            <w:vAlign w:val="center"/>
          </w:tcPr>
          <w:p w14:paraId="78644BDA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  <w:b/>
                <w:color w:val="FFFFFF"/>
              </w:rPr>
              <w:t>Descripción</w:t>
            </w:r>
          </w:p>
        </w:tc>
      </w:tr>
      <w:tr w:rsidR="00F57530" w:rsidRPr="001E4C9A" w14:paraId="54B400F4" w14:textId="77777777" w:rsidTr="001E4C9A">
        <w:tc>
          <w:tcPr>
            <w:tcW w:w="1384" w:type="dxa"/>
            <w:tcBorders>
              <w:bottom w:val="single" w:sz="4" w:space="0" w:color="D3D3D3"/>
            </w:tcBorders>
            <w:shd w:val="clear" w:color="auto" w:fill="F9FBFD"/>
          </w:tcPr>
          <w:p w14:paraId="470575E4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Cognitivo-afectivo</w:t>
            </w:r>
          </w:p>
        </w:tc>
        <w:tc>
          <w:tcPr>
            <w:tcW w:w="3402" w:type="dxa"/>
            <w:tcBorders>
              <w:bottom w:val="single" w:sz="4" w:space="0" w:color="D3D3D3"/>
            </w:tcBorders>
            <w:shd w:val="clear" w:color="auto" w:fill="F9FBFD"/>
          </w:tcPr>
          <w:p w14:paraId="3788860B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Ítems 1 al 14 (Tristeza, pesimismo, fracaso, pérdida de placer, culpa, castigo, disconformidad, autocrítica, ideación suicida, llanto, agitación, pérdida de interés, indecisión, desvalorización)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  <w:shd w:val="clear" w:color="auto" w:fill="F9FBFD"/>
          </w:tcPr>
          <w:p w14:paraId="0B8B2226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  <w:shd w:val="clear" w:color="auto" w:fill="F9FBFD"/>
          </w:tcPr>
          <w:p w14:paraId="73A9D096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Evalúa manifestaciones cognitivas, afectivas y actitudinales de la depresión.</w:t>
            </w:r>
          </w:p>
        </w:tc>
      </w:tr>
      <w:tr w:rsidR="00F57530" w:rsidRPr="001E4C9A" w14:paraId="39937153" w14:textId="77777777" w:rsidTr="001E4C9A">
        <w:tc>
          <w:tcPr>
            <w:tcW w:w="1384" w:type="dxa"/>
            <w:tcBorders>
              <w:bottom w:val="single" w:sz="4" w:space="0" w:color="D3D3D3"/>
            </w:tcBorders>
          </w:tcPr>
          <w:p w14:paraId="1895713A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proofErr w:type="spellStart"/>
            <w:r w:rsidRPr="001E4C9A">
              <w:rPr>
                <w:rFonts w:ascii="Aptos Narrow" w:hAnsi="Aptos Narrow"/>
              </w:rPr>
              <w:lastRenderedPageBreak/>
              <w:t>Somático-vegetativo</w:t>
            </w:r>
            <w:proofErr w:type="spellEnd"/>
          </w:p>
        </w:tc>
        <w:tc>
          <w:tcPr>
            <w:tcW w:w="3402" w:type="dxa"/>
            <w:tcBorders>
              <w:bottom w:val="single" w:sz="4" w:space="0" w:color="D3D3D3"/>
            </w:tcBorders>
          </w:tcPr>
          <w:p w14:paraId="382576B8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Ítems 15 al 21 (Pérdida de energía, cambios en sueño, irritabilidad, cambios en apetito, concentración, fatiga, pérdida de interés sexual)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</w:tcPr>
          <w:p w14:paraId="1048309C" w14:textId="77777777" w:rsidR="00F57530" w:rsidRPr="001E4C9A" w:rsidRDefault="00000000" w:rsidP="001E4C9A">
            <w:pPr>
              <w:spacing w:after="0"/>
              <w:rPr>
                <w:rFonts w:ascii="Aptos Narrow" w:hAnsi="Aptos Narrow"/>
              </w:rPr>
            </w:pPr>
            <w:r w:rsidRPr="001E4C9A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</w:tcPr>
          <w:p w14:paraId="3C7D9A41" w14:textId="77777777" w:rsidR="00F57530" w:rsidRPr="001E4C9A" w:rsidRDefault="00000000" w:rsidP="001E4C9A">
            <w:pPr>
              <w:spacing w:after="0"/>
              <w:rPr>
                <w:rFonts w:ascii="Aptos Narrow" w:hAnsi="Aptos Narrow"/>
                <w:lang w:val="es-PY"/>
              </w:rPr>
            </w:pPr>
            <w:r w:rsidRPr="001E4C9A">
              <w:rPr>
                <w:rFonts w:ascii="Aptos Narrow" w:hAnsi="Aptos Narrow"/>
                <w:lang w:val="es-PY"/>
              </w:rPr>
              <w:t>Evalúa síntomas físicos, fisiológicos y conductuales asociados al cuadro depresivo.</w:t>
            </w:r>
          </w:p>
        </w:tc>
      </w:tr>
    </w:tbl>
    <w:p w14:paraId="686F6274" w14:textId="77777777" w:rsidR="00F57530" w:rsidRPr="001E4C9A" w:rsidRDefault="00F57530">
      <w:pPr>
        <w:rPr>
          <w:rFonts w:ascii="Aptos Narrow" w:hAnsi="Aptos Narrow"/>
          <w:lang w:val="es-PY"/>
        </w:rPr>
      </w:pPr>
    </w:p>
    <w:p w14:paraId="1420EC29" w14:textId="77777777" w:rsidR="00F57530" w:rsidRPr="001E4C9A" w:rsidRDefault="00000000">
      <w:pPr>
        <w:spacing w:before="240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b/>
          <w:color w:val="2F5597"/>
          <w:sz w:val="28"/>
          <w:lang w:val="es-PY"/>
        </w:rPr>
        <w:t>5. Sistema de Puntuación</w:t>
      </w:r>
    </w:p>
    <w:p w14:paraId="4E10A993" w14:textId="77777777" w:rsidR="00F57530" w:rsidRPr="001E4C9A" w:rsidRDefault="00000000">
      <w:pPr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Cada uno de los 21 ítems se responde en una escala de gravedad graduada de 0 a 3 puntos (donde 0 representa la ausencia del síntoma y 3 representa su máxima gravedad). La puntuación total del instrumento se calcula sumando las puntuaciones individuales de todos los ítems (rango global: 0-63). No posee ítems de puntuación inversa.</w:t>
      </w:r>
    </w:p>
    <w:p w14:paraId="70464D95" w14:textId="77777777" w:rsidR="00F57530" w:rsidRPr="001E4C9A" w:rsidRDefault="00000000">
      <w:pPr>
        <w:spacing w:before="240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b/>
          <w:color w:val="2F5597"/>
          <w:sz w:val="28"/>
          <w:lang w:val="es-PY"/>
        </w:rPr>
        <w:t>6. Interpretación de Resultados y Baremos</w:t>
      </w:r>
    </w:p>
    <w:p w14:paraId="541B3D85" w14:textId="77777777" w:rsidR="00F57530" w:rsidRPr="001E4C9A" w:rsidRDefault="00000000">
      <w:pPr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Las puntuaciones globales se clasifican en los siguientes niveles de gravedad de la depresión:</w:t>
      </w:r>
      <w:r w:rsidRPr="001E4C9A">
        <w:rPr>
          <w:rFonts w:ascii="Aptos Narrow" w:hAnsi="Aptos Narrow"/>
          <w:lang w:val="es-PY"/>
        </w:rPr>
        <w:br/>
        <w:t>* 0 - 13 puntos: Depresión mínima o normal.</w:t>
      </w:r>
      <w:r w:rsidRPr="001E4C9A">
        <w:rPr>
          <w:rFonts w:ascii="Aptos Narrow" w:hAnsi="Aptos Narrow"/>
          <w:lang w:val="es-PY"/>
        </w:rPr>
        <w:br/>
        <w:t>* 14 - 19 puntos: Depresión leve.</w:t>
      </w:r>
      <w:r w:rsidRPr="001E4C9A">
        <w:rPr>
          <w:rFonts w:ascii="Aptos Narrow" w:hAnsi="Aptos Narrow"/>
          <w:lang w:val="es-PY"/>
        </w:rPr>
        <w:br/>
        <w:t>* 20 - 28 puntos: Depresión moderada.</w:t>
      </w:r>
      <w:r w:rsidRPr="001E4C9A">
        <w:rPr>
          <w:rFonts w:ascii="Aptos Narrow" w:hAnsi="Aptos Narrow"/>
          <w:lang w:val="es-PY"/>
        </w:rPr>
        <w:br/>
        <w:t>* 29 - 63 puntos: Depresión grave.</w:t>
      </w:r>
      <w:r w:rsidRPr="001E4C9A">
        <w:rPr>
          <w:rFonts w:ascii="Aptos Narrow" w:hAnsi="Aptos Narrow"/>
          <w:lang w:val="es-PY"/>
        </w:rPr>
        <w:br/>
      </w:r>
      <w:r w:rsidRPr="001E4C9A">
        <w:rPr>
          <w:rFonts w:ascii="Aptos Narrow" w:hAnsi="Aptos Narrow"/>
          <w:lang w:val="es-PY"/>
        </w:rPr>
        <w:br/>
        <w:t>Un resultado clínico requiere especial atención al Ítem 9 (Pensamientos o deseos de suicidio); cualquier puntuación distinta de 0 debe ser evaluada clínicamente de inmediato.</w:t>
      </w:r>
    </w:p>
    <w:p w14:paraId="341402D7" w14:textId="77777777" w:rsidR="00F57530" w:rsidRPr="001E4C9A" w:rsidRDefault="00000000">
      <w:pPr>
        <w:spacing w:before="240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b/>
          <w:color w:val="2F5597"/>
          <w:sz w:val="28"/>
          <w:lang w:val="es-PY"/>
        </w:rPr>
        <w:t>7. Evidencia Psicométrica (Confiabilidad y Validez)</w:t>
      </w:r>
    </w:p>
    <w:p w14:paraId="7EBDBEAE" w14:textId="77777777" w:rsidR="00F57530" w:rsidRPr="001E4C9A" w:rsidRDefault="00000000">
      <w:pPr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El BDI-II posee una excelente consistencia interna con un Alfa de Cronbach de 0.92 en pacientes clínicos y de 0.90 en población general. Su validez de constructo concurrente con otros cuestionarios de depresión (como la Escala de Depresión de Hamilton) es muy sólida (r = 0.71 a 0.86). Su validez predictiva para diferenciar entre pacientes diagnosticados y población general está ampliamente documentada.</w:t>
      </w:r>
    </w:p>
    <w:p w14:paraId="50490B7A" w14:textId="77777777" w:rsidR="00F57530" w:rsidRPr="001E4C9A" w:rsidRDefault="00000000">
      <w:pPr>
        <w:spacing w:before="240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b/>
          <w:color w:val="2F5597"/>
          <w:sz w:val="28"/>
          <w:lang w:val="es-PY"/>
        </w:rPr>
        <w:t>8. Adaptaciones y Validaciones en Español</w:t>
      </w:r>
    </w:p>
    <w:p w14:paraId="1D4A2150" w14:textId="77777777" w:rsidR="00F57530" w:rsidRPr="001E4C9A" w:rsidRDefault="00000000">
      <w:pPr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La adaptación española realizada por Sanz y colaboradores (2003) se estandarizó en muestras clínicas y de población general de España. Demostró una consistencia interna robusta (alfa = 0.89 en estudiantes universitarios y alfa = 0.87 en población general) y una estructura factorial bidimensional coincidente con la versión original.</w:t>
      </w:r>
    </w:p>
    <w:p w14:paraId="3FECB34F" w14:textId="77777777" w:rsidR="00F57530" w:rsidRPr="001E4C9A" w:rsidRDefault="00000000">
      <w:pPr>
        <w:spacing w:before="240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b/>
          <w:color w:val="2F5597"/>
          <w:sz w:val="28"/>
          <w:lang w:val="es-PY"/>
        </w:rPr>
        <w:t>9. Aplicaciones Prácticas</w:t>
      </w:r>
    </w:p>
    <w:p w14:paraId="76A7AED8" w14:textId="77777777" w:rsidR="00F57530" w:rsidRPr="001E4C9A" w:rsidRDefault="00000000">
      <w:pPr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Evaluación clínica en psicología y psiquiatría, cribado de síntomas depresivos en atención primaria, y monitoreo de la respuesta al tratamiento psicoterapéutico o farmacológico.</w:t>
      </w:r>
    </w:p>
    <w:p w14:paraId="19EB89CF" w14:textId="77777777" w:rsidR="00F57530" w:rsidRPr="001E4C9A" w:rsidRDefault="00000000">
      <w:pPr>
        <w:spacing w:before="240"/>
        <w:rPr>
          <w:rFonts w:ascii="Aptos Narrow" w:hAnsi="Aptos Narrow"/>
        </w:rPr>
      </w:pPr>
      <w:r w:rsidRPr="001E4C9A">
        <w:rPr>
          <w:rFonts w:ascii="Aptos Narrow" w:hAnsi="Aptos Narrow"/>
          <w:b/>
          <w:color w:val="2F5597"/>
          <w:sz w:val="28"/>
        </w:rPr>
        <w:t>10. Fortalezas del Instrumento</w:t>
      </w:r>
    </w:p>
    <w:p w14:paraId="7C128EE8" w14:textId="77777777" w:rsidR="00F57530" w:rsidRPr="001E4C9A" w:rsidRDefault="00000000">
      <w:pPr>
        <w:pStyle w:val="Listaconvietas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Alta correspondencia con los criterios sintomáticos del DSM-IV y DSM-5.</w:t>
      </w:r>
    </w:p>
    <w:p w14:paraId="6F0149C6" w14:textId="77777777" w:rsidR="00F57530" w:rsidRPr="001E4C9A" w:rsidRDefault="00000000">
      <w:pPr>
        <w:pStyle w:val="Listaconvietas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Brevedad, facilidad de aplicación y puntuación.</w:t>
      </w:r>
    </w:p>
    <w:p w14:paraId="1F781590" w14:textId="77777777" w:rsidR="00F57530" w:rsidRPr="001E4C9A" w:rsidRDefault="00000000">
      <w:pPr>
        <w:pStyle w:val="Listaconvietas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Sensibilidad al cambio clínico durante el tratamiento.</w:t>
      </w:r>
    </w:p>
    <w:p w14:paraId="5CDFE6B0" w14:textId="77777777" w:rsidR="00F57530" w:rsidRPr="001E4C9A" w:rsidRDefault="00000000">
      <w:pPr>
        <w:spacing w:before="240"/>
        <w:rPr>
          <w:rFonts w:ascii="Aptos Narrow" w:hAnsi="Aptos Narrow"/>
        </w:rPr>
      </w:pPr>
      <w:r w:rsidRPr="001E4C9A">
        <w:rPr>
          <w:rFonts w:ascii="Aptos Narrow" w:hAnsi="Aptos Narrow"/>
          <w:b/>
          <w:color w:val="2F5597"/>
          <w:sz w:val="28"/>
        </w:rPr>
        <w:lastRenderedPageBreak/>
        <w:t xml:space="preserve">11. </w:t>
      </w:r>
      <w:proofErr w:type="spellStart"/>
      <w:r w:rsidRPr="001E4C9A">
        <w:rPr>
          <w:rFonts w:ascii="Aptos Narrow" w:hAnsi="Aptos Narrow"/>
          <w:b/>
          <w:color w:val="2F5597"/>
          <w:sz w:val="28"/>
        </w:rPr>
        <w:t>Limitaciones</w:t>
      </w:r>
      <w:proofErr w:type="spellEnd"/>
      <w:r w:rsidRPr="001E4C9A">
        <w:rPr>
          <w:rFonts w:ascii="Aptos Narrow" w:hAnsi="Aptos Narrow"/>
          <w:b/>
          <w:color w:val="2F5597"/>
          <w:sz w:val="28"/>
        </w:rPr>
        <w:t xml:space="preserve"> </w:t>
      </w:r>
      <w:proofErr w:type="spellStart"/>
      <w:r w:rsidRPr="001E4C9A">
        <w:rPr>
          <w:rFonts w:ascii="Aptos Narrow" w:hAnsi="Aptos Narrow"/>
          <w:b/>
          <w:color w:val="2F5597"/>
          <w:sz w:val="28"/>
        </w:rPr>
        <w:t>Clínicas</w:t>
      </w:r>
      <w:proofErr w:type="spellEnd"/>
      <w:r w:rsidRPr="001E4C9A">
        <w:rPr>
          <w:rFonts w:ascii="Aptos Narrow" w:hAnsi="Aptos Narrow"/>
          <w:b/>
          <w:color w:val="2F5597"/>
          <w:sz w:val="28"/>
        </w:rPr>
        <w:t xml:space="preserve"> y </w:t>
      </w:r>
      <w:proofErr w:type="spellStart"/>
      <w:r w:rsidRPr="001E4C9A">
        <w:rPr>
          <w:rFonts w:ascii="Aptos Narrow" w:hAnsi="Aptos Narrow"/>
          <w:b/>
          <w:color w:val="2F5597"/>
          <w:sz w:val="28"/>
        </w:rPr>
        <w:t>Metodológicas</w:t>
      </w:r>
      <w:proofErr w:type="spellEnd"/>
    </w:p>
    <w:p w14:paraId="14A1E2AE" w14:textId="77777777" w:rsidR="00F57530" w:rsidRPr="001E4C9A" w:rsidRDefault="00000000">
      <w:pPr>
        <w:pStyle w:val="Listaconvietas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Es un instrumento de autoinforme (vulnerable a simulación o deseabilidad social).</w:t>
      </w:r>
    </w:p>
    <w:p w14:paraId="2181E08A" w14:textId="77777777" w:rsidR="00F57530" w:rsidRPr="001E4C9A" w:rsidRDefault="00000000">
      <w:pPr>
        <w:pStyle w:val="Listaconvietas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No debe utilizarse como único criterio diagnóstico (no reemplaza la entrevista diagnóstica estructurada).</w:t>
      </w:r>
    </w:p>
    <w:p w14:paraId="0E8FD1DF" w14:textId="77777777" w:rsidR="00F57530" w:rsidRPr="001E4C9A" w:rsidRDefault="00000000">
      <w:pPr>
        <w:spacing w:before="240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b/>
          <w:color w:val="2F5597"/>
          <w:sz w:val="28"/>
          <w:lang w:val="es-PY"/>
        </w:rPr>
        <w:t>12. Consideraciones Éticas y Legales</w:t>
      </w:r>
    </w:p>
    <w:p w14:paraId="3E731348" w14:textId="77777777" w:rsidR="00F57530" w:rsidRPr="001E4C9A" w:rsidRDefault="00000000">
      <w:pPr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El ítem de ideación suicida exige un protocolo de seguridad clínica inmediato en caso de respuesta afirmativa. Se debe garantizar la confidencialidad absoluta de las respuestas.</w:t>
      </w:r>
    </w:p>
    <w:p w14:paraId="5FB77EA1" w14:textId="77777777" w:rsidR="00F57530" w:rsidRPr="001E4C9A" w:rsidRDefault="00000000">
      <w:pPr>
        <w:spacing w:before="240"/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b/>
          <w:color w:val="2F5597"/>
          <w:sz w:val="28"/>
          <w:lang w:val="es-PY"/>
        </w:rPr>
        <w:t>13. Síntesis Técnica General</w:t>
      </w:r>
    </w:p>
    <w:p w14:paraId="1D81DFA6" w14:textId="77777777" w:rsidR="00F57530" w:rsidRPr="001E4C9A" w:rsidRDefault="00000000">
      <w:pPr>
        <w:rPr>
          <w:rFonts w:ascii="Aptos Narrow" w:hAnsi="Aptos Narrow"/>
          <w:lang w:val="es-PY"/>
        </w:rPr>
      </w:pPr>
      <w:r w:rsidRPr="001E4C9A">
        <w:rPr>
          <w:rFonts w:ascii="Aptos Narrow" w:hAnsi="Aptos Narrow"/>
          <w:lang w:val="es-PY"/>
        </w:rPr>
        <w:t>El BDI-II es el patrón de referencia internacional para evaluar la severidad de la depresión, ofreciendo una medida breve, confiable y estrechamente vinculada a los criterios de diagnóstico clínico.</w:t>
      </w:r>
    </w:p>
    <w:p w14:paraId="1A6DB222" w14:textId="77777777" w:rsidR="00F57530" w:rsidRPr="001E4C9A" w:rsidRDefault="00000000">
      <w:pPr>
        <w:spacing w:before="240"/>
        <w:rPr>
          <w:rFonts w:ascii="Aptos Narrow" w:hAnsi="Aptos Narrow"/>
        </w:rPr>
      </w:pPr>
      <w:r w:rsidRPr="001E4C9A">
        <w:rPr>
          <w:rFonts w:ascii="Aptos Narrow" w:hAnsi="Aptos Narrow"/>
          <w:b/>
          <w:color w:val="2F5597"/>
          <w:sz w:val="28"/>
        </w:rPr>
        <w:t>14. Referencias Bibliográficas (APA 7)</w:t>
      </w:r>
    </w:p>
    <w:p w14:paraId="7D57791F" w14:textId="77777777" w:rsidR="00F57530" w:rsidRPr="001E4C9A" w:rsidRDefault="00000000">
      <w:pPr>
        <w:pStyle w:val="Listaconvietas"/>
        <w:rPr>
          <w:rFonts w:ascii="Aptos Narrow" w:hAnsi="Aptos Narrow"/>
        </w:rPr>
      </w:pPr>
      <w:r w:rsidRPr="001E4C9A">
        <w:rPr>
          <w:rFonts w:ascii="Aptos Narrow" w:hAnsi="Aptos Narrow"/>
        </w:rPr>
        <w:t>Beck, A. T., Steer, R. A., &amp; Brown, G. K. (1996). Manual for the Beck Depression Inventory-II. Psychological Corporation.</w:t>
      </w:r>
    </w:p>
    <w:p w14:paraId="1FCE9200" w14:textId="77777777" w:rsidR="00F57530" w:rsidRPr="001E4C9A" w:rsidRDefault="00000000">
      <w:pPr>
        <w:pStyle w:val="Listaconvietas"/>
        <w:rPr>
          <w:rFonts w:ascii="Aptos Narrow" w:hAnsi="Aptos Narrow"/>
        </w:rPr>
      </w:pPr>
      <w:r w:rsidRPr="001E4C9A">
        <w:rPr>
          <w:rFonts w:ascii="Aptos Narrow" w:hAnsi="Aptos Narrow"/>
          <w:lang w:val="es-PY"/>
        </w:rPr>
        <w:t xml:space="preserve">Sanz, J., García-Vera, M. P., Espinosa, R., Fortún, M., &amp; Vázquez, C. (2003). Adaptación española del Inventario de Depresión de Beck-II (BDI-II): Propiedades psicométricas en pacientes con trastornos psicológicos. </w:t>
      </w:r>
      <w:r w:rsidRPr="001E4C9A">
        <w:rPr>
          <w:rFonts w:ascii="Aptos Narrow" w:hAnsi="Aptos Narrow"/>
        </w:rPr>
        <w:t>Clínica y Salud, 14(3), 249-280.</w:t>
      </w:r>
    </w:p>
    <w:sectPr w:rsidR="00F57530" w:rsidRPr="001E4C9A" w:rsidSect="001E4C9A">
      <w:pgSz w:w="11900" w:h="16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Verdana Pro Cond Semibold">
    <w:panose1 w:val="020B0706030504040204"/>
    <w:charset w:val="00"/>
    <w:family w:val="swiss"/>
    <w:pitch w:val="variable"/>
    <w:sig w:usb0="80000287" w:usb1="00000043" w:usb2="00000000" w:usb3="00000000" w:csb0="000000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1598742">
    <w:abstractNumId w:val="8"/>
  </w:num>
  <w:num w:numId="2" w16cid:durableId="222257387">
    <w:abstractNumId w:val="6"/>
  </w:num>
  <w:num w:numId="3" w16cid:durableId="1699620414">
    <w:abstractNumId w:val="5"/>
  </w:num>
  <w:num w:numId="4" w16cid:durableId="764418873">
    <w:abstractNumId w:val="4"/>
  </w:num>
  <w:num w:numId="5" w16cid:durableId="1394502645">
    <w:abstractNumId w:val="7"/>
  </w:num>
  <w:num w:numId="6" w16cid:durableId="365371853">
    <w:abstractNumId w:val="3"/>
  </w:num>
  <w:num w:numId="7" w16cid:durableId="1577671166">
    <w:abstractNumId w:val="2"/>
  </w:num>
  <w:num w:numId="8" w16cid:durableId="1829789271">
    <w:abstractNumId w:val="1"/>
  </w:num>
  <w:num w:numId="9" w16cid:durableId="11420394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4C9A"/>
    <w:rsid w:val="0029639D"/>
    <w:rsid w:val="00326F90"/>
    <w:rsid w:val="009D4EE4"/>
    <w:rsid w:val="00AA1D8D"/>
    <w:rsid w:val="00B47730"/>
    <w:rsid w:val="00CB0664"/>
    <w:rsid w:val="00F575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D873A26"/>
  <w14:defaultImageDpi w14:val="300"/>
  <w15:docId w15:val="{5E8CBC56-BEDD-CE43-8AA2-79F804615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787</Words>
  <Characters>4329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Morosini</cp:lastModifiedBy>
  <cp:revision>2</cp:revision>
  <dcterms:created xsi:type="dcterms:W3CDTF">2013-12-23T23:15:00Z</dcterms:created>
  <dcterms:modified xsi:type="dcterms:W3CDTF">2026-07-16T21:36:00Z</dcterms:modified>
  <cp:category/>
</cp:coreProperties>
</file>