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color w:val="1F4E78"/>
          <w:sz w:val="44"/>
        </w:rPr>
        <w:t>Ficha técnica · PSS</w:t>
      </w:r>
    </w:p>
    <w:p>
      <w:r>
        <w:rPr>
          <w:rFonts w:ascii="Aptos Display" w:hAnsi="Aptos Display"/>
          <w:b/>
          <w:color w:val="5B9BD5"/>
          <w:sz w:val="26"/>
        </w:rPr>
        <w:t>Escala de Estrés Percibido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19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Nombre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Escala de Estrés Percibido</w:t>
            </w:r>
          </w:p>
        </w:tc>
      </w:tr>
      <w:tr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Sigla</w:t>
            </w:r>
          </w:p>
        </w:tc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PSS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Autores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Cohen, Kamarck y Mermelstein</w:t>
            </w:r>
          </w:p>
        </w:tc>
      </w:tr>
      <w:tr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Año / versión</w:t>
            </w:r>
          </w:p>
        </w:tc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1983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Constructo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percepción de imprevisibilidad, incontrolabilidad y sobrecarga</w:t>
            </w:r>
          </w:p>
        </w:tc>
      </w:tr>
      <w:tr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Población</w:t>
            </w:r>
          </w:p>
        </w:tc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adolescentes mayores y adultos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Formato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versiones de 14 y 10 ítems, 0–4</w:t>
            </w:r>
          </w:p>
        </w:tc>
      </w:tr>
      <w:tr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Fuente principal disponible</w:t>
            </w:r>
          </w:p>
        </w:tc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PSS_10_Mexican_Scale_v1.doc; PSS_10_Mexican_Scale_v2.doc; PSS_10_Scale.pdf; PSS_14_European_Scale.doc; PSS_14_SouthAmerican_Scale.doc</w:t>
            </w:r>
          </w:p>
        </w:tc>
      </w:tr>
    </w:tbl>
    <w:p>
      <w:pPr>
        <w:pStyle w:val="Heading1"/>
      </w:pPr>
      <w:r>
        <w:t>1. Identificación</w:t>
      </w:r>
    </w:p>
    <w:p>
      <w:r>
        <w:rPr>
          <w:rFonts w:ascii="Aptos" w:hAnsi="Aptos"/>
          <w:sz w:val="22"/>
        </w:rPr>
        <w:t>Escala de Estrés Percibido es un instrumento destinado a la evaluación de percepción de imprevisibilidad, incontrolabilidad y sobrecarga. La denominación, versión y periodo temporal deben registrarse siempre, porque existen adaptaciones que modifican población, idioma, modalidad o criterios de interpretación.</w:t>
      </w:r>
    </w:p>
    <w:p>
      <w:pPr>
        <w:pStyle w:val="Heading1"/>
      </w:pPr>
      <w:r>
        <w:t>2. Fundamentación conceptual</w:t>
      </w:r>
    </w:p>
    <w:p>
      <w:r>
        <w:rPr>
          <w:rFonts w:ascii="Aptos" w:hAnsi="Aptos"/>
          <w:sz w:val="22"/>
        </w:rPr>
        <w:t>El instrumento operacionaliza percepción de imprevisibilidad, incontrolabilidad y sobrecarga. Su uso parte de un enfoque dimensional: la puntuación resume intensidad o frecuencia de indicadores, pero no reemplaza una evaluación clínica, contextual y funcional. La interpretación debe atender a cultura, edad, idioma, comorbilidad y motivo de consulta.</w:t>
      </w:r>
    </w:p>
    <w:p>
      <w:r>
        <w:rPr>
          <w:rFonts w:ascii="Aptos" w:hAnsi="Aptos"/>
          <w:sz w:val="22"/>
        </w:rPr>
        <w:t>Cuando el constructo se utiliza para tamizaje, una puntuación elevada indica necesidad de evaluación adicional y no confirma por sí sola un diagnóstico. En aplicaciones de seguimiento, los cambios deben valorarse junto con error de medida, intervalo temporal y cambios clínicos observables.</w:t>
      </w:r>
    </w:p>
    <w:p>
      <w:pPr>
        <w:pStyle w:val="Heading1"/>
      </w:pPr>
      <w:r>
        <w:t>3. Características generales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Característica</w:t>
            </w:r>
          </w:p>
        </w:tc>
        <w:tc>
          <w:tcPr>
            <w:tcW w:type="dxa" w:w="4819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Especificación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Administración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Individual; autoinforme o entrevista según la versión descrita.</w:t>
            </w:r>
          </w:p>
        </w:tc>
      </w:tr>
      <w:tr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Tiempo</w:t>
            </w:r>
          </w:p>
        </w:tc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Breve a moderado; depende de la versión, comprensión y necesidad de aclaraciones.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Materiales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Protocolo autorizado, instrucciones, elemento de marcado y hoja o sistema de corrección.</w:t>
            </w:r>
          </w:p>
        </w:tc>
      </w:tr>
      <w:tr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Cualificación</w:t>
            </w:r>
          </w:p>
        </w:tc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Profesional entrenado; las escalas clínicas o de riesgo requieren competencia específica.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Periodo temporal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Debe conservarse literalmente el indicado en el protocolo utilizado.</w:t>
            </w:r>
          </w:p>
        </w:tc>
      </w:tr>
    </w:tbl>
    <w:p>
      <w:pPr>
        <w:pStyle w:val="Heading1"/>
      </w:pPr>
      <w:r>
        <w:t>4. Estructura</w:t>
      </w:r>
    </w:p>
    <w:p>
      <w:r>
        <w:rPr>
          <w:rFonts w:ascii="Aptos" w:hAnsi="Aptos"/>
          <w:sz w:val="22"/>
        </w:rPr>
        <w:t>Estructura principal: versiones de 14 y 10 ítems, 0–4. No deben mezclarse ítems, claves o baremos de versiones diferentes.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819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Percepción de imprevisibilidad, incontrolabilidad y sobrecarga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Dominio o dominios evaluados por el instrumento.</w:t>
            </w:r>
          </w:p>
        </w:tc>
      </w:tr>
      <w:tr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Ítems</w:t>
            </w:r>
          </w:p>
        </w:tc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Indicadores observables o experiencias informadas.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Respuesta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Categorías ordinales, dicotómicas o clínicas según la versión.</w:t>
            </w:r>
          </w:p>
        </w:tc>
      </w:tr>
      <w:tr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Resultado</w:t>
            </w:r>
          </w:p>
        </w:tc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Puntuación total y, cuando corresponda, subescalas o perfiles.</w:t>
            </w:r>
          </w:p>
        </w:tc>
      </w:tr>
    </w:tbl>
    <w:p>
      <w:pPr>
        <w:pStyle w:val="Heading1"/>
      </w:pPr>
      <w:r>
        <w:t>5. Sistema de puntuación</w:t>
      </w:r>
    </w:p>
    <w:p>
      <w:r>
        <w:rPr>
          <w:rFonts w:ascii="Aptos" w:hAnsi="Aptos"/>
          <w:sz w:val="22"/>
        </w:rPr>
        <w:t>La corrección debe seguir la fuente oficial o el manual de la versión exacta. Antes de sumar, se verifican omisiones, respuestas múltiples, rango permitido y posibles ítems invertidos. Si una fuente no especifica cómo tratar datos faltantes, no debe improvisarse una regla.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4819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Confirmar versión, idioma e informante.</w:t>
            </w:r>
          </w:p>
        </w:tc>
      </w:tr>
      <w:tr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Codificar cada respuesta con la clave correspondiente.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Aplicar inversión o ponderación únicamente si está documentada.</w:t>
            </w:r>
          </w:p>
        </w:tc>
      </w:tr>
      <w:tr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Calcular total y subescalas sin combinar versiones.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Registrar omisiones y cualquier desviación de administración.</w:t>
            </w:r>
          </w:p>
        </w:tc>
      </w:tr>
    </w:tbl>
    <w:p>
      <w:pPr>
        <w:pStyle w:val="Heading1"/>
      </w:pPr>
      <w:r>
        <w:t>6. Interpretación</w:t>
      </w:r>
    </w:p>
    <w:p>
      <w:r>
        <w:rPr>
          <w:rFonts w:ascii="Aptos" w:hAnsi="Aptos"/>
          <w:sz w:val="22"/>
        </w:rPr>
        <w:t>La lectura primaria es dimensional. Los puntos de corte, cuando existan, dependen del propósito, población y versión. Deben citarse con su estudio de origen; no se extrapolan automáticamente entre países, edades, contextos clínicos o modalidades de aplicación.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Nivel de inferencia</w:t>
            </w:r>
          </w:p>
        </w:tc>
        <w:tc>
          <w:tcPr>
            <w:tcW w:type="dxa" w:w="4819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Uso válido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Puntuación bruta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Describe respuestas en el protocolo aplicado.</w:t>
            </w:r>
          </w:p>
        </w:tc>
      </w:tr>
      <w:tr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Punto de corte</w:t>
            </w:r>
          </w:p>
        </w:tc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Apoya tamizaje si fue validado en una población comparable.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Cambio temporal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Útil con administración estandarizada y condiciones comparables.</w:t>
            </w:r>
          </w:p>
        </w:tc>
      </w:tr>
      <w:tr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Diagnóstico</w:t>
            </w:r>
          </w:p>
        </w:tc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Requiere entrevista, historia clínica y juicio profesional; la escala sola no basta.</w:t>
            </w:r>
          </w:p>
        </w:tc>
      </w:tr>
    </w:tbl>
    <w:p>
      <w:pPr>
        <w:pStyle w:val="Heading1"/>
      </w:pPr>
      <w:r>
        <w:t>7. Evidencia psicométrica</w:t>
      </w:r>
    </w:p>
    <w:p>
      <w:r>
        <w:rPr>
          <w:rFonts w:ascii="Aptos" w:hAnsi="Aptos"/>
          <w:sz w:val="22"/>
        </w:rPr>
        <w:t>La literatura de referencia (Cohen et al., 1983; Remor, 2006) documenta el desarrollo o la validación del instrumento. Para cada uso concreto deben revisarse consistencia interna, estabilidad, estructura factorial, validez convergente/discriminante y precisión de clasificación en la adaptación elegida.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Propiedad</w:t>
            </w:r>
          </w:p>
        </w:tc>
        <w:tc>
          <w:tcPr>
            <w:tcW w:type="dxa" w:w="4819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Criterio de revisión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Fiabilidad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Coeficientes informados para la puntuación interpretada; evitar asumir equivalencia entre muestras.</w:t>
            </w:r>
          </w:p>
        </w:tc>
      </w:tr>
      <w:tr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Estructura interna</w:t>
            </w:r>
          </w:p>
        </w:tc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Compatibilidad entre dimensiones propuestas y resultados factoriales de la adaptación.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Validez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Relaciones con medidas clínicas, funcionales y diagnósticas relevantes.</w:t>
            </w:r>
          </w:p>
        </w:tc>
      </w:tr>
      <w:tr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Sensibilidad/especificidad</w:t>
            </w:r>
          </w:p>
        </w:tc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Solo para puntos de corte y muestras comparables.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Responsividad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Necesaria si se usa para monitorizar cambio.</w:t>
            </w:r>
          </w:p>
        </w:tc>
      </w:tr>
    </w:tbl>
    <w:p>
      <w:pPr>
        <w:pStyle w:val="Heading1"/>
      </w:pPr>
      <w:r>
        <w:t>8. Adaptaciones</w:t>
      </w:r>
    </w:p>
    <w:p>
      <w:r>
        <w:rPr>
          <w:rFonts w:ascii="Aptos" w:hAnsi="Aptos"/>
          <w:sz w:val="22"/>
        </w:rPr>
        <w:t>Las traducciones deben estar documentadas mediante traducción, retrotraducción, revisión experta y evaluación empírica. Una versión lingüísticamente comprensible no equivale necesariamente a una adaptación validada. Se recomienda registrar país, autores, año y referencia de la versión aplicada.</w:t>
      </w:r>
    </w:p>
    <w:p>
      <w:pPr>
        <w:pStyle w:val="Heading1"/>
      </w:pPr>
      <w:r>
        <w:t>9. Aplicaciones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Contexto</w:t>
            </w:r>
          </w:p>
        </w:tc>
        <w:tc>
          <w:tcPr>
            <w:tcW w:type="dxa" w:w="4819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Aplicación prudente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Clínica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Tamizaje, apoyo a formulación y seguimiento, integrado con entrevista.</w:t>
            </w:r>
          </w:p>
        </w:tc>
      </w:tr>
      <w:tr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Investigación</w:t>
            </w:r>
          </w:p>
        </w:tc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Variable de resultado o caracterización, documentando versión y reglas.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Docencia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Entrenamiento supervisado en administración y corrección.</w:t>
            </w:r>
          </w:p>
        </w:tc>
      </w:tr>
      <w:tr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Salud pública</w:t>
            </w:r>
          </w:p>
        </w:tc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Estimación de síntomas o riesgos si existe evidencia poblacional pertinente.</w:t>
            </w:r>
          </w:p>
        </w:tc>
      </w:tr>
    </w:tbl>
    <w:p>
      <w:pPr>
        <w:pStyle w:val="Heading1"/>
      </w:pPr>
      <w:r>
        <w:t>10. Fortalezas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Fortaleza</w:t>
            </w:r>
          </w:p>
        </w:tc>
        <w:tc>
          <w:tcPr>
            <w:tcW w:type="dxa" w:w="4819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Alcance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Estandarización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Favorece consistencia si se respetan instrucciones y puntuación.</w:t>
            </w:r>
          </w:p>
        </w:tc>
      </w:tr>
      <w:tr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Comparabilidad</w:t>
            </w:r>
          </w:p>
        </w:tc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Permite contrastes cuando se usa la misma versión.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Economía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Reduce tiempo frente a evaluaciones no estructuradas.</w:t>
            </w:r>
          </w:p>
        </w:tc>
      </w:tr>
      <w:tr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Seguimiento</w:t>
            </w:r>
          </w:p>
        </w:tc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Puede cuantificar evolución cuando tiene responsividad demostrada.</w:t>
            </w:r>
          </w:p>
        </w:tc>
      </w:tr>
    </w:tbl>
    <w:p>
      <w:pPr>
        <w:pStyle w:val="Heading1"/>
      </w:pPr>
      <w:r>
        <w:t>11. Limitaciones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Limitación</w:t>
            </w:r>
          </w:p>
        </w:tc>
        <w:tc>
          <w:tcPr>
            <w:tcW w:type="dxa" w:w="4819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Implicación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Sesgo de respuesta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Autoinformes dependen de comprensión, memoria y disposición.</w:t>
            </w:r>
          </w:p>
        </w:tc>
      </w:tr>
      <w:tr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No equivalencia cultural</w:t>
            </w:r>
          </w:p>
        </w:tc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Baremos y cortes no se trasladan sin validación.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Solapamiento sintomático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Condiciones médicas y comorbilidades pueden elevar puntuaciones.</w:t>
            </w:r>
          </w:p>
        </w:tc>
      </w:tr>
      <w:tr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Derechos de uso</w:t>
            </w:r>
          </w:p>
        </w:tc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Disponibilidad de una copia no implica permiso de reproducción o modificación.</w:t>
            </w:r>
          </w:p>
        </w:tc>
      </w:tr>
    </w:tbl>
    <w:p>
      <w:pPr>
        <w:pStyle w:val="Heading1"/>
      </w:pPr>
      <w:r>
        <w:t>12. Consideraciones éticas</w:t>
      </w:r>
    </w:p>
    <w:p>
      <w:r>
        <w:rPr>
          <w:rFonts w:ascii="Aptos" w:hAnsi="Aptos"/>
          <w:sz w:val="22"/>
        </w:rPr>
        <w:t>Debe existir consentimiento o base ética aplicable, confidencialidad, almacenamiento seguro y devolución responsable. Los hallazgos de riesgo, suicidio, violencia, abuso o vulneración de derechos requieren protocolos institucionales y respuesta profesional inmediata cuando corresponda.</w:t>
      </w:r>
    </w:p>
    <w:p>
      <w:r>
        <w:rPr>
          <w:rFonts w:ascii="Aptos" w:hAnsi="Aptos"/>
          <w:sz w:val="22"/>
        </w:rPr>
        <w:t>No se recomienda administrar el instrumento sin capacidad para explicar su propósito, atender malestar, interpretar límites y derivar. Se deben respetar derechos de autor, condiciones de licencia y cualificación exigida por titulares o distribuidores.</w:t>
      </w:r>
    </w:p>
    <w:p>
      <w:pPr>
        <w:pStyle w:val="Heading1"/>
      </w:pPr>
      <w:r>
        <w:t>13. Síntesis técnica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4819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Síntesis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Qué mide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percepción de imprevisibilidad, incontrolabilidad y sobrecarga</w:t>
            </w:r>
          </w:p>
        </w:tc>
      </w:tr>
      <w:tr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 quién</w:t>
            </w:r>
          </w:p>
        </w:tc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adolescentes mayores y adultos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Cómo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versiones de 14 y 10 ítems, 0–4</w:t>
            </w:r>
          </w:p>
        </w:tc>
      </w:tr>
      <w:tr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Resultado</w:t>
            </w:r>
          </w:p>
        </w:tc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Puntuación dimensional; cortes solo con evidencia pertinente.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Condición de uso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Versión identificada, administración estandarizada y evaluación multimétodo.</w:t>
            </w:r>
          </w:p>
        </w:tc>
      </w:tr>
      <w:tr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Principal cautela</w:t>
            </w:r>
          </w:p>
        </w:tc>
        <w:tc>
          <w:tcPr>
            <w:tcW w:type="dxa" w:w="4819"/>
            <w:vAlign w:val="center"/>
            <w:shd w:fill="F3F6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No usar como diagnóstico aislado ni mezclar claves entre versiones.</w:t>
            </w:r>
          </w:p>
        </w:tc>
      </w:tr>
    </w:tbl>
    <w:p>
      <w:r>
        <w:br w:type="page"/>
      </w:r>
    </w:p>
    <w:p>
      <w:pPr>
        <w:pStyle w:val="Heading1"/>
      </w:pPr>
      <w:r>
        <w:t>14. Referencias APA 7</w:t>
      </w:r>
    </w:p>
    <w:p>
      <w:r>
        <w:rPr>
          <w:rFonts w:ascii="Aptos" w:hAnsi="Aptos"/>
          <w:sz w:val="22"/>
        </w:rPr>
        <w:t>Cohen et al., 1983; Remor, 2006. Referencia principal de desarrollo o validación del instrumento.</w:t>
      </w:r>
    </w:p>
    <w:p>
      <w:r>
        <w:rPr>
          <w:rFonts w:ascii="Aptos" w:hAnsi="Aptos"/>
          <w:sz w:val="22"/>
        </w:rPr>
        <w:t>American Educational Research Association, American Psychological Association, &amp; National Council on Measurement in Education. (2014). Standards for educational and psychological testing.</w:t>
      </w:r>
    </w:p>
    <w:p>
      <w:r>
        <w:rPr>
          <w:rFonts w:ascii="Aptos" w:hAnsi="Aptos"/>
          <w:sz w:val="22"/>
        </w:rPr>
        <w:t>International Test Commission. (2017). The ITC guidelines for translating and adapting tests (Second edition). International Journal of Testing, 18(2), 101–134.</w:t>
      </w:r>
    </w:p>
    <w:p>
      <w:r>
        <w:rPr>
          <w:rFonts w:ascii="Aptos" w:hAnsi="Aptos"/>
          <w:sz w:val="22"/>
        </w:rPr>
        <w:t>Fuente local consultada: PSS_10_Mexican_Scale_v1.doc.</w:t>
      </w:r>
    </w:p>
    <w:p>
      <w:r>
        <w:rPr>
          <w:rFonts w:ascii="Aptos" w:hAnsi="Aptos"/>
          <w:sz w:val="22"/>
        </w:rPr>
        <w:t>Fuente local consultada: PSS_10_Mexican_Scale_v2.doc.</w:t>
      </w:r>
    </w:p>
    <w:p>
      <w:r>
        <w:rPr>
          <w:rFonts w:ascii="Aptos" w:hAnsi="Aptos"/>
          <w:sz w:val="22"/>
        </w:rPr>
        <w:t>Fuente local consultada: PSS_10_Scale.pdf.</w:t>
      </w:r>
    </w:p>
    <w:p>
      <w:r>
        <w:rPr>
          <w:rFonts w:ascii="Aptos" w:hAnsi="Aptos"/>
          <w:sz w:val="22"/>
        </w:rPr>
        <w:t>Fuente local consultada: PSS_14_European_Scale.doc.</w:t>
      </w:r>
    </w:p>
    <w:p>
      <w:r>
        <w:rPr>
          <w:rFonts w:ascii="Aptos" w:hAnsi="Aptos"/>
          <w:sz w:val="22"/>
        </w:rPr>
        <w:t>Fuente local consultada: PSS_14_SouthAmerican_Scale.doc.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PSS_Ficha · Documento de referencia profesional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B9BD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