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B59B6"/>
          <w:spacing w:val="60"/>
          <w:sz w:val="20"/>
          <w:szCs w:val="20"/>
        </w:rPr>
        <w:t xml:space="preserve">EVA SPACE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B2C6F"/>
          <w:sz w:val="32"/>
          <w:szCs w:val="32"/>
        </w:rPr>
        <w:t xml:space="preserve">План по налоговому статусу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Упрощёнка, ИТ-аккредитация и реестр российского ПО: что брать, когда и сколько это стоит</w:t>
      </w:r>
    </w:p>
    <w:p>
      <w:pPr>
        <w:pBdr>
          <w:left w:val="single" w:color="9B59B6" w:sz="18" w:space="7"/>
        </w:pBdr>
        <w:shd w:fill="FBF8FD" w:color="auto" w:val="clear"/>
        <w:spacing w:after="80" w:before="70" w:line="212"/>
        <w:ind w:left="16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Коротко. </w:t>
      </w:r>
      <w:r>
        <w:rPr>
          <w:rFonts w:ascii="Calibri" w:cs="Calibri" w:eastAsia="Calibri" w:hAnsi="Calibri"/>
          <w:sz w:val="19"/>
          <w:szCs w:val="19"/>
        </w:rPr>
        <w:t xml:space="preserve">Юристы правы в том, что ради налога на прибыль и НДС аккредитация нам сейчас не нужна: на упрощёнке налога на прибыль нет, а НДС не платится до 20 млн ₽ выручки. Но они не учли страховые взносы. Это единственная льгота, которая даёт деньги каждый месяц, и ни упрощёнка, ни реестр ПО её не заменяют. Аккредитация бесплатна, занимает 15 рабочих дней и окупается уже на одном сотруднике. Реестр ПО дороже и начинает приносить деньги только после 20 млн ₽ выручки. Поэтому план такой: упрощёнка и аккредитация сразу, реестр позже.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1. Три инструмента и что каждый реально даёт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7"/>
        <w:gridCol w:w="2679"/>
        <w:gridCol w:w="2679"/>
        <w:gridCol w:w="1786"/>
        <w:gridCol w:w="1091"/>
      </w:tblGrid>
      <w:tr>
        <w:trPr>
          <w:tblHeader/>
        </w:trPr>
        <w:tc>
          <w:tcPr>
            <w:tcW w:type="dxa" w:w="1687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Инструмент</w:t>
            </w:r>
          </w:p>
        </w:tc>
        <w:tc>
          <w:tcPr>
            <w:tcW w:type="dxa" w:w="2679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даёт</w:t>
            </w:r>
          </w:p>
        </w:tc>
        <w:tc>
          <w:tcPr>
            <w:tcW w:type="dxa" w:w="2679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Условия</w:t>
            </w:r>
          </w:p>
        </w:tc>
        <w:tc>
          <w:tcPr>
            <w:tcW w:type="dxa" w:w="178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Стоимость</w:t>
            </w:r>
          </w:p>
        </w:tc>
        <w:tc>
          <w:tcPr>
            <w:tcW w:type="dxa" w:w="109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Полезен нам</w:t>
            </w:r>
          </w:p>
        </w:tc>
      </w:tr>
      <w:tr>
        <w:tc>
          <w:tcPr>
            <w:tcW w:type="dxa" w:w="168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УСН «Доходы» 6 %</w:t>
            </w:r>
          </w:p>
        </w:tc>
        <w:tc>
          <w:tcPr>
            <w:tcW w:type="dxa" w:w="26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 налога на прибыль. Нет НДС до 20 млн ₽ выручки</w:t>
            </w:r>
          </w:p>
        </w:tc>
        <w:tc>
          <w:tcPr>
            <w:tcW w:type="dxa" w:w="26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Заявление при регистрации</w:t>
            </w:r>
          </w:p>
        </w:tc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₽</w:t>
            </w:r>
          </w:p>
        </w:tc>
        <w:tc>
          <w:tcPr>
            <w:tcW w:type="dxa" w:w="109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Сразу</w:t>
            </w:r>
          </w:p>
        </w:tc>
      </w:tr>
      <w:tr>
        <w:tc>
          <w:tcPr>
            <w:tcW w:type="dxa" w:w="168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ИТ-аккредитация</w:t>
            </w:r>
          </w:p>
        </w:tc>
        <w:tc>
          <w:tcPr>
            <w:tcW w:type="dxa" w:w="267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Взносы 15 % вместо 30 %. Отсрочка от армии, льготная ипотека, упрощённый наём иностранцев, вес у инвесторов и фондов</w:t>
            </w:r>
          </w:p>
        </w:tc>
        <w:tc>
          <w:tcPr>
            <w:tcW w:type="dxa" w:w="267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ОКВЭД из перечня, сайт с описанием ИТ-деятельности, согласие на раскрытие налоговой тайны. Для льготы по взносам дополнительно 70 % профильных доходов</w:t>
            </w:r>
          </w:p>
        </w:tc>
        <w:tc>
          <w:tcPr>
            <w:tcW w:type="dxa" w:w="178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₽ пошлина, 15 рабочих дней. Консультант 30–80 тыс. ₽</w:t>
            </w:r>
          </w:p>
        </w:tc>
        <w:tc>
          <w:tcPr>
            <w:tcW w:type="dxa" w:w="109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Сразу</w:t>
            </w:r>
          </w:p>
        </w:tc>
      </w:tr>
      <w:tr>
        <w:tc>
          <w:tcPr>
            <w:tcW w:type="dxa" w:w="168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Реестр российского ПО</w:t>
            </w:r>
          </w:p>
        </w:tc>
        <w:tc>
          <w:tcPr>
            <w:tcW w:type="dxa" w:w="26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Освобождение от НДС при реализации прав на ПО. Второй путь к аккредитации без проверки зарплат. Условие ряда грантов</w:t>
            </w:r>
          </w:p>
        </w:tc>
        <w:tc>
          <w:tcPr>
            <w:tcW w:type="dxa" w:w="267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Права на ПО у компании, документация, техподдержка, отсутствие блокирующих иностранных компонентов</w:t>
            </w:r>
          </w:p>
        </w:tc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₽ пошлина, 1–3 месяца. Консультант 50–150 тыс. ₽ плюс оформление прав 15–60 тыс. ₽</w:t>
            </w:r>
          </w:p>
        </w:tc>
        <w:tc>
          <w:tcPr>
            <w:tcW w:type="dxa" w:w="109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7"/>
                <w:szCs w:val="17"/>
              </w:rPr>
              <w:t xml:space="preserve">Позже</w:t>
            </w:r>
          </w:p>
        </w:tc>
      </w:tr>
    </w:tbl>
    <w:p>
      <w:pPr>
        <w:pBdr>
          <w:left w:val="single" w:color="D68910" w:sz="18" w:space="7"/>
        </w:pBdr>
        <w:shd w:fill="FBF8FD" w:color="auto" w:val="clear"/>
        <w:spacing w:after="80" w:before="70" w:line="212"/>
        <w:ind w:left="16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Важно: два разных порога. </w:t>
      </w:r>
      <w:r>
        <w:rPr>
          <w:rFonts w:ascii="Calibri" w:cs="Calibri" w:eastAsia="Calibri" w:hAnsi="Calibri"/>
          <w:sz w:val="19"/>
          <w:szCs w:val="19"/>
        </w:rPr>
        <w:t xml:space="preserve">Аккредитация как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статус</w:t>
      </w:r>
      <w:r>
        <w:rPr>
          <w:rFonts w:ascii="Calibri" w:cs="Calibri" w:eastAsia="Calibri" w:hAnsi="Calibri"/>
          <w:sz w:val="19"/>
          <w:szCs w:val="19"/>
        </w:rPr>
        <w:t xml:space="preserve"> требует не менее 30 % доходов от ИТ-деятельности. Льготы по взносам и налогу на прибыль требуют не менее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70 %</w:t>
      </w:r>
      <w:r>
        <w:rPr>
          <w:rFonts w:ascii="Calibri" w:cs="Calibri" w:eastAsia="Calibri" w:hAnsi="Calibri"/>
          <w:sz w:val="19"/>
          <w:szCs w:val="19"/>
        </w:rPr>
        <w:t xml:space="preserve"> профильных доходов. Можно сохранить аккредитацию и при этом потерять льготу. Для нас это главный риск, ему посвящён раздел 4.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2. Почему упрощёнка и реестр не заменяют аккредитацию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Вся экономия аккредитации для компании на упрощёнке сидит в страховых взносах. Раньше малый бизнес мог получить пониженный тариф и без ИТ-статуса, но с 1 января 2026 года этот тариф оставили только для приоритетных отраслей по перечню Правительства (распоряжение № 4125-р, 54 позиции: производство продуктов, фармацевтики, тканей, пластмасс, стекла, бытовой техники, транспорт). Разработки программного обеспечения в перечне нет: у ИТ свой режим, привязанный именно к аккредитации.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9"/>
        <w:gridCol w:w="2977"/>
        <w:gridCol w:w="1786"/>
      </w:tblGrid>
      <w:tr>
        <w:trPr>
          <w:tblHeader/>
        </w:trPr>
        <w:tc>
          <w:tcPr>
            <w:tcW w:type="dxa" w:w="5159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Тариф взносов</w:t>
            </w:r>
          </w:p>
        </w:tc>
        <w:tc>
          <w:tcPr>
            <w:tcW w:type="dxa" w:w="2977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 пределах базы 2 979 000 ₽ на человека в год</w:t>
            </w:r>
          </w:p>
        </w:tc>
        <w:tc>
          <w:tcPr>
            <w:tcW w:type="dxa" w:w="178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Сверх базы</w:t>
            </w:r>
          </w:p>
        </w:tc>
      </w:tr>
      <w:tr>
        <w:tc>
          <w:tcPr>
            <w:tcW w:type="dxa" w:w="51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Аккредитованная ИТ-компания с долей профильных доходов от 70 %</w:t>
            </w:r>
          </w:p>
        </w:tc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15 %</w:t>
            </w:r>
          </w:p>
        </w:tc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7,6 %</w:t>
            </w:r>
          </w:p>
        </w:tc>
      </w:tr>
      <w:tr>
        <w:tc>
          <w:tcPr>
            <w:tcW w:type="dxa" w:w="5159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Компания без аккредитации (наш случай, если ничего не делать)</w:t>
            </w:r>
          </w:p>
        </w:tc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30 %</w:t>
            </w:r>
          </w:p>
        </w:tc>
        <w:tc>
          <w:tcPr>
            <w:tcW w:type="dxa" w:w="178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15,1 %</w:t>
            </w:r>
          </w:p>
        </w:tc>
      </w:tr>
      <w:tr>
        <w:tc>
          <w:tcPr>
            <w:tcW w:type="dxa" w:w="5159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Разница</w:t>
            </w:r>
          </w:p>
        </w:tc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15 процентных пунктов</w:t>
            </w:r>
          </w:p>
        </w:tc>
        <w:tc>
          <w:tcPr>
            <w:tcW w:type="dxa" w:w="17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7,5 п. п.</w:t>
            </w:r>
          </w:p>
        </w:tc>
      </w:tr>
    </w:tbl>
    <w:p>
      <w:pPr>
        <w:spacing w:after="5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Простое правило: </w:t>
      </w:r>
      <w:r>
        <w:rPr>
          <w:rFonts w:ascii="Calibri" w:cs="Calibri" w:eastAsia="Calibri" w:hAnsi="Calibri"/>
          <w:sz w:val="19"/>
          <w:szCs w:val="19"/>
        </w:rPr>
        <w:t xml:space="preserve">пока зарплата каждого сотрудника меньше 248 000 ₽ в месяц, экономия равна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15 % годового фонда оплаты труда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3. Сколько стоит отказ от аккредитации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588"/>
        <w:gridCol w:w="1588"/>
        <w:gridCol w:w="1588"/>
        <w:gridCol w:w="1785"/>
      </w:tblGrid>
      <w:tr>
        <w:trPr>
          <w:tblHeader/>
        </w:trPr>
        <w:tc>
          <w:tcPr>
            <w:tcW w:type="dxa" w:w="3373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Фонд оплаты труда</w:t>
            </w:r>
          </w:p>
        </w:tc>
        <w:tc>
          <w:tcPr>
            <w:tcW w:type="dxa" w:w="158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 год</w:t>
            </w:r>
          </w:p>
        </w:tc>
        <w:tc>
          <w:tcPr>
            <w:tcW w:type="dxa" w:w="158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Взносы 30 %</w:t>
            </w:r>
          </w:p>
        </w:tc>
        <w:tc>
          <w:tcPr>
            <w:tcW w:type="dxa" w:w="158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Взносы 15 %</w:t>
            </w:r>
          </w:p>
        </w:tc>
        <w:tc>
          <w:tcPr>
            <w:tcW w:type="dxa" w:w="1785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Экономия в год</w:t>
            </w:r>
          </w:p>
        </w:tc>
      </w:tr>
      <w:tr>
        <w:tc>
          <w:tcPr>
            <w:tcW w:type="dxa" w:w="33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27 093 ₽ в месяц (только директор на МРОТ)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325 116 ₽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97 535 ₽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48 767 ₽</w:t>
            </w:r>
          </w:p>
        </w:tc>
        <w:tc>
          <w:tcPr>
            <w:tcW w:type="dxa" w:w="17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48 767 ₽</w:t>
            </w:r>
          </w:p>
        </w:tc>
      </w:tr>
      <w:tr>
        <w:tc>
          <w:tcPr>
            <w:tcW w:type="dxa" w:w="3373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100 000 ₽ в месяц (директор и подрядчик)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1 200 000 ₽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360 000 ₽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180 000 ₽</w:t>
            </w:r>
          </w:p>
        </w:tc>
        <w:tc>
          <w:tcPr>
            <w:tcW w:type="dxa" w:w="1785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180 000 ₽</w:t>
            </w:r>
          </w:p>
        </w:tc>
      </w:tr>
      <w:tr>
        <w:tc>
          <w:tcPr>
            <w:tcW w:type="dxa" w:w="33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300 000 ₽ в месяц (директор, техпартнёр, маркетолог)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3 600 000 ₽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1 080 000 ₽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540 000 ₽</w:t>
            </w:r>
          </w:p>
        </w:tc>
        <w:tc>
          <w:tcPr>
            <w:tcW w:type="dxa" w:w="17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540 000 ₽</w:t>
            </w:r>
          </w:p>
        </w:tc>
      </w:tr>
      <w:tr>
        <w:tc>
          <w:tcPr>
            <w:tcW w:type="dxa" w:w="3373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500 000 ₽ в месяц (команда 5 человек)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6 000 000 ₽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1 800 000 ₽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900 000 ₽</w:t>
            </w:r>
          </w:p>
        </w:tc>
        <w:tc>
          <w:tcPr>
            <w:tcW w:type="dxa" w:w="1785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900 000 ₽</w:t>
            </w:r>
          </w:p>
        </w:tc>
      </w:tr>
      <w:tr>
        <w:tc>
          <w:tcPr>
            <w:tcW w:type="dxa" w:w="3373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900 000 ₽ в месяц (команда 8 человек)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10 800 000 ₽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3 240 000 ₽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1 620 000 ₽</w:t>
            </w:r>
          </w:p>
        </w:tc>
        <w:tc>
          <w:tcPr>
            <w:tcW w:type="dxa" w:w="17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1 620 000 ₽</w:t>
            </w:r>
          </w:p>
        </w:tc>
      </w:tr>
    </w:tbl>
    <w:p>
      <w:pPr>
        <w:spacing w:after="5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Точка окупаемости. </w:t>
      </w:r>
      <w:r>
        <w:rPr>
          <w:rFonts w:ascii="Calibri" w:cs="Calibri" w:eastAsia="Calibri" w:hAnsi="Calibri"/>
          <w:sz w:val="19"/>
          <w:szCs w:val="19"/>
        </w:rPr>
        <w:t xml:space="preserve">Если делать аккредитацию через консультанта за 50 000 ₽, она окупается при фонде оплаты труда около 333 000 ₽ в год, то есть примерно 28 000 ₽ в месяц. Это меньше одной зарплаты по МРОТ. Своими силами аккредитация бесплатна и окупается с первого дня, когда появляется первая зарплата.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4. Главный риск плана: правило 70 %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Льгота по взносам работает, только если не менее 70 % доходов компании — профильные ИТ-доходы. Наша проблема в том, что комиссия с продаж курсов экспертов, маркет, мероприятия и реклама профильными не считаются: Налоговый кодекс прямо исключает доходы от программ, которые дают возможность размещать предложения о продаже, искать покупателей и заключать сделки.</w:t>
      </w:r>
    </w:p>
    <w:p>
      <w:pPr>
        <w:spacing w:after="34" w:before="7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Пример: структура выручки на двенадцатый месяц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1588"/>
        <w:gridCol w:w="1191"/>
        <w:gridCol w:w="4166"/>
      </w:tblGrid>
      <w:tr>
        <w:trPr>
          <w:tblHeader/>
        </w:trPr>
        <w:tc>
          <w:tcPr>
            <w:tcW w:type="dxa" w:w="2977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Источник дохода</w:t>
            </w:r>
          </w:p>
        </w:tc>
        <w:tc>
          <w:tcPr>
            <w:tcW w:type="dxa" w:w="158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 месяц</w:t>
            </w:r>
          </w:p>
        </w:tc>
        <w:tc>
          <w:tcPr>
            <w:tcW w:type="dxa" w:w="119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Доля</w:t>
            </w:r>
          </w:p>
        </w:tc>
        <w:tc>
          <w:tcPr>
            <w:tcW w:type="dxa" w:w="416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Профильный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Подписка на платформу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1 200 000 ₽</w:t>
            </w:r>
          </w:p>
        </w:tc>
        <w:tc>
          <w:tcPr>
            <w:tcW w:type="dxa" w:w="119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60 %</w:t>
            </w:r>
          </w:p>
        </w:tc>
        <w:tc>
          <w:tcPr>
            <w:tcW w:type="dxa" w:w="4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color w:val="1E8449"/>
                <w:sz w:val="17"/>
                <w:szCs w:val="17"/>
              </w:rPr>
              <w:t xml:space="preserve">Да, при оформлении подписки как лицензии на ПО</w:t>
            </w:r>
          </w:p>
        </w:tc>
      </w:tr>
      <w:tr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Комиссия с курсов экспертов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460 000 ₽</w:t>
            </w:r>
          </w:p>
        </w:tc>
        <w:tc>
          <w:tcPr>
            <w:tcW w:type="dxa" w:w="119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23 %</w:t>
            </w:r>
          </w:p>
        </w:tc>
        <w:tc>
          <w:tcPr>
            <w:tcW w:type="dxa" w:w="416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color w:val="C0392B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Маркет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200 000 ₽</w:t>
            </w:r>
          </w:p>
        </w:tc>
        <w:tc>
          <w:tcPr>
            <w:tcW w:type="dxa" w:w="119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10 %</w:t>
            </w:r>
          </w:p>
        </w:tc>
        <w:tc>
          <w:tcPr>
            <w:tcW w:type="dxa" w:w="4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color w:val="C0392B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97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Мероприятия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140 000 ₽</w:t>
            </w:r>
          </w:p>
        </w:tc>
        <w:tc>
          <w:tcPr>
            <w:tcW w:type="dxa" w:w="119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7 %</w:t>
            </w:r>
          </w:p>
        </w:tc>
        <w:tc>
          <w:tcPr>
            <w:tcW w:type="dxa" w:w="416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color w:val="C0392B"/>
                <w:sz w:val="17"/>
                <w:szCs w:val="17"/>
              </w:rPr>
              <w:t xml:space="preserve">Нет</w:t>
            </w:r>
          </w:p>
        </w:tc>
      </w:tr>
      <w:tr>
        <w:tc>
          <w:tcPr>
            <w:tcW w:type="dxa" w:w="297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Итого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2 000 000 ₽</w:t>
            </w:r>
          </w:p>
        </w:tc>
        <w:tc>
          <w:tcPr>
            <w:tcW w:type="dxa" w:w="119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100 %</w:t>
            </w:r>
          </w:p>
        </w:tc>
        <w:tc>
          <w:tcPr>
            <w:tcW w:type="dxa" w:w="416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Профильных 60 % — льгота теряется</w:t>
            </w:r>
          </w:p>
        </w:tc>
      </w:tr>
    </w:tbl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При такой структуре аккредитация сохраняется (30 % есть с запасом), а льгота по взносам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пропадает за весь расчётный период</w:t>
      </w:r>
      <w:r>
        <w:rPr>
          <w:rFonts w:ascii="Calibri" w:cs="Calibri" w:eastAsia="Calibri" w:hAnsi="Calibri"/>
          <w:sz w:val="19"/>
          <w:szCs w:val="19"/>
        </w:rPr>
        <w:t xml:space="preserve">, и взносы пересчитываются по ставке 30 % с пенями. Поэтому долю профильных доходов надо считать ежеквартально с первого месяца продаж, а не обнаруживать по итогам года.</w:t>
      </w:r>
    </w:p>
    <w:p>
      <w:pPr>
        <w:spacing w:after="34" w:before="7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Два способа удержать 70 %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Держать долю подписки выше 70 %. </w:t>
      </w:r>
      <w:r>
        <w:rPr>
          <w:rFonts w:ascii="Calibri" w:cs="Calibri" w:eastAsia="Calibri" w:hAnsi="Calibri"/>
          <w:sz w:val="19"/>
          <w:szCs w:val="19"/>
        </w:rPr>
        <w:t xml:space="preserve">Реально на первом году, пока маркет и мероприятия не запущены. Требует, чтобы подписка в оферте была оформлена как предоставление права использования программы, а не как информационные услуги или доступ к урокам.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Разделить на два юрлица. </w:t>
      </w:r>
      <w:r>
        <w:rPr>
          <w:rFonts w:ascii="Calibri" w:cs="Calibri" w:eastAsia="Calibri" w:hAnsi="Calibri"/>
          <w:sz w:val="19"/>
          <w:szCs w:val="19"/>
        </w:rPr>
        <w:t xml:space="preserve">ИТ-компания продаёт подписку и лицензирует платформу, операционная компания или ИП ведёт маркет, мероприятия и расчёты с экспертами. Тогда ИТ-компания проходит тест с запасом.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2"/>
        <w:gridCol w:w="3770"/>
      </w:tblGrid>
      <w:tr>
        <w:trPr>
          <w:tblHeader/>
        </w:trPr>
        <w:tc>
          <w:tcPr>
            <w:tcW w:type="dxa" w:w="6152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Разделение на два юрлица</w:t>
            </w:r>
          </w:p>
        </w:tc>
        <w:tc>
          <w:tcPr>
            <w:tcW w:type="dxa" w:w="377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Сумма</w:t>
            </w:r>
          </w:p>
        </w:tc>
      </w:tr>
      <w:tr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Разовая настройка: устав, договоры, межкомпанийная лицензия, учётная политика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50 000 – 150 000 ₽</w:t>
            </w:r>
          </w:p>
        </w:tc>
      </w:tr>
      <w:tr>
        <w:tc>
          <w:tcPr>
            <w:tcW w:type="dxa" w:w="615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Вторая бухгалтерия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180 000 – 360 000 ₽ в год</w:t>
            </w:r>
          </w:p>
        </w:tc>
      </w:tr>
      <w:tr>
        <w:tc>
          <w:tcPr>
            <w:tcW w:type="dxa" w:w="615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Экономия: 15 % фонда оплаты труда ИТ-команды</w:t>
            </w:r>
          </w:p>
        </w:tc>
        <w:tc>
          <w:tcPr>
            <w:tcW w:type="dxa" w:w="377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зависит от фонда</w:t>
            </w:r>
          </w:p>
        </w:tc>
      </w:tr>
      <w:tr>
        <w:tc>
          <w:tcPr>
            <w:tcW w:type="dxa" w:w="615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Окупается при фонде оплаты труда ИТ-команды от</w:t>
            </w:r>
          </w:p>
        </w:tc>
        <w:tc>
          <w:tcPr>
            <w:tcW w:type="dxa" w:w="377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200 000 ₽ в месяц</w:t>
            </w:r>
          </w:p>
        </w:tc>
      </w:tr>
    </w:tbl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То есть пока ИТ-команда обходится дешевле 200 000 ₽ в месяц, вторая компания не окупается и проще держать долю подписки выше порога. Выше этой суммы разделение начинает приносить деньги, но требует внятной деловой цели, иначе налоговая увидит дробление бизнеса.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5. Когда включать реестр российского ПО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Реестр даёт освобождение от НДС. Пока мы на упрощёнке и не перешли рубеж 20 млн ₽ выручки, НДС не платится вообще, поэтому реестр не даёт ни рубля. Порог в 20 млн ₽ заморожен: законом от июля 2026 года его зафиксировали на этом уровне на 2026–2029 годы, ранее планировавшееся снижение до 15 и 10 млн ₽ отменено. Это снимает спешку.</w:t>
      </w:r>
    </w:p>
    <w:p>
      <w:pPr>
        <w:spacing w:after="34" w:before="7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Пример: выручка 30 млн ₽ в год, ставка НДС 5 %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6"/>
        <w:gridCol w:w="2381"/>
        <w:gridCol w:w="1985"/>
      </w:tblGrid>
      <w:tr>
        <w:trPr>
          <w:tblHeader/>
        </w:trPr>
        <w:tc>
          <w:tcPr>
            <w:tcW w:type="dxa" w:w="555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Вариант</w:t>
            </w:r>
          </w:p>
        </w:tc>
        <w:tc>
          <w:tcPr>
            <w:tcW w:type="dxa" w:w="238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Облагаемая база</w:t>
            </w:r>
          </w:p>
        </w:tc>
        <w:tc>
          <w:tcPr>
            <w:tcW w:type="dxa" w:w="1985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НДС в год</w:t>
            </w:r>
          </w:p>
        </w:tc>
      </w:tr>
      <w:tr>
        <w:tc>
          <w:tcPr>
            <w:tcW w:type="dxa" w:w="55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реестра: НДС со всей выручки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30 000 000 ₽</w:t>
            </w:r>
          </w:p>
        </w:tc>
        <w:tc>
          <w:tcPr>
            <w:tcW w:type="dxa" w:w="19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1 500 000 ₽</w:t>
            </w:r>
          </w:p>
        </w:tc>
      </w:tr>
      <w:tr>
        <w:tc>
          <w:tcPr>
            <w:tcW w:type="dxa" w:w="555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 реестром: подписка 18 млн ₽ освобождена, облагается остальное</w:t>
            </w:r>
          </w:p>
        </w:tc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12 000 000 ₽</w:t>
            </w:r>
          </w:p>
        </w:tc>
        <w:tc>
          <w:tcPr>
            <w:tcW w:type="dxa" w:w="1985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600 000 ₽</w:t>
            </w:r>
          </w:p>
        </w:tc>
      </w:tr>
      <w:tr>
        <w:tc>
          <w:tcPr>
            <w:tcW w:type="dxa" w:w="55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Экономия</w:t>
            </w:r>
          </w:p>
        </w:tc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9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900 000 ₽ в год</w:t>
            </w:r>
          </w:p>
        </w:tc>
      </w:tr>
    </w:tbl>
    <w:p>
      <w:pPr>
        <w:spacing w:after="5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Оговорка. </w:t>
      </w:r>
      <w:r>
        <w:rPr>
          <w:rFonts w:ascii="Calibri" w:cs="Calibri" w:eastAsia="Calibri" w:hAnsi="Calibri"/>
          <w:sz w:val="19"/>
          <w:szCs w:val="19"/>
        </w:rPr>
        <w:t xml:space="preserve">Освобождение по реестру не распространяется на функции маркетплейса и рекламы. Комиссия с курсов экспертов и маркет останутся под НДС даже с реестром. Поэтому регистрировать в реестре нужно ядро платформы (подбор программы, личный кабинет, трекеры, календарь, помощник) отдельным продуктом, не смешивая его с модулями маркета и биржи экспертов.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Когда начинать. </w:t>
      </w:r>
      <w:r>
        <w:rPr>
          <w:rFonts w:ascii="Calibri" w:cs="Calibri" w:eastAsia="Calibri" w:hAnsi="Calibri"/>
          <w:sz w:val="19"/>
          <w:szCs w:val="19"/>
        </w:rPr>
        <w:t xml:space="preserve">Подготовка и рассмотрение занимают от трёх до шести месяцев, поэтому подавать документы стоит при годовой выручке около 12–15 млн ₽, чтобы к моменту перехода порога освобождение уже действовало. Разовые затраты 70 000 – 215 000 ₽ окупаются за первые два-три месяца после превышения порога.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6. Сравнение двух сценариев за два года</w:t>
      </w:r>
    </w:p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Сценарий А — как предложили юристы: упрощёнка, без аккредитации. Сценарий Б — упрощёнка плюс аккредитация сразу. Прогноз фонда оплаты труда: первые три месяца только директор на МРОТ, затем подключается технический партнёр, со второго полугодия команда из четырёх человек.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984"/>
        <w:gridCol w:w="1984"/>
        <w:gridCol w:w="1984"/>
        <w:gridCol w:w="1986"/>
      </w:tblGrid>
      <w:tr>
        <w:trPr>
          <w:tblHeader/>
        </w:trPr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Фонд оплаты труда</w:t>
            </w:r>
          </w:p>
        </w:tc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Сценарий А, взносы</w:t>
            </w:r>
          </w:p>
        </w:tc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Сценарий Б, взносы</w:t>
            </w:r>
          </w:p>
        </w:tc>
        <w:tc>
          <w:tcPr>
            <w:tcW w:type="dxa" w:w="198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Разница</w:t>
            </w:r>
          </w:p>
        </w:tc>
      </w:tr>
      <w:tr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Год 1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2 331 000 ₽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699 300 ₽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349 650 ₽</w:t>
            </w:r>
          </w:p>
        </w:tc>
        <w:tc>
          <w:tcPr>
            <w:tcW w:type="dxa" w:w="19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349 650 ₽</w:t>
            </w:r>
          </w:p>
        </w:tc>
      </w:tr>
      <w:tr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Год 2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6 000 000 ₽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1 800 000 ₽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900 000 ₽</w:t>
            </w:r>
          </w:p>
        </w:tc>
        <w:tc>
          <w:tcPr>
            <w:tcW w:type="dxa" w:w="198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900 000 ₽</w:t>
            </w:r>
          </w:p>
        </w:tc>
      </w:tr>
      <w:tr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Итого за два года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8 331 000 ₽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2 499 300 ₽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1 249 650 ₽</w:t>
            </w:r>
          </w:p>
        </w:tc>
        <w:tc>
          <w:tcPr>
            <w:tcW w:type="dxa" w:w="198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1 249 650 ₽</w:t>
            </w:r>
          </w:p>
        </w:tc>
      </w:tr>
    </w:tbl>
    <w:p>
      <w:pPr>
        <w:spacing w:after="50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Затраты на сценарий Б: от 0 ₽ своими силами до 80 000 ₽ через консультанта, плюс один день в год на подтверждение статуса.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Чистая выгода за два года — около 1,17–1,25 млн ₽</w:t>
      </w:r>
      <w:r>
        <w:rPr>
          <w:rFonts w:ascii="Calibri" w:cs="Calibri" w:eastAsia="Calibri" w:hAnsi="Calibri"/>
          <w:sz w:val="19"/>
          <w:szCs w:val="19"/>
        </w:rPr>
        <w:t xml:space="preserve">, и это без учёта отсрочки от армии для разработчиков и льготной ипотеки, которые влияют на наём. Оговорка: выгода сценария Б возникает только при соблюдении правила 70 % из раздела 4.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7. План по шагам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3572"/>
        <w:gridCol w:w="1588"/>
        <w:gridCol w:w="2778"/>
      </w:tblGrid>
      <w:tr>
        <w:trPr>
          <w:tblHeader/>
        </w:trPr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Когда</w:t>
            </w:r>
          </w:p>
        </w:tc>
        <w:tc>
          <w:tcPr>
            <w:tcW w:type="dxa" w:w="3572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делаем</w:t>
            </w:r>
          </w:p>
        </w:tc>
        <w:tc>
          <w:tcPr>
            <w:tcW w:type="dxa" w:w="158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Затраты</w:t>
            </w:r>
          </w:p>
        </w:tc>
        <w:tc>
          <w:tcPr>
            <w:tcW w:type="dxa" w:w="277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Зачем</w:t>
            </w:r>
          </w:p>
        </w:tc>
      </w:tr>
      <w:tr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 регистрации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Выбрать основной ОКВЭД 62.01. Спроектировать оферту так, чтобы подписка была лицензией на использование программы. Заложить раздельный учёт доходов по видам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₽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этого аккредитация невозможна, а подписка не попадёт в профильные доходы</w:t>
            </w:r>
          </w:p>
        </w:tc>
      </w:tr>
      <w:tr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Месяц 1</w:t>
            </w:r>
          </w:p>
        </w:tc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Зарегистрировать ООО, подать заявление на УСН «Доходы» 6 %, запустить сайт с описанием ИТ-деятельности на русском языке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15–90 тыс. ₽</w:t>
            </w:r>
          </w:p>
        </w:tc>
        <w:tc>
          <w:tcPr>
            <w:tcW w:type="dxa" w:w="277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Базовая конструкция и обязательное условие аккредитации</w:t>
            </w:r>
          </w:p>
        </w:tc>
      </w:tr>
      <w:tr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Месяц 1–2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Оформить исключительные права на код, дизайн и контент на компанию. Зарегистрировать программу в Роспатенте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20–65 тыс. ₽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Нужно и для реестра, и для инвестора, и для защиты от споров с подрядчиками</w:t>
            </w:r>
          </w:p>
        </w:tc>
      </w:tr>
      <w:tr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Месяц 2</w:t>
            </w:r>
          </w:p>
        </w:tc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Подать заявление на аккредитацию по стартап-пути: компании меньше трёх лет, доход менее 1 млн ₽, зарплатный критерий не проверяется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0–80 тыс. ₽</w:t>
            </w:r>
          </w:p>
        </w:tc>
        <w:tc>
          <w:tcPr>
            <w:tcW w:type="dxa" w:w="277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Статус получен до найма, льгота по взносам действует с первой зарплаты</w:t>
            </w:r>
          </w:p>
        </w:tc>
      </w:tr>
      <w:tr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Месяц 2–3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Ввести раздельный учёт профильных и непрофильных доходов, назначить ежеквартальный контроль доли 70 %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 рамках бухгалтерии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Главный риск потери льготы закрывается регламентом, а не разовой проверкой</w:t>
            </w:r>
          </w:p>
        </w:tc>
      </w:tr>
      <w:tr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Месяц 3 и далее</w:t>
            </w:r>
          </w:p>
        </w:tc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Нанимать сотрудников уже по тарифу 15 %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77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Экономия 15 % фонда оплаты труда с первого месяца</w:t>
            </w:r>
          </w:p>
        </w:tc>
      </w:tr>
      <w:tr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 выручке 12–15 млн ₽ в год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Подготовить и подать ядро платформы в реестр российского ПО отдельным продуктом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70–215 тыс. ₽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Освобождение от НДС должно действовать к моменту перехода порога 20 млн ₽</w:t>
            </w:r>
          </w:p>
        </w:tc>
      </w:tr>
      <w:tr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 фонде оплаты труда ИТ-команды от 200 тыс. ₽ в месяц и доле профильных доходов ниже 70 %</w:t>
            </w:r>
          </w:p>
        </w:tc>
        <w:tc>
          <w:tcPr>
            <w:tcW w:type="dxa" w:w="357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Разделить бизнес: ИТ-компания и операционная компания</w:t>
            </w:r>
          </w:p>
        </w:tc>
        <w:tc>
          <w:tcPr>
            <w:tcW w:type="dxa" w:w="158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50–150 тыс. ₽ плюс 180–360 тыс. ₽ в год</w:t>
            </w:r>
          </w:p>
        </w:tc>
        <w:tc>
          <w:tcPr>
            <w:tcW w:type="dxa" w:w="277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Сохранение льготы по взносам, когда маркет и мероприятия вырастут</w:t>
            </w:r>
          </w:p>
        </w:tc>
      </w:tr>
      <w:tr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Ежегодно до 1 июня</w:t>
            </w:r>
          </w:p>
        </w:tc>
        <w:tc>
          <w:tcPr>
            <w:tcW w:type="dxa" w:w="357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Подтвердить аккредитацию</w:t>
            </w:r>
          </w:p>
        </w:tc>
        <w:tc>
          <w:tcPr>
            <w:tcW w:type="dxa" w:w="158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₽, один день работы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Пропуск срока означает потерю статуса и льгот</w:t>
            </w:r>
          </w:p>
        </w:tc>
      </w:tr>
    </w:tbl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8. Что может пойти не так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Подписку признают информационной услугой, а не лицензией на ПО. </w:t>
      </w:r>
      <w:r>
        <w:rPr>
          <w:rFonts w:ascii="Calibri" w:cs="Calibri" w:eastAsia="Calibri" w:hAnsi="Calibri"/>
          <w:sz w:val="19"/>
          <w:szCs w:val="19"/>
        </w:rPr>
        <w:t xml:space="preserve">Тогда профильных доходов почти не останется. Лечится формулировками оферты и тем, что функциональность платформы (алгоритм подбора, трекеры, календарь, помощник) первична по отношению к контенту. Это первый вопрос к юристу.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Доля профильных доходов уходит ниже 70 % незаметно. </w:t>
      </w:r>
      <w:r>
        <w:rPr>
          <w:rFonts w:ascii="Calibri" w:cs="Calibri" w:eastAsia="Calibri" w:hAnsi="Calibri"/>
          <w:sz w:val="19"/>
          <w:szCs w:val="19"/>
        </w:rPr>
        <w:t xml:space="preserve">Льгота теряется задним числом за весь период, взносы пересчитываются с пенями. Лечится ежеквартальным расчётом и решением о разделении заранее, а не по факту.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Ставки меняются. </w:t>
      </w:r>
      <w:r>
        <w:rPr>
          <w:rFonts w:ascii="Calibri" w:cs="Calibri" w:eastAsia="Calibri" w:hAnsi="Calibri"/>
          <w:sz w:val="19"/>
          <w:szCs w:val="19"/>
        </w:rPr>
        <w:t xml:space="preserve">Для ИТ-компаний тариф уже подняли с 7,6 % до 15 % с 2026 года. Экономия может сократиться, но остаётся положительной, пока обычный тариф выше ИТ-тарифа.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Отказ в реестре. </w:t>
      </w:r>
      <w:r>
        <w:rPr>
          <w:rFonts w:ascii="Calibri" w:cs="Calibri" w:eastAsia="Calibri" w:hAnsi="Calibri"/>
          <w:sz w:val="19"/>
          <w:szCs w:val="19"/>
        </w:rPr>
        <w:t xml:space="preserve">Типичные причины: права оформлены не на компанию, нет документации и техподдержки, есть блокирующие иностранные компоненты. Поэтому права оформляем в первые два месяца, а не перед подачей.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Претензия о дроблении при двух юрлицах. </w:t>
      </w:r>
      <w:r>
        <w:rPr>
          <w:rFonts w:ascii="Calibri" w:cs="Calibri" w:eastAsia="Calibri" w:hAnsi="Calibri"/>
          <w:sz w:val="19"/>
          <w:szCs w:val="19"/>
        </w:rPr>
        <w:t xml:space="preserve">Нужна деловая цель помимо налогов: разные функции, разный персонал, рыночная межкомпанийная лицензия.</w:t>
      </w:r>
    </w:p>
    <w:p>
      <w:pPr>
        <w:spacing w:after="46" w:before="100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9. Что уточнить у юриста и бухгалтера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Готовы ли они защищать подписку как доход от предоставления права использования программы и какие формулировки для этого нужны в оферте.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Есть ли в нашем регионе реестр стартапов или статус малой технологической компании — это второй упрощённый путь к аккредитации.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Действует ли в регионе пониженная ставка УСН и не изменится ли она в 2027 году.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Как организовать раздельный учёт доходов по видам и в какой форме вести ежеквартальный расчёт доли.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При каком сценарии они рекомендуют разделение на два юрлица и как обосновать деловую цель.</w:t>
      </w:r>
    </w:p>
    <w:p>
      <w:pPr>
        <w:pStyle w:val="ListParagraph"/>
        <w:numPr>
          <w:ilvl w:val="0"/>
          <w:numId w:val="2"/>
        </w:numPr>
        <w:spacing w:after="26" w:line="21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Что именно подавать в реестр ПО и как разделить ядро платформы и модули маркета, чтобы исключение для маркетплейсов не затронуло основной продукт.</w:t>
      </w:r>
    </w:p>
    <w:p>
      <w:pPr>
        <w:spacing w:after="0" w:before="70" w:line="212"/>
        <w:jc w:val="both"/>
      </w:pPr>
      <w:r>
        <w:rPr>
          <w:rFonts w:ascii="Calibri" w:cs="Calibri" w:eastAsia="Calibri" w:hAnsi="Calibri"/>
          <w:color w:val="777777"/>
          <w:sz w:val="17"/>
          <w:szCs w:val="17"/>
        </w:rPr>
        <w:t xml:space="preserve">Все суммы приведены по ставкам и порогам, действующим на сентябрь 2026 года, и подлежат проверке бухгалтером перед принятием решений.</w:t>
      </w:r>
    </w:p>
    <w:sectPr>
      <w:footerReference w:type="default" r:id="rId7"/>
      <w:pgSz w:w="11906" w:h="16838" w:orient="portrait"/>
      <w:pgMar w:top="820" w:right="992" w:bottom="680" w:left="9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Eva Space · план по налоговому статусу · сентябрь 2026 · стр.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Space — план по налоговому статусу</dc:title>
  <dc:creator>Eva Space</dc:creator>
  <cp:lastModifiedBy>Un-named</cp:lastModifiedBy>
  <cp:revision>1</cp:revision>
  <dcterms:created xsi:type="dcterms:W3CDTF">2026-09-21T09:32:25.477Z</dcterms:created>
  <dcterms:modified xsi:type="dcterms:W3CDTF">2026-09-21T09:32:25.478Z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