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B59B6"/>
          <w:spacing w:val="60"/>
          <w:sz w:val="20"/>
          <w:szCs w:val="20"/>
        </w:rPr>
        <w:t xml:space="preserve">EVA SPACE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2C6F"/>
          <w:sz w:val="32"/>
          <w:szCs w:val="32"/>
        </w:rPr>
        <w:t xml:space="preserve">Регион регистрации и налоговый режим</w:t>
      </w:r>
    </w:p>
    <w:p>
      <w:pPr>
        <w:spacing w:after="11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Подходит ли АУСН, где регистрировать ООО — в Петербурге или в Москве, и что делать после АУСН. Октябрь 2026 года</w:t>
      </w:r>
    </w:p>
    <w:p>
      <w:pPr>
        <w:pBdr>
          <w:left w:val="single" w:color="9B59B6" w:sz="18" w:space="7"/>
        </w:pBdr>
        <w:shd w:fill="FBF8FD" w:color="auto" w:val="clear"/>
        <w:spacing w:after="100" w:before="80" w:line="228"/>
        <w:ind w:left="16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Вывод. </w:t>
      </w:r>
      <w:r>
        <w:rPr>
          <w:rFonts w:ascii="Calibri" w:cs="Calibri" w:eastAsia="Calibri" w:hAnsi="Calibri"/>
          <w:sz w:val="20"/>
          <w:szCs w:val="20"/>
        </w:rPr>
        <w:t xml:space="preserve">АУСН подходит Eva Space, но с объектом «доходы минус расходы», а не «доходы», и только как режим первого этапа: эксперимент с АУСН действует до 31 декабря 2027 года, решения о продлении пока нет. ООО стоит регистрировать в Петербурге, если директор или офис реально находятся там. На АУСН регион ничего не меняет, но после неё Петербург даёт ИТ-компаниям упрощёнку 1 % вместо 6 % в Москве.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1. Сколько стоит каждый вариант</w:t>
      </w:r>
    </w:p>
    <w:p>
      <w:pPr>
        <w:spacing w:after="70" w:line="22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Сравнение по модели Eva Space: сумма налога и страховых взносов за год, без НДС. Это расчёт на допущениях, а не прогноз.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2183"/>
        <w:gridCol w:w="2183"/>
      </w:tblGrid>
      <w:tr>
        <w:trPr>
          <w:tblHeader/>
        </w:trPr>
        <w:tc>
          <w:tcPr>
            <w:tcW w:type="dxa" w:w="5556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Допущение</w:t>
            </w:r>
          </w:p>
        </w:tc>
        <w:tc>
          <w:tcPr>
            <w:tcW w:type="dxa" w:w="2183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Год 1</w:t>
            </w:r>
          </w:p>
        </w:tc>
        <w:tc>
          <w:tcPr>
            <w:tcW w:type="dxa" w:w="2183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Год 2</w:t>
            </w:r>
          </w:p>
        </w:tc>
      </w:tr>
      <w:tr>
        <w:trPr>
          <w:cantSplit/>
        </w:trPr>
        <w:tc>
          <w:tcPr>
            <w:tcW w:type="dxa" w:w="5556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218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млн ₽</w:t>
            </w:r>
          </w:p>
        </w:tc>
        <w:tc>
          <w:tcPr>
            <w:tcW w:type="dxa" w:w="218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млн ₽</w:t>
            </w:r>
          </w:p>
        </w:tc>
      </w:tr>
      <w:tr>
        <w:trPr>
          <w:cantSplit/>
        </w:trPr>
        <w:tc>
          <w:tcPr>
            <w:tcW w:type="dxa" w:w="5556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Зарплаты сотрудников</w:t>
            </w:r>
          </w:p>
        </w:tc>
        <w:tc>
          <w:tcPr>
            <w:tcW w:type="dxa" w:w="218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2,3 млн ₽</w:t>
            </w:r>
          </w:p>
        </w:tc>
        <w:tc>
          <w:tcPr>
            <w:tcW w:type="dxa" w:w="218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млн ₽</w:t>
            </w:r>
          </w:p>
        </w:tc>
      </w:tr>
      <w:tr>
        <w:trPr>
          <w:cantSplit/>
        </w:trPr>
        <w:tc>
          <w:tcPr>
            <w:tcW w:type="dxa" w:w="5556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Прочие расходы: маркетинг, разработка, контент, аренда, бухгалтерия</w:t>
            </w:r>
          </w:p>
        </w:tc>
        <w:tc>
          <w:tcPr>
            <w:tcW w:type="dxa" w:w="218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 млн ₽</w:t>
            </w:r>
          </w:p>
        </w:tc>
        <w:tc>
          <w:tcPr>
            <w:tcW w:type="dxa" w:w="218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млн ₽</w:t>
            </w:r>
          </w:p>
        </w:tc>
      </w:tr>
      <w:tr>
        <w:trPr>
          <w:cantSplit/>
        </w:trPr>
        <w:tc>
          <w:tcPr>
            <w:tcW w:type="dxa" w:w="5556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Прибыль до налогов и взносов</w:t>
            </w:r>
          </w:p>
        </w:tc>
        <w:tc>
          <w:tcPr>
            <w:tcW w:type="dxa" w:w="218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убыток 0,4 млн ₽</w:t>
            </w:r>
          </w:p>
        </w:tc>
        <w:tc>
          <w:tcPr>
            <w:tcW w:type="dxa" w:w="218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млн ₽</w:t>
            </w:r>
          </w:p>
        </w:tc>
      </w:tr>
    </w:tbl>
    <w:p>
      <w:pPr>
        <w:spacing w:after="90"/>
      </w:pP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1984"/>
        <w:gridCol w:w="1985"/>
      </w:tblGrid>
      <w:tr>
        <w:trPr>
          <w:tblHeader/>
        </w:trPr>
        <w:tc>
          <w:tcPr>
            <w:tcW w:type="dxa" w:w="5953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W w:type="dxa" w:w="1984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Год 1, тыс. ₽</w:t>
            </w:r>
          </w:p>
        </w:tc>
        <w:tc>
          <w:tcPr>
            <w:tcW w:type="dxa" w:w="1985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Год 2, тыс. ₽</w:t>
            </w:r>
          </w:p>
        </w:tc>
      </w:tr>
      <w:tr>
        <w:trPr>
          <w:cantSplit/>
        </w:trPr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АУСН «доходы минус расходы» 20 %, минимум 3 % выручки</w:t>
            </w:r>
          </w:p>
        </w:tc>
        <w:tc>
          <w:tcPr>
            <w:tcW w:type="dxa" w:w="1984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183</w:t>
            </w:r>
          </w:p>
        </w:tc>
        <w:tc>
          <w:tcPr>
            <w:tcW w:type="dxa" w:w="198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1 202</w:t>
            </w:r>
          </w:p>
        </w:tc>
      </w:tr>
      <w:tr>
        <w:trPr>
          <w:cantSplit/>
        </w:trPr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АУСН «доходы» 8 %</w:t>
            </w:r>
          </w:p>
        </w:tc>
        <w:tc>
          <w:tcPr>
            <w:tcW w:type="dxa" w:w="1984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483</w:t>
            </w:r>
          </w:p>
        </w:tc>
        <w:tc>
          <w:tcPr>
            <w:tcW w:type="dxa" w:w="1985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1 923</w:t>
            </w:r>
          </w:p>
        </w:tc>
      </w:tr>
      <w:tr>
        <w:trPr>
          <w:cantSplit/>
        </w:trPr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«доходы» 1 % с ИТ-аккредитацией, только Петербург</w:t>
            </w:r>
          </w:p>
        </w:tc>
        <w:tc>
          <w:tcPr>
            <w:tcW w:type="dxa" w:w="1984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380</w:t>
            </w:r>
          </w:p>
        </w:tc>
        <w:tc>
          <w:tcPr>
            <w:tcW w:type="dxa" w:w="198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1 020</w:t>
            </w:r>
          </w:p>
        </w:tc>
      </w:tr>
      <w:tr>
        <w:trPr>
          <w:cantSplit/>
        </w:trPr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«доходы» 6 % с ИТ-аккредитацией, Москва</w:t>
            </w:r>
          </w:p>
        </w:tc>
        <w:tc>
          <w:tcPr>
            <w:tcW w:type="dxa" w:w="1984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530</w:t>
            </w:r>
          </w:p>
        </w:tc>
        <w:tc>
          <w:tcPr>
            <w:tcW w:type="dxa" w:w="1985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1 620</w:t>
            </w:r>
          </w:p>
        </w:tc>
      </w:tr>
      <w:tr>
        <w:trPr>
          <w:cantSplit/>
        </w:trPr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 минус расходы» 7 %, Петербург</w:t>
            </w:r>
          </w:p>
        </w:tc>
        <w:tc>
          <w:tcPr>
            <w:tcW w:type="dxa" w:w="1984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759</w:t>
            </w:r>
          </w:p>
        </w:tc>
        <w:tc>
          <w:tcPr>
            <w:tcW w:type="dxa" w:w="198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2 094</w:t>
            </w:r>
          </w:p>
        </w:tc>
      </w:tr>
      <w:tr>
        <w:trPr>
          <w:cantSplit/>
        </w:trPr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 минус расходы» 15 %, Москва</w:t>
            </w:r>
          </w:p>
        </w:tc>
        <w:tc>
          <w:tcPr>
            <w:tcW w:type="dxa" w:w="1984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759</w:t>
            </w:r>
          </w:p>
        </w:tc>
        <w:tc>
          <w:tcPr>
            <w:tcW w:type="dxa" w:w="1985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2 430</w:t>
            </w:r>
          </w:p>
        </w:tc>
      </w:tr>
      <w:tr>
        <w:trPr>
          <w:cantSplit/>
        </w:trPr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«доходы» 6 % без аккредитации</w:t>
            </w:r>
          </w:p>
        </w:tc>
        <w:tc>
          <w:tcPr>
            <w:tcW w:type="dxa" w:w="1984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879</w:t>
            </w:r>
          </w:p>
        </w:tc>
        <w:tc>
          <w:tcPr>
            <w:tcW w:type="dxa" w:w="198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2 520</w:t>
            </w:r>
          </w:p>
        </w:tc>
      </w:tr>
    </w:tbl>
    <w:p>
      <w:pPr>
        <w:spacing w:after="90"/>
      </w:pPr>
    </w:p>
    <w:p>
      <w:pPr>
        <w:spacing w:after="7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Почему АУСН «доходы минус расходы» выигрывает на старте: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нет страховых взносов: </w:t>
      </w:r>
      <w:r>
        <w:rPr>
          <w:rFonts w:ascii="Calibri" w:cs="Calibri" w:eastAsia="Calibri" w:hAnsi="Calibri"/>
          <w:sz w:val="20"/>
          <w:szCs w:val="20"/>
        </w:rPr>
        <w:t xml:space="preserve">платится только фиксированный взнос на травматизм — 2 959 ₽ в год;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 убыточный год налог минимальный: </w:t>
      </w:r>
      <w:r>
        <w:rPr>
          <w:rFonts w:ascii="Calibri" w:cs="Calibri" w:eastAsia="Calibri" w:hAnsi="Calibri"/>
          <w:sz w:val="20"/>
          <w:szCs w:val="20"/>
        </w:rPr>
        <w:t xml:space="preserve">3 % выручки;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не нужны условия ИТ-льгот: </w:t>
      </w:r>
      <w:r>
        <w:rPr>
          <w:rFonts w:ascii="Calibri" w:cs="Calibri" w:eastAsia="Calibri" w:hAnsi="Calibri"/>
          <w:sz w:val="20"/>
          <w:szCs w:val="20"/>
        </w:rPr>
        <w:t xml:space="preserve">не нужно держать 70 % ИТ-доходов и средние по региону зарплаты;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нет НДС до 60 млн ₽ выручки: </w:t>
      </w:r>
      <w:r>
        <w:rPr>
          <w:rFonts w:ascii="Calibri" w:cs="Calibri" w:eastAsia="Calibri" w:hAnsi="Calibri"/>
          <w:sz w:val="20"/>
          <w:szCs w:val="20"/>
        </w:rPr>
        <w:t xml:space="preserve">на УСН НДС 5 % появляется после 20 млн ₽, во втором году модели это ещё 100–200 тыс. ₽, в третьем при выручке 30 млн — около 1,5 млн ₽.</w:t>
      </w:r>
    </w:p>
    <w:p>
      <w:pPr>
        <w:spacing w:after="7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Почему не ставка 1 % в Петербурге сразу. </w:t>
      </w:r>
      <w:r>
        <w:rPr>
          <w:rFonts w:ascii="Calibri" w:cs="Calibri" w:eastAsia="Calibri" w:hAnsi="Calibri"/>
          <w:sz w:val="20"/>
          <w:szCs w:val="20"/>
        </w:rPr>
        <w:t xml:space="preserve">Она дешевле во втором году, но требует ИТ-аккредитации, 70 % выручки от ИТ и, по имеющимся данным, зарплат не ниже средней по Петербургу — около 130 тыс. ₽ в месяц. С зарплатами стартапа это условие в первый год не выполняется, поэтому 1 % — цель второго этапа.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2. Ограничения АУСН, которые касаются Eva Space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953"/>
      </w:tblGrid>
      <w:tr>
        <w:trPr>
          <w:tblHeader/>
        </w:trPr>
        <w:tc>
          <w:tcPr>
            <w:tcW w:type="dxa" w:w="3969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Условие АУСН</w:t>
            </w:r>
          </w:p>
        </w:tc>
        <w:tc>
          <w:tcPr>
            <w:tcW w:type="dxa" w:w="5953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Что это значит для нас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Нельзя работать агентом, комиссионером или поверенным</w:t>
            </w:r>
          </w:p>
        </w:tc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Курсы экспертов продаём от своего имени и платим эксперту роялти по лицензии. Маркет — только витрина со ссылками на партнёров или собственная перепродажа. Принимать деньги за продавцов нельзя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больше 5 человек, включая подрядчиков по договорам ГПХ</w:t>
            </w:r>
          </w:p>
        </w:tc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Разработчиков и экспертов оформляем через самозанятость или ИП — они в лимит не входят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Выручка не больше 60 млн ₽ в год</w:t>
            </w:r>
          </w:p>
        </w:tc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На первом этапе с запасом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Доля юрлиц в капитале не больше 25 %</w:t>
            </w:r>
          </w:p>
        </w:tc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Если фонд-юрлицо в раунде seed получит больше 25 %, право на АУСН теряется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Счёт только в уполномоченном банке, зарплата только безналом</w:t>
            </w:r>
          </w:p>
        </w:tc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Подойдут Сбер, Т-Банк, Альфа, ВТБ и другие банки из списка налоговой</w:t>
            </w:r>
          </w:p>
        </w:tc>
      </w:tr>
      <w:tr>
        <w:trPr>
          <w:cantSplit/>
        </w:trPr>
        <w:tc>
          <w:tcPr>
            <w:tcW w:type="dxa" w:w="3969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Расходы учитываются только оплаченные через этот счёт</w:t>
            </w:r>
          </w:p>
        </w:tc>
        <w:tc>
          <w:tcPr>
            <w:tcW w:type="dxa" w:w="5953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Траты основателей до регистрации и с личных карт в расходы не попадут</w:t>
            </w:r>
          </w:p>
        </w:tc>
      </w:tr>
      <w:tr>
        <w:trPr>
          <w:cantSplit/>
        </w:trPr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Выход добровольно — только с 1 января, уведомление до 31 декабря</w:t>
            </w:r>
          </w:p>
        </w:tc>
        <w:tc>
          <w:tcPr>
            <w:tcW w:type="dxa" w:w="5953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 нарушении условия в течение года компанию автоматически переводят на общую систему, если вовремя не подать заявление на УСН</w:t>
            </w:r>
          </w:p>
        </w:tc>
      </w:tr>
    </w:tbl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3. Петербург или Москва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3969"/>
        <w:gridCol w:w="3175"/>
      </w:tblGrid>
      <w:tr>
        <w:trPr>
          <w:tblHeader/>
        </w:trPr>
        <w:tc>
          <w:tcPr>
            <w:tcW w:type="dxa" w:w="2778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969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Петербург</w:t>
            </w:r>
          </w:p>
        </w:tc>
        <w:tc>
          <w:tcPr>
            <w:tcW w:type="dxa" w:w="3175"/>
            <w:shd w:fill="EADCF2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Москва</w:t>
            </w:r>
          </w:p>
        </w:tc>
      </w:tr>
      <w:tr>
        <w:trPr>
          <w:cantSplit/>
        </w:trPr>
        <w:tc>
          <w:tcPr>
            <w:tcW w:type="dxa" w:w="2778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АУСН</w:t>
            </w:r>
          </w:p>
        </w:tc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8 % или 20 %</w:t>
            </w:r>
          </w:p>
        </w:tc>
        <w:tc>
          <w:tcPr>
            <w:tcW w:type="dxa" w:w="317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8 % или 20 % — одинаково по всей стране</w:t>
            </w:r>
          </w:p>
        </w:tc>
      </w:tr>
      <w:tr>
        <w:trPr>
          <w:cantSplit/>
        </w:trPr>
        <w:tc>
          <w:tcPr>
            <w:tcW w:type="dxa" w:w="2778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«доходы» для ИТ-компаний</w:t>
            </w:r>
          </w:p>
        </w:tc>
        <w:tc>
          <w:tcPr>
            <w:tcW w:type="dxa" w:w="3969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1 % до 2030 года при аккредитации, 70 % ИТ-доходов и зарплатах не ниже средней по городу</w:t>
            </w:r>
          </w:p>
        </w:tc>
        <w:tc>
          <w:tcPr>
            <w:tcW w:type="dxa" w:w="3175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6 %, пониженной ставки нет</w:t>
            </w:r>
          </w:p>
        </w:tc>
      </w:tr>
      <w:tr>
        <w:trPr>
          <w:cantSplit/>
        </w:trPr>
        <w:tc>
          <w:tcPr>
            <w:tcW w:type="dxa" w:w="2778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УСН «доходы минус расходы»</w:t>
            </w:r>
          </w:p>
        </w:tc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7 % для большинства, 5 % для ИТ</w:t>
            </w:r>
          </w:p>
        </w:tc>
        <w:tc>
          <w:tcPr>
            <w:tcW w:type="dxa" w:w="317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15 %; 10 % только для производства, науки, социальных услуг и спорта</w:t>
            </w:r>
          </w:p>
        </w:tc>
      </w:tr>
      <w:tr>
        <w:trPr>
          <w:cantSplit/>
        </w:trPr>
        <w:tc>
          <w:tcPr>
            <w:tcW w:type="dxa" w:w="2778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Средняя зарплата по региону</w:t>
            </w:r>
          </w:p>
        </w:tc>
        <w:tc>
          <w:tcPr>
            <w:tcW w:type="dxa" w:w="3969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около 130 тыс. ₽</w:t>
            </w:r>
          </w:p>
        </w:tc>
        <w:tc>
          <w:tcPr>
            <w:tcW w:type="dxa" w:w="3175"/>
            <w:shd w:fill="F8F4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около 195 тыс. ₽</w:t>
            </w:r>
          </w:p>
        </w:tc>
      </w:tr>
      <w:tr>
        <w:trPr>
          <w:cantSplit/>
        </w:trPr>
        <w:tc>
          <w:tcPr>
            <w:tcW w:type="dxa" w:w="2778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Разница во втором году модели</w:t>
            </w:r>
          </w:p>
        </w:tc>
        <w:tc>
          <w:tcPr>
            <w:tcW w:type="dxa" w:w="3969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около 600 тыс. ₽ в год в пользу Петербурга</w:t>
            </w:r>
          </w:p>
        </w:tc>
        <w:tc>
          <w:tcPr>
            <w:tcW w:type="dxa" w:w="3175"/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16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90"/>
      </w:pPr>
    </w:p>
    <w:p>
      <w:pPr>
        <w:spacing w:after="7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Условие. </w:t>
      </w:r>
      <w:r>
        <w:rPr>
          <w:rFonts w:ascii="Calibri" w:cs="Calibri" w:eastAsia="Calibri" w:hAnsi="Calibri"/>
          <w:sz w:val="20"/>
          <w:szCs w:val="20"/>
        </w:rPr>
        <w:t xml:space="preserve">Регистрироваться нужно там, где реально находится директор или офис. Если снять юридический адрес в Петербурге, а работать в Москве, налоговая может оспорить такую схему как необоснованную налоговую выгоду. Москва имеет смысл, если команда физически там или вы рассчитываете на московские гранты, которые требуют московской регистрации.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4. План по этапам</w:t>
      </w:r>
    </w:p>
    <w:p>
      <w:pPr>
        <w:pStyle w:val="ListParagraph"/>
        <w:numPr>
          <w:ilvl w:val="0"/>
          <w:numId w:val="3"/>
        </w:numPr>
        <w:spacing w:after="5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Сейчас. </w:t>
      </w:r>
      <w:r>
        <w:rPr>
          <w:rFonts w:ascii="Calibri" w:cs="Calibri" w:eastAsia="Calibri" w:hAnsi="Calibri"/>
          <w:sz w:val="20"/>
          <w:szCs w:val="20"/>
        </w:rPr>
        <w:t xml:space="preserve">Регистрируем ООО в Петербурге и вместе с документами подаём уведомление о переходе на АУСН с объектом «доходы минус расходы». Открываем счёт в уполномоченном банке. Сразу получаем ИТ-аккредитацию по стартап-пути: для налогов на АУСН она не нужна, но она бесплатная, даёт разработчикам отсрочку от армии и льготную ипотеку и понадобится на третьем этапе.</w:t>
      </w:r>
    </w:p>
    <w:p>
      <w:pPr>
        <w:pStyle w:val="ListParagraph"/>
        <w:numPr>
          <w:ilvl w:val="0"/>
          <w:numId w:val="3"/>
        </w:numPr>
        <w:spacing w:after="5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В 2027 году. </w:t>
      </w:r>
      <w:r>
        <w:rPr>
          <w:rFonts w:ascii="Calibri" w:cs="Calibri" w:eastAsia="Calibri" w:hAnsi="Calibri"/>
          <w:sz w:val="20"/>
          <w:szCs w:val="20"/>
        </w:rPr>
        <w:t xml:space="preserve">Работаем без агентских схем и готовим включение ядра платформы в реестр российского ПО. При ежегодном подтверждении аккредитации стартап-путь уже не подойдёт, а критерий по зарплатам с низкими окладами не выполнить; реестр этот критерий снимает и даёт освобождение от НДС на подписку.</w:t>
      </w:r>
    </w:p>
    <w:p>
      <w:pPr>
        <w:pStyle w:val="ListParagraph"/>
        <w:numPr>
          <w:ilvl w:val="0"/>
          <w:numId w:val="3"/>
        </w:numPr>
        <w:spacing w:after="50" w:line="228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С 1 января 2028 года или раньше, если команда вырастет больше 5 человек. </w:t>
      </w:r>
      <w:r>
        <w:rPr>
          <w:rFonts w:ascii="Calibri" w:cs="Calibri" w:eastAsia="Calibri" w:hAnsi="Calibri"/>
          <w:sz w:val="20"/>
          <w:szCs w:val="20"/>
        </w:rPr>
        <w:t xml:space="preserve">Переходим на УСН в Петербурге. Если 70 % выручки приходится на подписку и зарплаты дотягивают до средней по городу — ставка 1 %. Если нет — «доходы минус расходы» 7 %. Уведомление подаём до 31 декабря 2027 года.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5. Что проверить у юриста и бухгалтера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Точные условия ставки 1 % по закону Петербурга от 05.05.2009 № 185-36: требуется ли зарплата не ниже средней по региону и как считается доля ИТ-доходов.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Какие расходы принимаются на АУСН «доходы минус расходы» и как их правильно проводить через уполномоченный банк.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Как оформить продажу курсов экспертов по лицензионной модели, чтобы договор не был признан агентским.</w:t>
      </w:r>
    </w:p>
    <w:p>
      <w:pPr>
        <w:pStyle w:val="ListParagraph"/>
        <w:numPr>
          <w:ilvl w:val="0"/>
          <w:numId w:val="2"/>
        </w:numPr>
        <w:spacing w:after="40" w:line="228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Подойдёт ли юридический адрес директора в Петербурге или нужен офис.</w:t>
      </w:r>
    </w:p>
    <w:p>
      <w:pPr>
        <w:spacing w:after="80" w:before="80" w:line="228"/>
        <w:jc w:val="both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Этот документ меняет первый этап в «Плане по налоговому статусу»: там рекомендована УСН с аккредитацией с первого дня. Если выбор Петербурга и АУСН подтверждается, план нужно обновить.</w:t>
      </w:r>
    </w:p>
    <w:p>
      <w:pPr>
        <w:keepNext/>
        <w:spacing w:after="60" w:before="150"/>
      </w:pPr>
      <w:r>
        <w:rPr>
          <w:rFonts w:ascii="Calibri" w:cs="Calibri" w:eastAsia="Calibri" w:hAnsi="Calibri"/>
          <w:b/>
          <w:bCs/>
          <w:color w:val="5B2C6F"/>
          <w:sz w:val="23"/>
          <w:szCs w:val="23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ФНС России, раздел об АУСН: ausn.nalog.gov.ru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Закон Санкт-Петербурга от 27.11.2024 № 742-160 о введении АУСН с 1 января 2025 года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Федеральный закон от 25.02.2022 № 17-ФЗ об эксперименте по применению АУСН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Закон Санкт-Петербурга от 05.05.2009 № 185-36 о ставках УСН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Контур, «АУСН в 2026 году: кому выгодно, лимиты и отличия от УСН»: kontur.ru/articles/4535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Главбух, «ИП на патенте или АУСН: можно ли работать по агентской схеме в 2026 году»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Контур.Эльба, «Ограничения АУСН: 10 причин, по которым вы можете слететь с режима»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Клерк, «IT-компании из Санкт-Петербурга применяют ставку 1 % при УСН „доходы“»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Probusiness, «Пониженные ставки на УСН в Москве в 2026 году»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Коммерсантъ, «Средняя зарплата в Петербурге в феврале 2026 года превысила 125 тысяч рублей»</w:t>
      </w:r>
    </w:p>
    <w:p>
      <w:pPr>
        <w:pStyle w:val="ListParagraph"/>
        <w:numPr>
          <w:ilvl w:val="0"/>
          <w:numId w:val="2"/>
        </w:numPr>
        <w:spacing w:after="40" w:line="228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Бухгалтерия.ru, «Почему нельзя менять регион регистрации только из-за ставки УСН»</w:t>
      </w:r>
    </w:p>
    <w:sectPr>
      <w:footerReference w:type="default" r:id="rId7"/>
      <w:pgSz w:w="11906" w:h="16838" w:orient="portrait"/>
      <w:pgMar w:top="850" w:right="992" w:bottom="72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Eva Space · регион регистрации и налоговый режим · октябрь 2026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Space — регион регистрации и налоговый режим</dc:title>
  <dc:creator>Eva Space</dc:creator>
  <cp:lastModifiedBy>Un-named</cp:lastModifiedBy>
  <cp:revision>1</cp:revision>
  <dcterms:created xsi:type="dcterms:W3CDTF">2026-10-07T07:50:38.199Z</dcterms:created>
  <dcterms:modified xsi:type="dcterms:W3CDTF">2026-10-07T07:50:38.199Z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