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9B59B6"/>
          <w:spacing w:val="60"/>
          <w:sz w:val="20"/>
          <w:szCs w:val="20"/>
        </w:rPr>
        <w:t xml:space="preserve">EVA SPACE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5B2C6F"/>
          <w:sz w:val="32"/>
          <w:szCs w:val="32"/>
        </w:rPr>
        <w:t xml:space="preserve">Карта документов платформы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Пользовательское соглашение, персональные данные, партнёры: что нужно, в каком порядке, сколько стоит и как не переплатить</w:t>
      </w:r>
    </w:p>
    <w:p>
      <w:pPr>
        <w:pBdr>
          <w:left w:val="single" w:color="9B59B6" w:sz="18" w:space="7"/>
        </w:pBdr>
        <w:shd w:fill="FBF8FD" w:color="auto" w:val="clear"/>
        <w:spacing w:after="80" w:before="70" w:line="212"/>
        <w:ind w:left="16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Коротко. </w:t>
      </w:r>
      <w:r>
        <w:rPr>
          <w:rFonts w:ascii="Calibri" w:cs="Calibri" w:eastAsia="Calibri" w:hAnsi="Calibri"/>
          <w:sz w:val="19"/>
          <w:szCs w:val="19"/>
        </w:rPr>
        <w:t xml:space="preserve">Юристы правы, что у подписки, курсов экспертов, маркета и мероприятий разные условия. Но это не четыре договора, а одно рамочное пользовательское соглашение и короткие продуктовые модули, подключаемые ссылкой. Документы по персональным данным живут отдельно и объединению не подлежат. Платить за модули нужно по мере запуска продуктов. Стартовый пакет укладывается в 100–230 тыс. ₽, полный набор в 245–520 тыс. ₽, и разница между ними — это то, что вы не должны платить сейчас.</w:t>
      </w:r>
    </w:p>
    <w:p>
      <w:pPr>
        <w:spacing w:after="46" w:before="1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1. Минимальный пакет до первой оплаты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7"/>
        <w:gridCol w:w="4564"/>
        <w:gridCol w:w="2381"/>
      </w:tblGrid>
      <w:tr>
        <w:trPr>
          <w:tblHeader/>
        </w:trPr>
        <w:tc>
          <w:tcPr>
            <w:tcW w:type="dxa" w:w="2977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Документ</w:t>
            </w:r>
          </w:p>
        </w:tc>
        <w:tc>
          <w:tcPr>
            <w:tcW w:type="dxa" w:w="4564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Зачем</w:t>
            </w:r>
          </w:p>
        </w:tc>
        <w:tc>
          <w:tcPr>
            <w:tcW w:type="dxa" w:w="2381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Можно объединить</w:t>
            </w:r>
          </w:p>
        </w:tc>
      </w:tr>
      <w:tr>
        <w:tc>
          <w:tcPr>
            <w:tcW w:type="dxa" w:w="29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Пользовательское соглашение (рамочное)</w:t>
            </w:r>
          </w:p>
        </w:tc>
        <w:tc>
          <w:tcPr>
            <w:tcW w:type="dxa" w:w="456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Аккаунт, возраст 18+, права на платформу и контент, ответственность, порядок изменений, споры, расторжение. Единый документ для всех продуктов</w:t>
            </w:r>
          </w:p>
        </w:tc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7"/>
                <w:szCs w:val="17"/>
              </w:rPr>
              <w:t xml:space="preserve">Это и есть основа</w:t>
            </w:r>
          </w:p>
        </w:tc>
      </w:tr>
      <w:tr>
        <w:tc>
          <w:tcPr>
            <w:tcW w:type="dxa" w:w="2977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Модуль «Подписка»</w:t>
            </w:r>
          </w:p>
        </w:tc>
        <w:tc>
          <w:tcPr>
            <w:tcW w:type="dxa" w:w="456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Состав, цена и период, автосписание с отдельным согласием, отмена в один клик, пропорциональный возврат</w:t>
            </w:r>
          </w:p>
        </w:tc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7"/>
                <w:szCs w:val="17"/>
              </w:rPr>
              <w:t xml:space="preserve">Приложение к соглашению</w:t>
            </w:r>
          </w:p>
        </w:tc>
      </w:tr>
      <w:tr>
        <w:tc>
          <w:tcPr>
            <w:tcW w:type="dxa" w:w="29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Политика обработки персональных данных</w:t>
            </w:r>
          </w:p>
        </w:tc>
        <w:tc>
          <w:tcPr>
            <w:tcW w:type="dxa" w:w="456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Публичный документ по 152-ФЗ: какие данные, зачем, как долго, кому передаём, как отозвать</w:t>
            </w:r>
          </w:p>
        </w:tc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Нет, отдельный документ</w:t>
            </w:r>
          </w:p>
        </w:tc>
      </w:tr>
      <w:tr>
        <w:tc>
          <w:tcPr>
            <w:tcW w:type="dxa" w:w="2977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Согласие на обработку персональных данных</w:t>
            </w:r>
          </w:p>
        </w:tc>
        <w:tc>
          <w:tcPr>
            <w:tcW w:type="dxa" w:w="456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 1 сентября 2025 г. только отдельный документ и отдельная галочка. Согласие внутри оферты — нарушение</w:t>
            </w:r>
          </w:p>
        </w:tc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Нет</w:t>
            </w:r>
          </w:p>
        </w:tc>
      </w:tr>
      <w:tr>
        <w:tc>
          <w:tcPr>
            <w:tcW w:type="dxa" w:w="29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Согласие на обработку данных о здоровье</w:t>
            </w:r>
          </w:p>
        </w:tc>
        <w:tc>
          <w:tcPr>
            <w:tcW w:type="dxa" w:w="456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Календарь цикла, беременность, тревожность и бессонница из онбординга — специальная категория, нужно своё согласие</w:t>
            </w:r>
          </w:p>
        </w:tc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Нет</w:t>
            </w:r>
          </w:p>
        </w:tc>
      </w:tr>
      <w:tr>
        <w:tc>
          <w:tcPr>
            <w:tcW w:type="dxa" w:w="2977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Согласие на рассылки</w:t>
            </w:r>
          </w:p>
        </w:tc>
        <w:tc>
          <w:tcPr>
            <w:tcW w:type="dxa" w:w="456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Push, e-mail, СМС. Без него штраф до 1 млн ₽ за одно сообщение</w:t>
            </w:r>
          </w:p>
        </w:tc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Нет</w:t>
            </w:r>
          </w:p>
        </w:tc>
      </w:tr>
      <w:tr>
        <w:tc>
          <w:tcPr>
            <w:tcW w:type="dxa" w:w="29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Правила применения рекомендательных технологий</w:t>
            </w:r>
          </w:p>
        </w:tc>
        <w:tc>
          <w:tcPr>
            <w:tcW w:type="dxa" w:w="456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Алгоритм подбора программы подпадает под ст. 10.2-2 закона 149-ФЗ. Публикуется на сайте</w:t>
            </w:r>
          </w:p>
        </w:tc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Нет</w:t>
            </w:r>
          </w:p>
        </w:tc>
      </w:tr>
      <w:tr>
        <w:tc>
          <w:tcPr>
            <w:tcW w:type="dxa" w:w="2977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Правила сообщества и лицензия на пользовательский контент</w:t>
            </w:r>
          </w:p>
        </w:tc>
        <w:tc>
          <w:tcPr>
            <w:tcW w:type="dxa" w:w="456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Лента, группы, посты. Нужны только пока сообщество включено внутри приложения</w:t>
            </w:r>
          </w:p>
        </w:tc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7"/>
                <w:szCs w:val="17"/>
              </w:rPr>
              <w:t xml:space="preserve">Отдельный документ, можно отложить</w:t>
            </w:r>
          </w:p>
        </w:tc>
      </w:tr>
      <w:tr>
        <w:tc>
          <w:tcPr>
            <w:tcW w:type="dxa" w:w="29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Оферта для экспертов и лицензия на их контент</w:t>
            </w:r>
          </w:p>
        </w:tc>
        <w:tc>
          <w:tcPr>
            <w:tcW w:type="dxa" w:w="456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Без неё нельзя ни продавать курсы экспертов, ни показывать их материалы</w:t>
            </w:r>
          </w:p>
        </w:tc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Нет, другая сторона</w:t>
            </w:r>
          </w:p>
        </w:tc>
      </w:tr>
      <w:tr>
        <w:tc>
          <w:tcPr>
            <w:tcW w:type="dxa" w:w="2977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Уведомление в Роскомнадзор</w:t>
            </w:r>
          </w:p>
        </w:tc>
        <w:tc>
          <w:tcPr>
            <w:tcW w:type="dxa" w:w="456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 документ для пользовательниц, но без него запуск регистрации незаконен</w:t>
            </w:r>
          </w:p>
        </w:tc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Подаётся отдельно</w:t>
            </w:r>
          </w:p>
        </w:tc>
      </w:tr>
    </w:tbl>
    <w:p>
      <w:pPr>
        <w:spacing w:after="46" w:before="1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2. Архитектура и ориентировочные цены</w:t>
      </w:r>
    </w:p>
    <w:p>
      <w:pPr>
        <w:spacing w:after="50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Рамочное соглашение пишется один раз и содержит всё общее. Каждый продукт получает модуль на две-три страницы, который ссылается на рамочный документ и описывает только своё: что покупается, кто продавец, как платится, как возвращается. Новый продукт добавляет модуль, не трогая остальное.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1984"/>
        <w:gridCol w:w="2381"/>
        <w:gridCol w:w="1588"/>
      </w:tblGrid>
      <w:tr>
        <w:trPr>
          <w:tblHeader/>
        </w:trPr>
        <w:tc>
          <w:tcPr>
            <w:tcW w:type="dxa" w:w="3969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Документ</w:t>
            </w:r>
          </w:p>
        </w:tc>
        <w:tc>
          <w:tcPr>
            <w:tcW w:type="dxa" w:w="1984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Для кого</w:t>
            </w:r>
          </w:p>
        </w:tc>
        <w:tc>
          <w:tcPr>
            <w:tcW w:type="dxa" w:w="2381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Когда нужен</w:t>
            </w:r>
          </w:p>
        </w:tc>
        <w:tc>
          <w:tcPr>
            <w:tcW w:type="dxa" w:w="1588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Цена, тыс. ₽</w:t>
            </w:r>
          </w:p>
        </w:tc>
      </w:tr>
      <w:tr>
        <w:tc>
          <w:tcPr>
            <w:tcW w:type="dxa" w:w="39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Рамочное пользовательское соглашение</w:t>
            </w:r>
          </w:p>
        </w:tc>
        <w:tc>
          <w:tcPr>
            <w:tcW w:type="dxa" w:w="1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Пользовательницы</w:t>
            </w:r>
          </w:p>
        </w:tc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 первой оплаты</w:t>
            </w:r>
          </w:p>
        </w:tc>
        <w:tc>
          <w:tcPr>
            <w:tcW w:type="dxa" w:w="15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40–100</w:t>
            </w:r>
          </w:p>
        </w:tc>
      </w:tr>
      <w:tr>
        <w:tc>
          <w:tcPr>
            <w:tcW w:type="dxa" w:w="3969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Модуль «Подписка»</w:t>
            </w:r>
          </w:p>
        </w:tc>
        <w:tc>
          <w:tcPr>
            <w:tcW w:type="dxa" w:w="198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Пользовательницы</w:t>
            </w:r>
          </w:p>
        </w:tc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 первой оплаты</w:t>
            </w:r>
          </w:p>
        </w:tc>
        <w:tc>
          <w:tcPr>
            <w:tcW w:type="dxa" w:w="1588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20–40</w:t>
            </w:r>
          </w:p>
        </w:tc>
      </w:tr>
      <w:tr>
        <w:tc>
          <w:tcPr>
            <w:tcW w:type="dxa" w:w="39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Пакет по персональным данным: политика, три согласия, cookies, рекомендательные технологии</w:t>
            </w:r>
          </w:p>
        </w:tc>
        <w:tc>
          <w:tcPr>
            <w:tcW w:type="dxa" w:w="1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Пользовательницы</w:t>
            </w:r>
          </w:p>
        </w:tc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 запуска регистрации</w:t>
            </w:r>
          </w:p>
        </w:tc>
        <w:tc>
          <w:tcPr>
            <w:tcW w:type="dxa" w:w="15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40–90</w:t>
            </w:r>
          </w:p>
        </w:tc>
      </w:tr>
      <w:tr>
        <w:tc>
          <w:tcPr>
            <w:tcW w:type="dxa" w:w="3969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Правила сообщества</w:t>
            </w:r>
          </w:p>
        </w:tc>
        <w:tc>
          <w:tcPr>
            <w:tcW w:type="dxa" w:w="198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Пользовательницы</w:t>
            </w:r>
          </w:p>
        </w:tc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Если сообщество внутри приложения</w:t>
            </w:r>
          </w:p>
        </w:tc>
        <w:tc>
          <w:tcPr>
            <w:tcW w:type="dxa" w:w="1588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15–30</w:t>
            </w:r>
          </w:p>
        </w:tc>
      </w:tr>
      <w:tr>
        <w:tc>
          <w:tcPr>
            <w:tcW w:type="dxa" w:w="39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Оферта для экспертов и лицензия на контент</w:t>
            </w:r>
          </w:p>
        </w:tc>
        <w:tc>
          <w:tcPr>
            <w:tcW w:type="dxa" w:w="1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Эксперты</w:t>
            </w:r>
          </w:p>
        </w:tc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 первого курса</w:t>
            </w:r>
          </w:p>
        </w:tc>
        <w:tc>
          <w:tcPr>
            <w:tcW w:type="dxa" w:w="15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40–80</w:t>
            </w:r>
          </w:p>
        </w:tc>
      </w:tr>
      <w:tr>
        <w:tc>
          <w:tcPr>
            <w:tcW w:type="dxa" w:w="3969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Модуль «Курсы экспертов»</w:t>
            </w:r>
          </w:p>
        </w:tc>
        <w:tc>
          <w:tcPr>
            <w:tcW w:type="dxa" w:w="198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Пользовательницы</w:t>
            </w:r>
          </w:p>
        </w:tc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 первого курса</w:t>
            </w:r>
          </w:p>
        </w:tc>
        <w:tc>
          <w:tcPr>
            <w:tcW w:type="dxa" w:w="1588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20–40</w:t>
            </w:r>
          </w:p>
        </w:tc>
      </w:tr>
      <w:tr>
        <w:tc>
          <w:tcPr>
            <w:tcW w:type="dxa" w:w="39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Правила платформы для продавцов и модуль «Маркет»</w:t>
            </w:r>
          </w:p>
        </w:tc>
        <w:tc>
          <w:tcPr>
            <w:tcW w:type="dxa" w:w="1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Продавцы и пользовательницы</w:t>
            </w:r>
          </w:p>
        </w:tc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 запуска корзины, с учётом 289-ФЗ</w:t>
            </w:r>
          </w:p>
        </w:tc>
        <w:tc>
          <w:tcPr>
            <w:tcW w:type="dxa" w:w="15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50–100</w:t>
            </w:r>
          </w:p>
        </w:tc>
      </w:tr>
      <w:tr>
        <w:tc>
          <w:tcPr>
            <w:tcW w:type="dxa" w:w="3969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Модуль «Мероприятия»</w:t>
            </w:r>
          </w:p>
        </w:tc>
        <w:tc>
          <w:tcPr>
            <w:tcW w:type="dxa" w:w="198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Пользовательницы</w:t>
            </w:r>
          </w:p>
        </w:tc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 первого события, где ООО организатор</w:t>
            </w:r>
          </w:p>
        </w:tc>
        <w:tc>
          <w:tcPr>
            <w:tcW w:type="dxa" w:w="1588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20–40</w:t>
            </w:r>
          </w:p>
        </w:tc>
      </w:tr>
      <w:tr>
        <w:tc>
          <w:tcPr>
            <w:tcW w:type="dxa" w:w="39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Стартовый пакет (первые три строки)</w:t>
            </w:r>
          </w:p>
        </w:tc>
        <w:tc>
          <w:tcPr>
            <w:tcW w:type="dxa" w:w="1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5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100–230</w:t>
            </w:r>
          </w:p>
        </w:tc>
      </w:tr>
      <w:tr>
        <w:tc>
          <w:tcPr>
            <w:tcW w:type="dxa" w:w="3969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Полный набор</w:t>
            </w:r>
          </w:p>
        </w:tc>
        <w:tc>
          <w:tcPr>
            <w:tcW w:type="dxa" w:w="198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588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245–520</w:t>
            </w:r>
          </w:p>
        </w:tc>
      </w:tr>
    </w:tbl>
    <w:p>
      <w:pPr>
        <w:spacing w:after="46" w:before="1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3. Матрица: экран приложения, документ, галочка</w:t>
      </w:r>
    </w:p>
    <w:p>
      <w:pPr>
        <w:spacing w:after="50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По этой таблице разработка расставляет согласия и ссылки, а юристы считают точную смету. Галочки по умолчанию не отмечены, каждая — отдельный элемент, каждая пишется в базу с версией документа.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1"/>
        <w:gridCol w:w="3770"/>
        <w:gridCol w:w="2381"/>
        <w:gridCol w:w="1390"/>
      </w:tblGrid>
      <w:tr>
        <w:trPr>
          <w:tblHeader/>
        </w:trPr>
        <w:tc>
          <w:tcPr>
            <w:tcW w:type="dxa" w:w="2381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Экран</w:t>
            </w:r>
          </w:p>
        </w:tc>
        <w:tc>
          <w:tcPr>
            <w:tcW w:type="dxa" w:w="3770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Что срабатывает</w:t>
            </w:r>
          </w:p>
        </w:tc>
        <w:tc>
          <w:tcPr>
            <w:tcW w:type="dxa" w:w="2381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Галочки и ссылки</w:t>
            </w:r>
          </w:p>
        </w:tc>
        <w:tc>
          <w:tcPr>
            <w:tcW w:type="dxa" w:w="1390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Когда</w:t>
            </w:r>
          </w:p>
        </w:tc>
      </w:tr>
      <w:tr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Первый запуск: имя и 6 вопросов онбординга</w:t>
            </w:r>
          </w:p>
        </w:tc>
        <w:tc>
          <w:tcPr>
            <w:tcW w:type="dxa" w:w="377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Пользовательское соглашение, согласие на ПДн, согласие на данные о здоровье (вопросы о беременности, тревожности, сне), правила рекомендательных технологий, подтверждение 18+</w:t>
            </w:r>
          </w:p>
        </w:tc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 галочки: соглашение, ПДн, здоровье. Ссылка на правила алгоритма. Чекбокс 18+</w:t>
            </w:r>
          </w:p>
        </w:tc>
        <w:tc>
          <w:tcPr>
            <w:tcW w:type="dxa" w:w="13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Сейчас</w:t>
            </w:r>
          </w:p>
        </w:tc>
      </w:tr>
      <w:tr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Регистрация по номеру телефона</w:t>
            </w:r>
          </w:p>
        </w:tc>
        <w:tc>
          <w:tcPr>
            <w:tcW w:type="dxa" w:w="377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Те же документы плюс согласие на рассылки</w:t>
            </w:r>
          </w:p>
        </w:tc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4-я галочка на рассылки, отдельно и не по умолчанию</w:t>
            </w:r>
          </w:p>
        </w:tc>
        <w:tc>
          <w:tcPr>
            <w:tcW w:type="dxa" w:w="139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С запуском сервера</w:t>
            </w:r>
          </w:p>
        </w:tc>
      </w:tr>
      <w:tr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Календарь цикла: ввод даты менструации</w:t>
            </w:r>
          </w:p>
        </w:tc>
        <w:tc>
          <w:tcPr>
            <w:tcW w:type="dxa" w:w="377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Повторное явное согласие на данные о здоровье на отдельном экране, дисклеймер «не является медицинской рекомендацией»</w:t>
            </w:r>
          </w:p>
        </w:tc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Экран согласия перед первым вводом</w:t>
            </w:r>
          </w:p>
        </w:tc>
        <w:tc>
          <w:tcPr>
            <w:tcW w:type="dxa" w:w="13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Сейчас</w:t>
            </w:r>
          </w:p>
        </w:tc>
      </w:tr>
      <w:tr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Оплата подписки</w:t>
            </w:r>
          </w:p>
        </w:tc>
        <w:tc>
          <w:tcPr>
            <w:tcW w:type="dxa" w:w="377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Модуль «Подписка», отдельное согласие на автосписание, информация о цене, периоде, отмене, чек ККТ</w:t>
            </w:r>
          </w:p>
        </w:tc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Галочка на автосписание, ссылка на модуль</w:t>
            </w:r>
          </w:p>
        </w:tc>
        <w:tc>
          <w:tcPr>
            <w:tcW w:type="dxa" w:w="139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До первой оплаты</w:t>
            </w:r>
          </w:p>
        </w:tc>
      </w:tr>
      <w:tr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Покупка курса эксперта</w:t>
            </w:r>
          </w:p>
        </w:tc>
        <w:tc>
          <w:tcPr>
            <w:tcW w:type="dxa" w:w="377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Модуль «Курсы экспертов», карточка продавца (эксперт, статус, ИНН), условия возврата, чек с признаком агента</w:t>
            </w:r>
          </w:p>
        </w:tc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Ссылка на модуль, блок «продавец»</w:t>
            </w:r>
          </w:p>
        </w:tc>
        <w:tc>
          <w:tcPr>
            <w:tcW w:type="dxa" w:w="13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7"/>
                <w:szCs w:val="17"/>
              </w:rPr>
              <w:t xml:space="preserve">До первого курса</w:t>
            </w:r>
          </w:p>
        </w:tc>
      </w:tr>
      <w:tr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Маркет: корзина и заказ</w:t>
            </w:r>
          </w:p>
        </w:tc>
        <w:tc>
          <w:tcPr>
            <w:tcW w:type="dxa" w:w="377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Модуль «Маркет», карточка продавца, правила дистанционной торговли (возврат 7 дней), правила программы лояльности при списании бонусов, чек</w:t>
            </w:r>
          </w:p>
        </w:tc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Ссылка на модуль и правила бонусов</w:t>
            </w:r>
          </w:p>
        </w:tc>
        <w:tc>
          <w:tcPr>
            <w:tcW w:type="dxa" w:w="139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7"/>
                <w:szCs w:val="17"/>
              </w:rPr>
              <w:t xml:space="preserve">До запуска корзины</w:t>
            </w:r>
          </w:p>
        </w:tc>
      </w:tr>
      <w:tr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Покупка билета на мероприятие</w:t>
            </w:r>
          </w:p>
        </w:tc>
        <w:tc>
          <w:tcPr>
            <w:tcW w:type="dxa" w:w="377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Модуль «Мероприятия», условия возврата билета, расписка о противопоказаниях для телесных практик, согласие на фото и видео</w:t>
            </w:r>
          </w:p>
        </w:tc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Галочка о противопоказаниях, галочка на съёмку</w:t>
            </w:r>
          </w:p>
        </w:tc>
        <w:tc>
          <w:tcPr>
            <w:tcW w:type="dxa" w:w="13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7"/>
                <w:szCs w:val="17"/>
              </w:rPr>
              <w:t xml:space="preserve">До первого события</w:t>
            </w:r>
          </w:p>
        </w:tc>
      </w:tr>
      <w:tr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Первый пост, создание группы</w:t>
            </w:r>
          </w:p>
        </w:tc>
        <w:tc>
          <w:tcPr>
            <w:tcW w:type="dxa" w:w="377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Правила сообщества с лицензией на пользовательский контент и порядком модерации</w:t>
            </w:r>
          </w:p>
        </w:tc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Галочка при первом действии</w:t>
            </w:r>
          </w:p>
        </w:tc>
        <w:tc>
          <w:tcPr>
            <w:tcW w:type="dxa" w:w="139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7"/>
                <w:szCs w:val="17"/>
              </w:rPr>
              <w:t xml:space="preserve">Пока сообщество внутри</w:t>
            </w:r>
          </w:p>
        </w:tc>
      </w:tr>
      <w:tr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Чат «Ева», голосовой ввод</w:t>
            </w:r>
          </w:p>
        </w:tc>
        <w:tc>
          <w:tcPr>
            <w:tcW w:type="dxa" w:w="377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Уведомление «вы общаетесь с программой», дисклеймер о том, что это не медицинская и не психологическая помощь, уведомление, что аудио не хранится</w:t>
            </w:r>
          </w:p>
        </w:tc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Текст на первом экране чата</w:t>
            </w:r>
          </w:p>
        </w:tc>
        <w:tc>
          <w:tcPr>
            <w:tcW w:type="dxa" w:w="13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Сейчас</w:t>
            </w:r>
          </w:p>
        </w:tc>
      </w:tr>
      <w:tr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Реферальная ссылка, «моя аудитория»</w:t>
            </w:r>
          </w:p>
        </w:tc>
        <w:tc>
          <w:tcPr>
            <w:tcW w:type="dxa" w:w="377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Правила реферальной программы (одноуровневая, только с оплат), для денежных выплат — статус самозанятой и агентский договор</w:t>
            </w:r>
          </w:p>
        </w:tc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Ссылка на правила; договор при первой выплате</w:t>
            </w:r>
          </w:p>
        </w:tc>
        <w:tc>
          <w:tcPr>
            <w:tcW w:type="dxa" w:w="139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7"/>
                <w:szCs w:val="17"/>
              </w:rPr>
              <w:t xml:space="preserve">До первых выплат</w:t>
            </w:r>
          </w:p>
        </w:tc>
      </w:tr>
      <w:tr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Профиль: удаление аккаунта, отзыв согласий</w:t>
            </w:r>
          </w:p>
        </w:tc>
        <w:tc>
          <w:tcPr>
            <w:tcW w:type="dxa" w:w="377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Механизм отзыва каждого согласия по отдельности и удаления данных в 30 дней по 152-ФЗ</w:t>
            </w:r>
          </w:p>
        </w:tc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Кнопки в профиле</w:t>
            </w:r>
          </w:p>
        </w:tc>
        <w:tc>
          <w:tcPr>
            <w:tcW w:type="dxa" w:w="13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С запуском сервера</w:t>
            </w:r>
          </w:p>
        </w:tc>
      </w:tr>
      <w:tr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Push и e-mail</w:t>
            </w:r>
          </w:p>
        </w:tc>
        <w:tc>
          <w:tcPr>
            <w:tcW w:type="dxa" w:w="377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Согласие на рассылки, отписка в один клик в каждом сообщении</w:t>
            </w:r>
          </w:p>
        </w:tc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Ссылка отписки</w:t>
            </w:r>
          </w:p>
        </w:tc>
        <w:tc>
          <w:tcPr>
            <w:tcW w:type="dxa" w:w="139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С первой рассылкой</w:t>
            </w:r>
          </w:p>
        </w:tc>
      </w:tr>
      <w:tr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Веб-версия: первый визит</w:t>
            </w:r>
          </w:p>
        </w:tc>
        <w:tc>
          <w:tcPr>
            <w:tcW w:type="dxa" w:w="377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Баннер cookies с отказом от аналитических</w:t>
            </w:r>
          </w:p>
        </w:tc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Баннер</w:t>
            </w:r>
          </w:p>
        </w:tc>
        <w:tc>
          <w:tcPr>
            <w:tcW w:type="dxa" w:w="13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Сейчас</w:t>
            </w:r>
          </w:p>
        </w:tc>
      </w:tr>
      <w:tr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Кабинет эксперта</w:t>
            </w:r>
          </w:p>
        </w:tc>
        <w:tc>
          <w:tcPr>
            <w:tcW w:type="dxa" w:w="377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Оферта для экспертов, лицензия на контент, согласие на использование имени и образа, проверка статуса</w:t>
            </w:r>
          </w:p>
        </w:tc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Галочки при регистрации эксперта</w:t>
            </w:r>
          </w:p>
        </w:tc>
        <w:tc>
          <w:tcPr>
            <w:tcW w:type="dxa" w:w="139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7"/>
                <w:szCs w:val="17"/>
              </w:rPr>
              <w:t xml:space="preserve">До первого эксперта</w:t>
            </w:r>
          </w:p>
        </w:tc>
      </w:tr>
      <w:tr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Кабинет продавца</w:t>
            </w:r>
          </w:p>
        </w:tc>
        <w:tc>
          <w:tcPr>
            <w:tcW w:type="dxa" w:w="377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Правила платформы для продавцов по 289-ФЗ: уведомления за 45 дней, рейтинги, споры, проверка</w:t>
            </w:r>
          </w:p>
        </w:tc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Галочки при подключении</w:t>
            </w:r>
          </w:p>
        </w:tc>
        <w:tc>
          <w:tcPr>
            <w:tcW w:type="dxa" w:w="13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7"/>
                <w:szCs w:val="17"/>
              </w:rPr>
              <w:t xml:space="preserve">До запуска корзины</w:t>
            </w:r>
          </w:p>
        </w:tc>
      </w:tr>
    </w:tbl>
    <w:p>
      <w:pPr>
        <w:spacing w:after="46" w:before="1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4. Риски, которые дороже документов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Документы не совпадают с продуктом. </w:t>
      </w:r>
      <w:r>
        <w:rPr>
          <w:rFonts w:ascii="Calibri" w:cs="Calibri" w:eastAsia="Calibri" w:hAnsi="Calibri"/>
          <w:sz w:val="19"/>
          <w:szCs w:val="19"/>
        </w:rPr>
        <w:t xml:space="preserve">Если оферта называет подписку лицензией на программу, а экран оплаты продаёт «доступ к урокам», это одновременно потребительская претензия и провал теста на 70 % профильных доходов. Тексты экранов и документов пишутся вместе.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Согласие нельзя доказать. </w:t>
      </w:r>
      <w:r>
        <w:rPr>
          <w:rFonts w:ascii="Calibri" w:cs="Calibri" w:eastAsia="Calibri" w:hAnsi="Calibri"/>
          <w:sz w:val="19"/>
          <w:szCs w:val="19"/>
        </w:rPr>
        <w:t xml:space="preserve">Галочка без записи в базе, кто, когда, с какого устройства и какую версию принял, в споре с Роскомнадзором не защищает. Это задача разработки, ставится до запуска.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Неясно, кто продавец. </w:t>
      </w:r>
      <w:r>
        <w:rPr>
          <w:rFonts w:ascii="Calibri" w:cs="Calibri" w:eastAsia="Calibri" w:hAnsi="Calibri"/>
          <w:sz w:val="19"/>
          <w:szCs w:val="19"/>
        </w:rPr>
        <w:t xml:space="preserve">Если из документов не следует, что курс продаёт эксперт, а платформа посредник, отвечать перед покупательницей будет ООО, включая возвраты и претензии к качеству.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Один общий пункт о возврате. </w:t>
      </w:r>
      <w:r>
        <w:rPr>
          <w:rFonts w:ascii="Calibri" w:cs="Calibri" w:eastAsia="Calibri" w:hAnsi="Calibri"/>
          <w:sz w:val="19"/>
          <w:szCs w:val="19"/>
        </w:rPr>
        <w:t xml:space="preserve">Подписка возвращается пропорционально, товар в течение 7 дней без объяснения причин, билет по своей шкале, курс как услуга. Формулировка «возврат не производится» недействительна и провоцирует жалобы.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Бонусы описаны как деньги. </w:t>
      </w:r>
      <w:r>
        <w:rPr>
          <w:rFonts w:ascii="Calibri" w:cs="Calibri" w:eastAsia="Calibri" w:hAnsi="Calibri"/>
          <w:sz w:val="19"/>
          <w:szCs w:val="19"/>
        </w:rPr>
        <w:t xml:space="preserve">Тогда появляются риски электронных денег и НДФЛ. В правилах баллы — это скидка, без номинала, без обмена на деньги и передачи.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Реферальная программа описана многоуровневой. </w:t>
      </w:r>
      <w:r>
        <w:rPr>
          <w:rFonts w:ascii="Calibri" w:cs="Calibri" w:eastAsia="Calibri" w:hAnsi="Calibri"/>
          <w:sz w:val="19"/>
          <w:szCs w:val="19"/>
        </w:rPr>
        <w:t xml:space="preserve">Проценты «с аудитории аудитории» и плата за статус — признаки пирамиды. В документах остаётся один уровень и выплаты только с фактических оплат.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Одностороннее изменение условий. </w:t>
      </w:r>
      <w:r>
        <w:rPr>
          <w:rFonts w:ascii="Calibri" w:cs="Calibri" w:eastAsia="Calibri" w:hAnsi="Calibri"/>
          <w:sz w:val="19"/>
          <w:szCs w:val="19"/>
        </w:rPr>
        <w:t xml:space="preserve">Для потребителей оно ограничено, для партнёров с 1 октября 2026 г. нужно уведомление за 45 дней. Механизм версий и уведомлений закладывается в рамочный документ один раз.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Шаблон вместо документа. </w:t>
      </w:r>
      <w:r>
        <w:rPr>
          <w:rFonts w:ascii="Calibri" w:cs="Calibri" w:eastAsia="Calibri" w:hAnsi="Calibri"/>
          <w:sz w:val="19"/>
          <w:szCs w:val="19"/>
        </w:rPr>
        <w:t xml:space="preserve">Конструкторы не знают про данные о здоровье, посредничество, подписки и 289-ФЗ. Годятся для политики ПДн и cookies после проверки, не для оферты.</w:t>
      </w:r>
    </w:p>
    <w:p>
      <w:pPr>
        <w:spacing w:after="46" w:before="1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5. Четыре варианта заказа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6"/>
        <w:gridCol w:w="2977"/>
        <w:gridCol w:w="1389"/>
        <w:gridCol w:w="1786"/>
        <w:gridCol w:w="1984"/>
      </w:tblGrid>
      <w:tr>
        <w:trPr>
          <w:tblHeader/>
        </w:trPr>
        <w:tc>
          <w:tcPr>
            <w:tcW w:type="dxa" w:w="1786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Вариант</w:t>
            </w:r>
          </w:p>
        </w:tc>
        <w:tc>
          <w:tcPr>
            <w:tcW w:type="dxa" w:w="2977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Что делаем</w:t>
            </w:r>
          </w:p>
        </w:tc>
        <w:tc>
          <w:tcPr>
            <w:tcW w:type="dxa" w:w="1389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Цена, тыс. ₽</w:t>
            </w:r>
          </w:p>
        </w:tc>
        <w:tc>
          <w:tcPr>
            <w:tcW w:type="dxa" w:w="1786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Плюсы</w:t>
            </w:r>
          </w:p>
        </w:tc>
        <w:tc>
          <w:tcPr>
            <w:tcW w:type="dxa" w:w="1984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Минусы</w:t>
            </w:r>
          </w:p>
        </w:tc>
      </w:tr>
      <w:tr>
        <w:tc>
          <w:tcPr>
            <w:tcW w:type="dxa" w:w="178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Всё сразу под ключ</w:t>
            </w:r>
          </w:p>
        </w:tc>
        <w:tc>
          <w:tcPr>
            <w:tcW w:type="dxa" w:w="29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Полный набор из раздела 2 одним заказом</w:t>
            </w:r>
          </w:p>
        </w:tc>
        <w:tc>
          <w:tcPr>
            <w:tcW w:type="dxa" w:w="138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300–600</w:t>
            </w:r>
          </w:p>
        </w:tc>
        <w:tc>
          <w:tcPr>
            <w:tcW w:type="dxa" w:w="178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Полнота, один подрядчик</w:t>
            </w:r>
          </w:p>
        </w:tc>
        <w:tc>
          <w:tcPr>
            <w:tcW w:type="dxa" w:w="1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Модули маркета и мероприятий придётся переписывать к моменту реального запуска</w:t>
            </w:r>
          </w:p>
        </w:tc>
      </w:tr>
      <w:tr>
        <w:tc>
          <w:tcPr>
            <w:tcW w:type="dxa" w:w="1786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 Модульная лестница</w:t>
            </w:r>
          </w:p>
        </w:tc>
        <w:tc>
          <w:tcPr>
            <w:tcW w:type="dxa" w:w="2977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Сейчас: рамочное соглашение, модуль подписки, пакет ПДн, оферта экспертов. Остальное по мере запуска</w:t>
            </w:r>
          </w:p>
        </w:tc>
        <w:tc>
          <w:tcPr>
            <w:tcW w:type="dxa" w:w="1389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150–310 сейчас, далее 20–100 за модуль</w:t>
            </w:r>
          </w:p>
        </w:tc>
        <w:tc>
          <w:tcPr>
            <w:tcW w:type="dxa" w:w="1786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Платим за то, что запускаем; документы совпадают с продуктом</w:t>
            </w:r>
          </w:p>
        </w:tc>
        <w:tc>
          <w:tcPr>
            <w:tcW w:type="dxa" w:w="198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Нужна дисциплина: модуль до запуска, а не после</w:t>
            </w:r>
          </w:p>
        </w:tc>
      </w:tr>
      <w:tr>
        <w:tc>
          <w:tcPr>
            <w:tcW w:type="dxa" w:w="178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Конструктор плюс проверка</w:t>
            </w:r>
          </w:p>
        </w:tc>
        <w:tc>
          <w:tcPr>
            <w:tcW w:type="dxa" w:w="29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Политику ПДн, согласия, cookies берём из конструктора, юрист адаптирует. Оферту и модули пишет юрист</w:t>
            </w:r>
          </w:p>
        </w:tc>
        <w:tc>
          <w:tcPr>
            <w:tcW w:type="dxa" w:w="138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30–60 за ПДн-пакет плюс оферта</w:t>
            </w:r>
          </w:p>
        </w:tc>
        <w:tc>
          <w:tcPr>
            <w:tcW w:type="dxa" w:w="178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Экономия на типовой части</w:t>
            </w:r>
          </w:p>
        </w:tc>
        <w:tc>
          <w:tcPr>
            <w:tcW w:type="dxa" w:w="1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Шаблон не знает про здоровье и посредничество, проверка обязательна</w:t>
            </w:r>
          </w:p>
        </w:tc>
      </w:tr>
      <w:tr>
        <w:tc>
          <w:tcPr>
            <w:tcW w:type="dxa" w:w="1786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Гибрид</w:t>
            </w:r>
          </w:p>
        </w:tc>
        <w:tc>
          <w:tcPr>
            <w:tcW w:type="dxa" w:w="2977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Юрист пишет рамочный документ и пакет ПДн, модули пишем сами по его каркасу, он проверяет по часам</w:t>
            </w:r>
          </w:p>
        </w:tc>
        <w:tc>
          <w:tcPr>
            <w:tcW w:type="dxa" w:w="1389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100–180</w:t>
            </w:r>
          </w:p>
        </w:tc>
        <w:tc>
          <w:tcPr>
            <w:tcW w:type="dxa" w:w="1786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Самый дешёвый</w:t>
            </w:r>
          </w:p>
        </w:tc>
        <w:tc>
          <w:tcPr>
            <w:tcW w:type="dxa" w:w="198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Время финансового директора, риск пропустить нюанс</w:t>
            </w:r>
          </w:p>
        </w:tc>
      </w:tr>
    </w:tbl>
    <w:p>
      <w:pPr>
        <w:spacing w:after="50" w:line="21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Рекомендация: </w:t>
      </w:r>
      <w:r>
        <w:rPr>
          <w:rFonts w:ascii="Calibri" w:cs="Calibri" w:eastAsia="Calibri" w:hAnsi="Calibri"/>
          <w:sz w:val="19"/>
          <w:szCs w:val="19"/>
        </w:rPr>
        <w:t xml:space="preserve">вариант 2. У юристов просить фиксированную цену за каркас и прайс за модуль, а не оценку всего пакета целиком.</w:t>
      </w:r>
    </w:p>
    <w:p>
      <w:pPr>
        <w:spacing w:after="46" w:before="1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6. Как снизить объём документов на старте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Одни правила платформы для всех партнёров с двумя приложениями, для экспертов и для продавцов, вместо двух отдельных договоров.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Первые мероприятия проводить через партнёрскую площадку, которая сама продаёт билеты. Пока ООО не организатор, модуль «Мероприятия» не нужен.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Маркет запустить как витрину с переходом в магазины партнёров по партнёрским ссылкам. Ни модуля, ни обязательств продавца, ни 289-ФЗ до появления своей корзины.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Сообщество на старте держать в закрытом Telegram-чате, а не внутри приложения. Правила сообщества и обязанности организатора распространения информации откладываются.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Курсы первых экспертов продавать по одной схеме, а не по двум. Смешанная модель (часть по лицензии, часть по агентской) удваивает модуль.</w:t>
      </w:r>
    </w:p>
    <w:p>
      <w:pPr>
        <w:spacing w:after="46" w:before="1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7. Три решения, которые определяют смету</w:t>
      </w:r>
    </w:p>
    <w:p>
      <w:pPr>
        <w:pStyle w:val="ListParagraph"/>
        <w:numPr>
          <w:ilvl w:val="0"/>
          <w:numId w:val="3"/>
        </w:numPr>
        <w:spacing w:after="30" w:line="21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Кто продавец курсов. </w:t>
      </w:r>
      <w:r>
        <w:rPr>
          <w:rFonts w:ascii="Calibri" w:cs="Calibri" w:eastAsia="Calibri" w:hAnsi="Calibri"/>
          <w:sz w:val="19"/>
          <w:szCs w:val="19"/>
        </w:rPr>
        <w:t xml:space="preserve">ООО от своего имени по лицензии от эксперта, либо эксперт через платформу с комиссией. Первое проще для пользовательских документов и лучше для ИТ-льгот, но переносит на ООО ответственность за контент. Второе требует партнёрских документов и 289-ФЗ, но снимает ответственность за качество.</w:t>
      </w:r>
    </w:p>
    <w:p>
      <w:pPr>
        <w:pStyle w:val="ListParagraph"/>
        <w:numPr>
          <w:ilvl w:val="0"/>
          <w:numId w:val="3"/>
        </w:numPr>
        <w:spacing w:after="30" w:line="21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Порядок запуска. </w:t>
      </w:r>
      <w:r>
        <w:rPr>
          <w:rFonts w:ascii="Calibri" w:cs="Calibri" w:eastAsia="Calibri" w:hAnsi="Calibri"/>
          <w:sz w:val="19"/>
          <w:szCs w:val="19"/>
        </w:rPr>
        <w:t xml:space="preserve">Подписка, затем курсы, затем маркет и события, или всё одновременно. От этого зависит, сколько модулей заказывать сейчас.</w:t>
      </w:r>
    </w:p>
    <w:p>
      <w:pPr>
        <w:pStyle w:val="ListParagraph"/>
        <w:numPr>
          <w:ilvl w:val="0"/>
          <w:numId w:val="3"/>
        </w:numPr>
        <w:spacing w:after="30" w:line="21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Сообщество и маркет внутри приложения или снаружи на старте. </w:t>
      </w:r>
      <w:r>
        <w:rPr>
          <w:rFonts w:ascii="Calibri" w:cs="Calibri" w:eastAsia="Calibri" w:hAnsi="Calibri"/>
          <w:sz w:val="19"/>
          <w:szCs w:val="19"/>
        </w:rPr>
        <w:t xml:space="preserve">Снаружи — минус два документа и минус обязанности организатора распространения информации на первые месяцы.</w:t>
      </w:r>
    </w:p>
    <w:p>
      <w:pPr>
        <w:spacing w:after="50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С ответами на эти три вопроса юристы дадут точную смету вместо оценки «дорого».</w:t>
      </w:r>
    </w:p>
    <w:p>
      <w:pPr>
        <w:spacing w:after="46" w:before="1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8. Требования к реализации согласий (для разработки)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Каждое согласие — отдельный чекбокс, по умолчанию не отмечен, рядом ссылка на текущую версию документа.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В базу пишутся: идентификатор пользовательницы, дата и время, IP-адрес и устройство, идентификатор и хеш версии документа, какие именно галочки отмечены.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Документы версионируются. При изменении пользовательница видит уведомление и принимает новую версию; партнёры уведомляются за 45 дней.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Отзыв каждого согласия по отдельности из профиля. После отзыва обработка прекращается и данные уничтожаются в срок до 30 дней.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Данные о цикле и ответы о состоянии хранятся отдельно от остального профиля с ограниченным доступом; доступ из админки логируется.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Хостинг и база в России, вход по номеру телефона или через российские сервисы, аналитика российского сервиса.</w:t>
      </w:r>
    </w:p>
    <w:p>
      <w:pPr>
        <w:spacing w:after="46" w:before="1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9. Что спросить у юристов на следующей встрече</w:t>
      </w:r>
    </w:p>
    <w:p>
      <w:pPr>
        <w:pStyle w:val="ListParagraph"/>
        <w:numPr>
          <w:ilvl w:val="0"/>
          <w:numId w:val="4"/>
        </w:numPr>
        <w:spacing w:after="30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Готовы ли они работать по схеме «рамочный документ плюс модули» и назвать фиксированную цену за каркас и за каждый модуль.</w:t>
      </w:r>
    </w:p>
    <w:p>
      <w:pPr>
        <w:pStyle w:val="ListParagraph"/>
        <w:numPr>
          <w:ilvl w:val="0"/>
          <w:numId w:val="4"/>
        </w:numPr>
        <w:spacing w:after="30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Как они оформят подписку, чтобы она одновременно была понятна потребителю и считалась лицензией на программу для теста на 70 %.</w:t>
      </w:r>
    </w:p>
    <w:p>
      <w:pPr>
        <w:pStyle w:val="ListParagraph"/>
        <w:numPr>
          <w:ilvl w:val="0"/>
          <w:numId w:val="4"/>
        </w:numPr>
        <w:spacing w:after="30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Какие формулировки в карточках экспертов и в календаре цикла они считают допустимыми без медицинской лицензии.</w:t>
      </w:r>
    </w:p>
    <w:p>
      <w:pPr>
        <w:pStyle w:val="ListParagraph"/>
        <w:numPr>
          <w:ilvl w:val="0"/>
          <w:numId w:val="4"/>
        </w:numPr>
        <w:spacing w:after="30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Как выглядит их пакет по персональным данным для специальных категорий и какой уровень защищённости они предлагают для наших данных.</w:t>
      </w:r>
    </w:p>
    <w:p>
      <w:pPr>
        <w:pStyle w:val="ListParagraph"/>
        <w:numPr>
          <w:ilvl w:val="0"/>
          <w:numId w:val="4"/>
        </w:numPr>
        <w:spacing w:after="30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Что из наших экранов они считают рекламой и как оформить правила реферальной программы, чтобы она не выглядела многоуровневой.</w:t>
      </w:r>
    </w:p>
    <w:p>
      <w:pPr>
        <w:pStyle w:val="ListParagraph"/>
        <w:numPr>
          <w:ilvl w:val="0"/>
          <w:numId w:val="4"/>
        </w:numPr>
        <w:spacing w:after="30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Что нужно изменить в правилах платформы к 1 октября 2026 г. по 289-ФЗ, если маркет и кабинет эксперта запустятся до этой даты.</w:t>
      </w:r>
    </w:p>
    <w:p>
      <w:pPr>
        <w:spacing w:after="0" w:before="70" w:line="212"/>
        <w:jc w:val="both"/>
      </w:pPr>
      <w:r>
        <w:rPr>
          <w:rFonts w:ascii="Calibri" w:cs="Calibri" w:eastAsia="Calibri" w:hAnsi="Calibri"/>
          <w:color w:val="777777"/>
          <w:sz w:val="17"/>
          <w:szCs w:val="17"/>
        </w:rPr>
        <w:t xml:space="preserve">Цены ориентировочные для Москвы на сентябрь 2026 г., по данным рынка юридических услуг для ИТ-платформ. Нормативные требования проверить с юристом на дату запуска.</w:t>
      </w:r>
    </w:p>
    <w:sectPr>
      <w:footerReference w:type="default" r:id="rId7"/>
      <w:pgSz w:w="11906" w:h="16838" w:orient="portrait"/>
      <w:pgMar w:top="820" w:right="992" w:bottom="680" w:left="9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4"/>
        <w:szCs w:val="14"/>
      </w:rPr>
      <w:t xml:space="preserve">Eva Space · карта документов платформы · сентябрь 2026 · стр. </w:t>
    </w:r>
    <w:r>
      <w:rPr>
        <w:rFonts w:ascii="Calibri" w:cs="Calibri" w:eastAsia="Calibri" w:hAnsi="Calibri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 Space — карта документов платформы</dc:title>
  <dc:creator>Eva Space</dc:creator>
  <cp:lastModifiedBy>Un-named</cp:lastModifiedBy>
  <cp:revision>1</cp:revision>
  <dcterms:created xsi:type="dcterms:W3CDTF">2026-10-01T09:00:11.023Z</dcterms:created>
  <dcterms:modified xsi:type="dcterms:W3CDTF">2026-10-01T09:00:11.024Z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