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9B59B6"/>
          <w:spacing w:val="40"/>
          <w:sz w:val="20"/>
          <w:szCs w:val="20"/>
        </w:rPr>
        <w:t xml:space="preserve">EVA SPACE · НЕ ПУБЛИКУЕТСЯ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B2C6F"/>
          <w:sz w:val="32"/>
          <w:szCs w:val="32"/>
        </w:rPr>
        <w:t xml:space="preserve">Комментарии к проекту Политики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Что заполнить, что изменить в продукте до публикации и какие документы нужны вместе с Политикой</w:t>
      </w:r>
    </w:p>
    <w:p>
      <w:pPr>
        <w:pBdr>
          <w:left w:val="single" w:color="9B59B6" w:sz="18" w:space="7"/>
        </w:pBdr>
        <w:shd w:fill="FBF8FD" w:color="auto" w:val="clear"/>
        <w:spacing w:after="80" w:before="70" w:line="214"/>
        <w:ind w:left="16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Как пользоваться. </w:t>
      </w:r>
      <w:r>
        <w:rPr>
          <w:rFonts w:ascii="Calibri" w:cs="Calibri" w:eastAsia="Calibri" w:hAnsi="Calibri"/>
          <w:sz w:val="19"/>
          <w:szCs w:val="19"/>
        </w:rPr>
        <w:t xml:space="preserve">Политика написана как первая редакция для ООО «Ева Спейс» по действующей редакции 152-ФЗ и рекомендациям Роскомнадзора к структуре документа. Жёлтым в ней выделено всё, что нужно заполнить. Политика должна описывать реальную обработку: если продукт работает иначе, чем написано, это нарушение само по себе. Поэтому до публикации нужно выполнить условия из раздела 2 этой записки. Перед публикацией проект стоит показать практикующему юристу.</w:t>
      </w:r>
    </w:p>
    <w:p>
      <w:pPr>
        <w:keepNext/>
        <w:spacing w:after="50" w:before="11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1. Что заполнить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3770"/>
        <w:gridCol w:w="2183"/>
      </w:tblGrid>
      <w:tr>
        <w:trPr>
          <w:tblHeader/>
        </w:trPr>
        <w:tc>
          <w:tcPr>
            <w:tcW w:type="dxa" w:w="3969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Поле в Политике</w:t>
            </w:r>
          </w:p>
        </w:tc>
        <w:tc>
          <w:tcPr>
            <w:tcW w:type="dxa" w:w="3770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Где взять</w:t>
            </w:r>
          </w:p>
        </w:tc>
        <w:tc>
          <w:tcPr>
            <w:tcW w:type="dxa" w:w="2183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Когда</w:t>
            </w:r>
          </w:p>
        </w:tc>
      </w:tr>
      <w:tr>
        <w:trPr>
          <w:cantSplit/>
        </w:trPr>
        <w:tc>
          <w:tcPr>
            <w:tcW w:type="dxa" w:w="39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ОГРН, ИНН, адрес ООО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Лист записи ЕГРЮЛ</w:t>
            </w:r>
          </w:p>
        </w:tc>
        <w:tc>
          <w:tcPr>
            <w:tcW w:type="dxa" w:w="21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После регистрации ООО</w:t>
            </w:r>
          </w:p>
        </w:tc>
      </w:tr>
      <w:tr>
        <w:trPr>
          <w:cantSplit/>
        </w:trPr>
        <w:tc>
          <w:tcPr>
            <w:tcW w:type="dxa" w:w="396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Номер в реестре операторов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Ответ Роскомнадзора на уведомление об обработке</w:t>
            </w:r>
          </w:p>
        </w:tc>
        <w:tc>
          <w:tcPr>
            <w:tcW w:type="dxa" w:w="2183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После подачи уведомления</w:t>
            </w:r>
          </w:p>
        </w:tc>
      </w:tr>
      <w:tr>
        <w:trPr>
          <w:cantSplit/>
        </w:trPr>
        <w:tc>
          <w:tcPr>
            <w:tcW w:type="dxa" w:w="39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Домен, адреса страниц политики, правил рекомендательных технологий и архива редакций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Сайт</w:t>
            </w:r>
          </w:p>
        </w:tc>
        <w:tc>
          <w:tcPr>
            <w:tcW w:type="dxa" w:w="21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 публикации</w:t>
            </w:r>
          </w:p>
        </w:tc>
      </w:tr>
      <w:tr>
        <w:trPr>
          <w:cantSplit/>
        </w:trPr>
        <w:tc>
          <w:tcPr>
            <w:tcW w:type="dxa" w:w="396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Адрес электронной почты для запросов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Отдельный ящик, например privacy@, с доступом ответственного</w:t>
            </w:r>
          </w:p>
        </w:tc>
        <w:tc>
          <w:tcPr>
            <w:tcW w:type="dxa" w:w="2183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 публикации</w:t>
            </w:r>
          </w:p>
        </w:tc>
      </w:tr>
      <w:tr>
        <w:trPr>
          <w:cantSplit/>
        </w:trPr>
        <w:tc>
          <w:tcPr>
            <w:tcW w:type="dxa" w:w="39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Ответственное лицо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Приказ о назначении</w:t>
            </w:r>
          </w:p>
        </w:tc>
        <w:tc>
          <w:tcPr>
            <w:tcW w:type="dxa" w:w="21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 утверждении Политики</w:t>
            </w:r>
          </w:p>
        </w:tc>
      </w:tr>
      <w:tr>
        <w:trPr>
          <w:cantSplit/>
        </w:trPr>
        <w:tc>
          <w:tcPr>
            <w:tcW w:type="dxa" w:w="396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Пути к функциям в приложении: удаление аккаунта, «Мои данные»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Разработка</w:t>
            </w:r>
          </w:p>
        </w:tc>
        <w:tc>
          <w:tcPr>
            <w:tcW w:type="dxa" w:w="2183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 публикации</w:t>
            </w:r>
          </w:p>
        </w:tc>
      </w:tr>
      <w:tr>
        <w:trPr>
          <w:cantSplit/>
        </w:trPr>
        <w:tc>
          <w:tcPr>
            <w:tcW w:type="dxa" w:w="396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Дата и номер приказа об утверждении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Приказ генерального директора</w:t>
            </w:r>
          </w:p>
        </w:tc>
        <w:tc>
          <w:tcPr>
            <w:tcW w:type="dxa" w:w="218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 утверждении</w:t>
            </w:r>
          </w:p>
        </w:tc>
      </w:tr>
      <w:tr>
        <w:trPr>
          <w:cantSplit/>
        </w:trPr>
        <w:tc>
          <w:tcPr>
            <w:tcW w:type="dxa" w:w="396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Наименования и ИНН Обработчиков в Приложении 1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Договоры с подрядчиками</w:t>
            </w:r>
          </w:p>
        </w:tc>
        <w:tc>
          <w:tcPr>
            <w:tcW w:type="dxa" w:w="2183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 начала обработки</w:t>
            </w:r>
          </w:p>
        </w:tc>
      </w:tr>
    </w:tbl>
    <w:p>
      <w:pPr>
        <w:keepNext/>
        <w:spacing w:after="50" w:before="11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2. Что изменить в продукте до публикации</w:t>
      </w:r>
    </w:p>
    <w:p>
      <w:pPr>
        <w:spacing w:after="55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Политика написана под целевое состояние продукта. Ниже — расхождения между ним и текущим прототипом.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3770"/>
        <w:gridCol w:w="3572"/>
      </w:tblGrid>
      <w:tr>
        <w:trPr>
          <w:tblHeader/>
        </w:trPr>
        <w:tc>
          <w:tcPr>
            <w:tcW w:type="dxa" w:w="2580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Что сейчас</w:t>
            </w:r>
          </w:p>
        </w:tc>
        <w:tc>
          <w:tcPr>
            <w:tcW w:type="dxa" w:w="3770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Почему это проблема</w:t>
            </w:r>
          </w:p>
        </w:tc>
        <w:tc>
          <w:tcPr>
            <w:tcW w:type="dxa" w:w="3572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25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Голосовой ввод «Евы»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использует стандартное распознавание речи браузера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 Chrome аудио по умолчанию уходит на серверы Google, в Safari — Apple. Это трансграничная передача и сбор через иностранный сервис. В описании продукта для юристов это было указано неверно, документ исправлен</w:t>
            </w:r>
          </w:p>
        </w:tc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Отключить голосовой ввод до перехода на российский сервис распознавания либо включить режим распознавания на устройстве там, где браузер его поддерживает</w:t>
            </w:r>
          </w:p>
        </w:tc>
      </w:tr>
      <w:tr>
        <w:trPr>
          <w:cantSplit/>
        </w:trPr>
        <w:tc>
          <w:tcPr>
            <w:tcW w:type="dxa" w:w="258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Озвучка ответов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берёт любой русский голос браузера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Сетевые голоса Chrome отправляют текст ответа на серверы Google</w:t>
            </w:r>
          </w:p>
        </w:tc>
        <w:tc>
          <w:tcPr>
            <w:tcW w:type="dxa" w:w="357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Использовать только голоса, работающие на устройстве, либо российский сервис синтеза</w:t>
            </w:r>
          </w:p>
        </w:tc>
      </w:tr>
      <w:tr>
        <w:trPr>
          <w:cantSplit/>
        </w:trPr>
        <w:tc>
          <w:tcPr>
            <w:tcW w:type="dxa" w:w="25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Экран «моя аудитория»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показывает имена приглашённых и суммы их покупок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Раскрытие персональных данных одной пользовательницы другой без правового основания</w:t>
            </w:r>
          </w:p>
        </w:tc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Показывать только число приглашённых и сумму начисленных бонусов. Пункт 6.9 Политики написан под это</w:t>
            </w:r>
          </w:p>
        </w:tc>
      </w:tr>
      <w:tr>
        <w:trPr>
          <w:cantSplit/>
        </w:trPr>
        <w:tc>
          <w:tcPr>
            <w:tcW w:type="dxa" w:w="258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Календарь цикла хранится в браузере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Это правильно: данные о здоровье не попадают на сервер</w:t>
            </w:r>
          </w:p>
        </w:tc>
        <w:tc>
          <w:tcPr>
            <w:tcW w:type="dxa" w:w="357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Сохранить хранение на устройстве по умолчанию, синхронизацию сделать отдельной опцией с согласием (п. 7.3)</w:t>
            </w:r>
          </w:p>
        </w:tc>
      </w:tr>
      <w:tr>
        <w:trPr>
          <w:cantSplit/>
        </w:trPr>
        <w:tc>
          <w:tcPr>
            <w:tcW w:type="dxa" w:w="25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Вопросы о беременности и самочувствии обязательны в онбординге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Специальная категория данных без письменного согласия</w:t>
            </w:r>
          </w:p>
        </w:tc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Сделать вопросы необязательными, показывать согласие на данные о здоровье перед ними (п. 7.2)</w:t>
            </w:r>
          </w:p>
        </w:tc>
      </w:tr>
      <w:tr>
        <w:trPr>
          <w:cantSplit/>
        </w:trPr>
        <w:tc>
          <w:tcPr>
            <w:tcW w:type="dxa" w:w="258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Согласие подписывается галочкой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Для данных о здоровье нужно письменное согласие</w:t>
            </w:r>
          </w:p>
        </w:tc>
        <w:tc>
          <w:tcPr>
            <w:tcW w:type="dxa" w:w="357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Подписание кодом из SMS плюс раздел о простой электронной подписи в пользовательском соглашении (ч. 2 ст. 6 закона 63-ФЗ)</w:t>
            </w:r>
          </w:p>
        </w:tc>
      </w:tr>
      <w:tr>
        <w:trPr>
          <w:cantSplit/>
        </w:trPr>
        <w:tc>
          <w:tcPr>
            <w:tcW w:type="dxa" w:w="25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Сообщество работает без правил и согласий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Публикации видны неограниченному кругу лиц — это распространение</w:t>
            </w:r>
          </w:p>
        </w:tc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Согласие на распространение при первом посте и правила сообщества, либо перенос сообщества в закрытый чат на старте</w:t>
            </w:r>
          </w:p>
        </w:tc>
      </w:tr>
    </w:tbl>
    <w:p>
      <w:pPr>
        <w:spacing w:after="60"/>
      </w:pPr>
    </w:p>
    <w:p>
      <w:pPr>
        <w:spacing w:after="55" w:line="21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При запуске сервера дополнительно: </w:t>
      </w:r>
      <w:r>
        <w:rPr>
          <w:rFonts w:ascii="Calibri" w:cs="Calibri" w:eastAsia="Calibri" w:hAnsi="Calibri"/>
          <w:sz w:val="19"/>
          <w:szCs w:val="19"/>
        </w:rPr>
        <w:t xml:space="preserve">вход только по номеру телефона или через российские сервисы, без Apple и Google; Яндекс Метрика ставится только после согласия в баннере, а Вебвизор отключён или маскирует все поля ввода; все подрядчики российские, с серверами в России и договором поручения обработки.</w:t>
      </w:r>
    </w:p>
    <w:p>
      <w:pPr>
        <w:keepNext/>
        <w:spacing w:after="50" w:before="11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3. Публикуйте только то, что работает</w:t>
      </w:r>
    </w:p>
    <w:p>
      <w:pPr>
        <w:spacing w:after="55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Описывать в Политике функции, которых ещё нет, не нужно: Роскомнадзор сверяет Политику с уведомлением и с реальной обработкой. Если на дату публикации функция не запущена, соответствующие пункты удаляются и возвращаются новой редакцией при запуске.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2"/>
        <w:gridCol w:w="6350"/>
      </w:tblGrid>
      <w:tr>
        <w:trPr>
          <w:tblHeader/>
        </w:trPr>
        <w:tc>
          <w:tcPr>
            <w:tcW w:type="dxa" w:w="3572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Функция</w:t>
            </w:r>
          </w:p>
        </w:tc>
        <w:tc>
          <w:tcPr>
            <w:tcW w:type="dxa" w:w="6350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Пункты Политики</w:t>
            </w:r>
          </w:p>
        </w:tc>
      </w:tr>
      <w:tr>
        <w:trPr>
          <w:cantSplit/>
        </w:trPr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Курсы экспертов и кабинет эксперта</w:t>
            </w:r>
          </w:p>
        </w:tc>
        <w:tc>
          <w:tcPr>
            <w:tcW w:type="dxa" w:w="63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6.6, 6.12, строки «Эксперты и Продавцы» и «Сервис выплат» в п. 9.3 и Приложении 1</w:t>
            </w:r>
          </w:p>
        </w:tc>
      </w:tr>
      <w:tr>
        <w:trPr>
          <w:cantSplit/>
        </w:trPr>
        <w:tc>
          <w:tcPr>
            <w:tcW w:type="dxa" w:w="357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Маркет и кабинет продавца</w:t>
            </w:r>
          </w:p>
        </w:tc>
        <w:tc>
          <w:tcPr>
            <w:tcW w:type="dxa" w:w="635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6.6 в части Продавцов, 6.13, строка «Службы доставки»</w:t>
            </w:r>
          </w:p>
        </w:tc>
      </w:tr>
      <w:tr>
        <w:trPr>
          <w:cantSplit/>
        </w:trPr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Офлайн-мероприятия</w:t>
            </w:r>
          </w:p>
        </w:tc>
        <w:tc>
          <w:tcPr>
            <w:tcW w:type="dxa" w:w="63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6.14, п. 10.2 в части Участников мероприятий</w:t>
            </w:r>
          </w:p>
        </w:tc>
      </w:tr>
      <w:tr>
        <w:trPr>
          <w:cantSplit/>
        </w:trPr>
        <w:tc>
          <w:tcPr>
            <w:tcW w:type="dxa" w:w="357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Сообщество внутри приложения</w:t>
            </w:r>
          </w:p>
        </w:tc>
        <w:tc>
          <w:tcPr>
            <w:tcW w:type="dxa" w:w="635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6.7, раздел 10 в части Пользователей</w:t>
            </w:r>
          </w:p>
        </w:tc>
      </w:tr>
      <w:tr>
        <w:trPr>
          <w:cantSplit/>
        </w:trPr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Партнёрская программа с денежными выплатами</w:t>
            </w:r>
          </w:p>
        </w:tc>
        <w:tc>
          <w:tcPr>
            <w:tcW w:type="dxa" w:w="63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Вторая часть п. 6.9, строка «Сервис выплат»</w:t>
            </w:r>
          </w:p>
        </w:tc>
      </w:tr>
      <w:tr>
        <w:trPr>
          <w:cantSplit/>
        </w:trPr>
        <w:tc>
          <w:tcPr>
            <w:tcW w:type="dxa" w:w="357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Синхронизация календаря цикла</w:t>
            </w:r>
          </w:p>
        </w:tc>
        <w:tc>
          <w:tcPr>
            <w:tcW w:type="dxa" w:w="635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Упоминания синхронизации в 6.4 и 7.3</w:t>
            </w:r>
          </w:p>
        </w:tc>
      </w:tr>
      <w:tr>
        <w:trPr>
          <w:cantSplit/>
        </w:trPr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Помощник с нейросетью</w:t>
            </w:r>
          </w:p>
        </w:tc>
        <w:tc>
          <w:tcPr>
            <w:tcW w:type="dxa" w:w="63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Строка «Распознавание речи и языковые модели»; при сценарном помощнике без внешних сервисов её нет</w:t>
            </w:r>
          </w:p>
        </w:tc>
      </w:tr>
    </w:tbl>
    <w:p>
      <w:pPr>
        <w:keepNext/>
        <w:spacing w:after="50" w:before="11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4. Документы, которые нужны вместе с Политикой</w:t>
      </w:r>
    </w:p>
    <w:p>
      <w:pPr>
        <w:spacing w:after="55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Политика на них ссылается, и без них она не работает. Каждое согласие — отдельный документ и отдельная галочка: с 1 сентября 2025 года согласие нельзя включать в Политику, пользовательское соглашение или баннер cookie.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Согласие на обработку персональных данных. </w:t>
      </w:r>
      <w:r>
        <w:rPr>
          <w:rFonts w:ascii="Calibri" w:cs="Calibri" w:eastAsia="Calibri" w:hAnsi="Calibri"/>
          <w:sz w:val="19"/>
          <w:szCs w:val="19"/>
        </w:rPr>
        <w:t xml:space="preserve">Общее, при регистрации.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Согласие на обработку сведений о состоянии здоровья. </w:t>
      </w:r>
      <w:r>
        <w:rPr>
          <w:rFonts w:ascii="Calibri" w:cs="Calibri" w:eastAsia="Calibri" w:hAnsi="Calibri"/>
          <w:sz w:val="19"/>
          <w:szCs w:val="19"/>
        </w:rPr>
        <w:t xml:space="preserve">Письменное, с подписанием кодом из SMS.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Согласие на распространение. </w:t>
      </w:r>
      <w:r>
        <w:rPr>
          <w:rFonts w:ascii="Calibri" w:cs="Calibri" w:eastAsia="Calibri" w:hAnsi="Calibri"/>
          <w:sz w:val="19"/>
          <w:szCs w:val="19"/>
        </w:rPr>
        <w:t xml:space="preserve">Для сообщества, страниц экспертов и фото с мероприятий, по требованиям приказа Роскомнадзора от 24.02.2021 № 18: субъект сам выбирает данные и может установить запреты.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Согласие на рассылки. </w:t>
      </w:r>
      <w:r>
        <w:rPr>
          <w:rFonts w:ascii="Calibri" w:cs="Calibri" w:eastAsia="Calibri" w:hAnsi="Calibri"/>
          <w:sz w:val="19"/>
          <w:szCs w:val="19"/>
        </w:rPr>
        <w:t xml:space="preserve">Отдельная галочка, не отмеченная по умолчанию.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Баннер о файлах cookie </w:t>
      </w:r>
      <w:r>
        <w:rPr>
          <w:rFonts w:ascii="Calibri" w:cs="Calibri" w:eastAsia="Calibri" w:hAnsi="Calibri"/>
          <w:sz w:val="19"/>
          <w:szCs w:val="19"/>
        </w:rPr>
        <w:t xml:space="preserve">с возможностью отказаться от аналитических.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Правила применения рекомендательных технологий </w:t>
      </w:r>
      <w:r>
        <w:rPr>
          <w:rFonts w:ascii="Calibri" w:cs="Calibri" w:eastAsia="Calibri" w:hAnsi="Calibri"/>
          <w:sz w:val="19"/>
          <w:szCs w:val="19"/>
        </w:rPr>
        <w:t xml:space="preserve">по статье 10.2-2 закона 149-ФЗ.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Пользовательское соглашение </w:t>
      </w:r>
      <w:r>
        <w:rPr>
          <w:rFonts w:ascii="Calibri" w:cs="Calibri" w:eastAsia="Calibri" w:hAnsi="Calibri"/>
          <w:sz w:val="19"/>
          <w:szCs w:val="19"/>
        </w:rPr>
        <w:t xml:space="preserve">с разделом о простой электронной подписи.</w:t>
      </w:r>
    </w:p>
    <w:p>
      <w:pPr>
        <w:keepNext/>
        <w:spacing w:after="50" w:before="11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5. Внутренние документы, которые проверяет Роскомнадзор</w:t>
      </w:r>
    </w:p>
    <w:p>
      <w:pPr>
        <w:spacing w:after="55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Они не публикуются, но их отсутствие — самостоятельное нарушение.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Приказ о назначении ответственного за организацию обработки персональных данных.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Положение об обработке и защите персональных данных.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Акт оценки вреда субъектам по приказу Роскомнадзора от 27.10.2022 № 178.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Модель угроз и акт определения уровня защищённости по постановлению Правительства № 1119.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Перечень работников с доступом к данным и их обязательства о неразглашении.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Журнал учёта запросов субъектов.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Форма акта об уничтожении по приказу Роскомнадзора от 28.10.2022 № 179.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Регламент реагирования на инциденты: уведомление Роскомнадзора за 24 часа и отчёт за 72 часа.</w:t>
      </w:r>
    </w:p>
    <w:p>
      <w:pPr>
        <w:keepNext/>
        <w:spacing w:after="50" w:before="11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6. Порядок действий</w:t>
      </w:r>
    </w:p>
    <w:p>
      <w:pPr>
        <w:pStyle w:val="ListParagraph"/>
        <w:numPr>
          <w:ilvl w:val="0"/>
          <w:numId w:val="3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Зарегистрировать ООО.</w:t>
      </w:r>
    </w:p>
    <w:p>
      <w:pPr>
        <w:pStyle w:val="ListParagraph"/>
        <w:numPr>
          <w:ilvl w:val="0"/>
          <w:numId w:val="3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Выполнить изменения в продукте из раздела 2.</w:t>
      </w:r>
    </w:p>
    <w:p>
      <w:pPr>
        <w:pStyle w:val="ListParagraph"/>
        <w:numPr>
          <w:ilvl w:val="0"/>
          <w:numId w:val="3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Подать уведомление в Роскомнадзор до начала обработки. Цели, категории данных, перечень действий, меры защиты, место нахождения баз данных и отсутствие трансграничной передачи в уведомлении должны совпадать с Политикой.</w:t>
      </w:r>
    </w:p>
    <w:p>
      <w:pPr>
        <w:pStyle w:val="ListParagraph"/>
        <w:numPr>
          <w:ilvl w:val="0"/>
          <w:numId w:val="3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Заполнить выделенные поля, убрать пункты незапущенных функций, утвердить Политику приказом.</w:t>
      </w:r>
    </w:p>
    <w:p>
      <w:pPr>
        <w:pStyle w:val="ListParagraph"/>
        <w:numPr>
          <w:ilvl w:val="0"/>
          <w:numId w:val="3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Опубликовать Политику вместе с согласиями до запуска регистрации пользователей.</w:t>
      </w:r>
    </w:p>
    <w:p>
      <w:pPr>
        <w:pStyle w:val="ListParagraph"/>
        <w:numPr>
          <w:ilvl w:val="0"/>
          <w:numId w:val="3"/>
        </w:numPr>
        <w:spacing w:after="30" w:line="214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Выпускать новую редакцию при запуске каждой новой функции и не реже раза в год.</w:t>
      </w:r>
    </w:p>
    <w:p>
      <w:pPr>
        <w:keepNext/>
        <w:spacing w:after="50" w:before="11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7. Решения в проекте, которые стоит подтвердить с юристом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Самочувствие как данные о здоровье. </w:t>
      </w:r>
      <w:r>
        <w:rPr>
          <w:rFonts w:ascii="Calibri" w:cs="Calibri" w:eastAsia="Calibri" w:hAnsi="Calibri"/>
          <w:sz w:val="19"/>
          <w:szCs w:val="19"/>
        </w:rPr>
        <w:t xml:space="preserve">Ответы о тревожности, сне и выгорании отнесены к специальной категории. Это консервативный подход: он требует письменного согласия, но исключает спор с регулятором.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Сообщество как распространение. </w:t>
      </w:r>
      <w:r>
        <w:rPr>
          <w:rFonts w:ascii="Calibri" w:cs="Calibri" w:eastAsia="Calibri" w:hAnsi="Calibri"/>
          <w:sz w:val="19"/>
          <w:szCs w:val="19"/>
        </w:rPr>
        <w:t xml:space="preserve">Публикации, видимые всем зарегистрированным, считаются доступными неограниченному кругу лиц. Тоже консервативный подход.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Сроки хранения. </w:t>
      </w:r>
      <w:r>
        <w:rPr>
          <w:rFonts w:ascii="Calibri" w:cs="Calibri" w:eastAsia="Calibri" w:hAnsi="Calibri"/>
          <w:sz w:val="19"/>
          <w:szCs w:val="19"/>
        </w:rPr>
        <w:t xml:space="preserve">Три года для данных, нужных для споров, — по сроку исковой давности; пять лет для бухгалтерских и налоговых документов; двенадцать месяцев для истории чата и журналов.</w:t>
      </w:r>
    </w:p>
    <w:p>
      <w:pPr>
        <w:pStyle w:val="ListParagraph"/>
        <w:numPr>
          <w:ilvl w:val="0"/>
          <w:numId w:val="2"/>
        </w:numPr>
        <w:spacing w:after="30" w:line="21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Противопоказания на мероприятиях. </w:t>
      </w:r>
      <w:r>
        <w:rPr>
          <w:rFonts w:ascii="Calibri" w:cs="Calibri" w:eastAsia="Calibri" w:hAnsi="Calibri"/>
          <w:sz w:val="19"/>
          <w:szCs w:val="19"/>
        </w:rPr>
        <w:t xml:space="preserve">Политика предполагает, что участница только подтверждает ознакомление с противопоказаниями, а сведения о здоровье не собираются. Если программа требует анкету о здоровье, нужен отдельный пункт и отдельное письменное согласие.</w:t>
      </w:r>
    </w:p>
    <w:p>
      <w:pPr>
        <w:spacing w:after="0" w:before="90" w:line="214"/>
        <w:jc w:val="both"/>
      </w:pPr>
      <w:r>
        <w:rPr>
          <w:rFonts w:ascii="Calibri" w:cs="Calibri" w:eastAsia="Calibri" w:hAnsi="Calibri"/>
          <w:color w:val="777777"/>
          <w:sz w:val="17"/>
          <w:szCs w:val="17"/>
        </w:rPr>
        <w:t xml:space="preserve">Исправления в ранее переданных документах: статья о рекомендательных технологиях — 10.2-2 закона 149-ФЗ, а не 10.2-1; в описании продукта исправлено утверждение о том, что голосовой ввод не передаёт данные на сторонние серверы.</w:t>
      </w:r>
    </w:p>
    <w:sectPr>
      <w:footerReference w:type="default" r:id="rId7"/>
      <w:pgSz w:w="11906" w:h="16838" w:orient="portrait"/>
      <w:pgMar w:top="820" w:right="992" w:bottom="680" w:left="9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t xml:space="preserve">Eva Space · комментарии к проекту Политики · не публикуется · стр. </w:t>
    </w: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Комментарии к проекту Политики обработки персональных данных</dc:title>
  <dc:creator>Eva Space</dc:creator>
  <cp:lastModifiedBy>Un-named</cp:lastModifiedBy>
  <cp:revision>1</cp:revision>
  <dcterms:created xsi:type="dcterms:W3CDTF">2026-10-01T09:00:10.081Z</dcterms:created>
  <dcterms:modified xsi:type="dcterms:W3CDTF">2026-10-01T09:00:10.081Z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