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30"/>
        <w:jc w:val="center"/>
      </w:pPr>
      <w:r>
        <w:rPr>
          <w:rFonts w:ascii="Calibri" w:cs="Calibri" w:eastAsia="Calibri" w:hAnsi="Calibri"/>
          <w:b/>
          <w:bCs/>
          <w:color w:val="5B2C6F"/>
          <w:sz w:val="28"/>
          <w:szCs w:val="28"/>
        </w:rPr>
        <w:t xml:space="preserve">ПАРТНЁРСКОЕ СОГЛАШЕНИЕ</w:t>
      </w:r>
    </w:p>
    <w:p>
      <w:pPr>
        <w:spacing w:after="130"/>
        <w:jc w:val="center"/>
      </w:pPr>
      <w:r>
        <w:rPr>
          <w:rFonts w:ascii="Calibri" w:cs="Calibri" w:eastAsia="Calibri" w:hAnsi="Calibri"/>
          <w:color w:val="555555"/>
          <w:sz w:val="19"/>
          <w:szCs w:val="19"/>
        </w:rPr>
        <w:t xml:space="preserve">о создании и совместном ведении бизнеса · проект Eva Space</w:t>
      </w:r>
    </w:p>
    <w:p>
      <w:pPr>
        <w:tabs>
          <w:tab w:val="right" w:pos="9922"/>
        </w:tabs>
        <w:spacing w:after="110"/>
      </w:pPr>
      <w:r>
        <w:rPr>
          <w:rFonts w:ascii="Calibri" w:cs="Calibri" w:eastAsia="Calibri" w:hAnsi="Calibri"/>
          <w:sz w:val="19"/>
          <w:szCs w:val="19"/>
        </w:rPr>
        <w:t xml:space="preserve">г. ___________________</w:t>
      </w:r>
      <w:r>
        <w:rPr>
          <w:rFonts w:ascii="Calibri" w:cs="Calibri" w:eastAsia="Calibri" w:hAnsi="Calibri"/>
          <w:sz w:val="19"/>
          <w:szCs w:val="19"/>
        </w:rPr>
        <w:t xml:space="preserve">	</w:t>
      </w:r>
      <w:r>
        <w:rPr>
          <w:rFonts w:ascii="Calibri" w:cs="Calibri" w:eastAsia="Calibri" w:hAnsi="Calibri"/>
          <w:sz w:val="19"/>
          <w:szCs w:val="19"/>
        </w:rPr>
        <w:t xml:space="preserve">«____» _____________ 2026 г.</w:t>
      </w:r>
    </w:p>
    <w:p>
      <w:pPr>
        <w:spacing w:after="50" w:line="210"/>
        <w:jc w:val="left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Ковалёв Кирилл Викторович</w:t>
      </w:r>
      <w:r>
        <w:rPr>
          <w:rFonts w:ascii="Calibri" w:cs="Calibri" w:eastAsia="Calibri" w:hAnsi="Calibri"/>
          <w:sz w:val="19"/>
          <w:szCs w:val="19"/>
        </w:rPr>
        <w:t xml:space="preserve">, паспорт _________________, адрес регистрации ______________________________, далее — «</w:t>
      </w:r>
      <w:r>
        <w:rPr>
          <w:rFonts w:ascii="Calibri" w:cs="Calibri" w:eastAsia="Calibri" w:hAnsi="Calibri"/>
          <w:b/>
          <w:bCs/>
          <w:sz w:val="19"/>
          <w:szCs w:val="19"/>
        </w:rPr>
        <w:t xml:space="preserve">Основатель</w:t>
      </w:r>
      <w:r>
        <w:rPr>
          <w:rFonts w:ascii="Calibri" w:cs="Calibri" w:eastAsia="Calibri" w:hAnsi="Calibri"/>
          <w:sz w:val="19"/>
          <w:szCs w:val="19"/>
        </w:rPr>
        <w:t xml:space="preserve">», и </w:t>
      </w:r>
      <w:r>
        <w:rPr>
          <w:rFonts w:ascii="Calibri" w:cs="Calibri" w:eastAsia="Calibri" w:hAnsi="Calibri"/>
          <w:b/>
          <w:bCs/>
          <w:sz w:val="19"/>
          <w:szCs w:val="19"/>
        </w:rPr>
        <w:t xml:space="preserve">Мехов Артемий _________________</w:t>
      </w:r>
      <w:r>
        <w:rPr>
          <w:rFonts w:ascii="Calibri" w:cs="Calibri" w:eastAsia="Calibri" w:hAnsi="Calibri"/>
          <w:sz w:val="19"/>
          <w:szCs w:val="19"/>
        </w:rPr>
        <w:t xml:space="preserve">, паспорт _________________, адрес регистрации ______________________________, далее — «</w:t>
      </w:r>
      <w:r>
        <w:rPr>
          <w:rFonts w:ascii="Calibri" w:cs="Calibri" w:eastAsia="Calibri" w:hAnsi="Calibri"/>
          <w:b/>
          <w:bCs/>
          <w:sz w:val="19"/>
          <w:szCs w:val="19"/>
        </w:rPr>
        <w:t xml:space="preserve">Сооснователь</w:t>
      </w:r>
      <w:r>
        <w:rPr>
          <w:rFonts w:ascii="Calibri" w:cs="Calibri" w:eastAsia="Calibri" w:hAnsi="Calibri"/>
          <w:sz w:val="19"/>
          <w:szCs w:val="19"/>
        </w:rPr>
        <w:t xml:space="preserve">», вместе — «Стороны», заключили настоящее Соглашение о нижеследующем.</w:t>
      </w:r>
    </w:p>
    <w:p>
      <w:pPr>
        <w:spacing w:after="40" w:before="85"/>
      </w:pPr>
      <w:r>
        <w:rPr>
          <w:rFonts w:ascii="Calibri" w:cs="Calibri" w:eastAsia="Calibri" w:hAnsi="Calibri"/>
          <w:b/>
          <w:bCs/>
          <w:color w:val="5B2C6F"/>
          <w:sz w:val="21"/>
          <w:szCs w:val="21"/>
        </w:rPr>
        <w:t xml:space="preserve">1. Предмет и статус Соглашения</w:t>
      </w:r>
    </w:p>
    <w:p>
      <w:pPr>
        <w:pStyle w:val="ListParagraph"/>
        <w:numPr>
          <w:ilvl w:val="0"/>
          <w:numId w:val="2"/>
        </w:numPr>
        <w:spacing w:after="38" w:line="210"/>
        <w:jc w:val="both"/>
      </w:pPr>
      <w:r>
        <w:rPr>
          <w:rFonts w:ascii="Calibri" w:cs="Calibri" w:eastAsia="Calibri" w:hAnsi="Calibri"/>
          <w:sz w:val="19"/>
          <w:szCs w:val="19"/>
        </w:rPr>
        <w:t xml:space="preserve">Стороны совместно развивают проект Eva Space — цифровую платформу женского развития (мастер-классы, практики, эксперты, живые эфиры, офлайн-мероприятия, маркет) — и создают для этого общество с ограниченной ответственностью (далее — «Общество»).</w:t>
      </w:r>
    </w:p>
    <w:p>
      <w:pPr>
        <w:pStyle w:val="ListParagraph"/>
        <w:numPr>
          <w:ilvl w:val="0"/>
          <w:numId w:val="2"/>
        </w:numPr>
        <w:spacing w:after="38" w:line="210"/>
        <w:jc w:val="both"/>
      </w:pPr>
      <w:r>
        <w:rPr>
          <w:rFonts w:ascii="Calibri" w:cs="Calibri" w:eastAsia="Calibri" w:hAnsi="Calibri"/>
          <w:sz w:val="19"/>
          <w:szCs w:val="19"/>
        </w:rPr>
        <w:t xml:space="preserve">Соглашение фиксирует договорённости Сторон </w:t>
      </w:r>
      <w:r>
        <w:rPr>
          <w:rFonts w:ascii="Calibri" w:cs="Calibri" w:eastAsia="Calibri" w:hAnsi="Calibri"/>
          <w:b/>
          <w:bCs/>
          <w:sz w:val="19"/>
          <w:szCs w:val="19"/>
        </w:rPr>
        <w:t xml:space="preserve">до регистрации Общества</w:t>
      </w:r>
      <w:r>
        <w:rPr>
          <w:rFonts w:ascii="Calibri" w:cs="Calibri" w:eastAsia="Calibri" w:hAnsi="Calibri"/>
          <w:sz w:val="19"/>
          <w:szCs w:val="19"/>
        </w:rPr>
        <w:t xml:space="preserve"> и обязывает их добросовестно оформить эти договорённости корпоративными документами: в течение 30 дней после регистрации Стороны подписывают устав и корпоративный договор (ст. 67.2 ГК РФ), воспроизводящие условия Соглашения. С этого момента корпоративный договор имеет приоритет в урегулированной им части.</w:t>
      </w:r>
    </w:p>
    <w:p>
      <w:pPr>
        <w:pStyle w:val="ListParagraph"/>
        <w:numPr>
          <w:ilvl w:val="0"/>
          <w:numId w:val="2"/>
        </w:numPr>
        <w:spacing w:after="38" w:line="210"/>
        <w:jc w:val="both"/>
      </w:pPr>
      <w:r>
        <w:rPr>
          <w:rFonts w:ascii="Calibri" w:cs="Calibri" w:eastAsia="Calibri" w:hAnsi="Calibri"/>
          <w:sz w:val="19"/>
          <w:szCs w:val="19"/>
        </w:rPr>
        <w:t xml:space="preserve">Условия о долях и голосовании получают полную судебную защиту только после регистрации Общества и подписания корпоративного договора; Стороны обязуются не уклоняться от их оформления.</w:t>
      </w:r>
    </w:p>
    <w:p>
      <w:pPr>
        <w:spacing w:after="40" w:before="85"/>
      </w:pPr>
      <w:r>
        <w:rPr>
          <w:rFonts w:ascii="Calibri" w:cs="Calibri" w:eastAsia="Calibri" w:hAnsi="Calibri"/>
          <w:b/>
          <w:bCs/>
          <w:color w:val="5B2C6F"/>
          <w:sz w:val="21"/>
          <w:szCs w:val="21"/>
        </w:rPr>
        <w:t xml:space="preserve">2. Создание Общества и доли</w:t>
      </w:r>
    </w:p>
    <w:p>
      <w:pPr>
        <w:pStyle w:val="ListParagraph"/>
        <w:numPr>
          <w:ilvl w:val="0"/>
          <w:numId w:val="3"/>
        </w:numPr>
        <w:spacing w:after="38" w:line="210"/>
        <w:jc w:val="both"/>
      </w:pPr>
      <w:r>
        <w:rPr>
          <w:rFonts w:ascii="Calibri" w:cs="Calibri" w:eastAsia="Calibri" w:hAnsi="Calibri"/>
          <w:sz w:val="19"/>
          <w:szCs w:val="19"/>
        </w:rPr>
        <w:t xml:space="preserve">Стороны обязуются зарегистрировать Общество </w:t>
      </w:r>
      <w:r>
        <w:rPr>
          <w:rFonts w:ascii="Calibri" w:cs="Calibri" w:eastAsia="Calibri" w:hAnsi="Calibri"/>
          <w:b/>
          <w:bCs/>
          <w:sz w:val="19"/>
          <w:szCs w:val="19"/>
        </w:rPr>
        <w:t xml:space="preserve">в течение 30 (тридцати) календарных дней</w:t>
      </w:r>
      <w:r>
        <w:rPr>
          <w:rFonts w:ascii="Calibri" w:cs="Calibri" w:eastAsia="Calibri" w:hAnsi="Calibri"/>
          <w:sz w:val="19"/>
          <w:szCs w:val="19"/>
        </w:rPr>
        <w:t xml:space="preserve"> с даты подписания Соглашения. Рабочее наименование — ООО «Ева Спейс»; основной ОКВЭД выбирается из перечня, дающего право на аккредитацию ИТ-компании.</w:t>
      </w:r>
    </w:p>
    <w:p>
      <w:pPr>
        <w:pStyle w:val="ListParagraph"/>
        <w:numPr>
          <w:ilvl w:val="0"/>
          <w:numId w:val="3"/>
        </w:numPr>
        <w:spacing w:after="38" w:line="210"/>
        <w:jc w:val="both"/>
      </w:pPr>
      <w:r>
        <w:rPr>
          <w:rFonts w:ascii="Calibri" w:cs="Calibri" w:eastAsia="Calibri" w:hAnsi="Calibri"/>
          <w:sz w:val="19"/>
          <w:szCs w:val="19"/>
        </w:rPr>
        <w:t xml:space="preserve">Доли распределяются: Основатель — </w:t>
      </w:r>
      <w:r>
        <w:rPr>
          <w:rFonts w:ascii="Calibri" w:cs="Calibri" w:eastAsia="Calibri" w:hAnsi="Calibri"/>
          <w:b/>
          <w:bCs/>
          <w:sz w:val="19"/>
          <w:szCs w:val="19"/>
        </w:rPr>
        <w:t xml:space="preserve">90 %</w:t>
      </w:r>
      <w:r>
        <w:rPr>
          <w:rFonts w:ascii="Calibri" w:cs="Calibri" w:eastAsia="Calibri" w:hAnsi="Calibri"/>
          <w:sz w:val="19"/>
          <w:szCs w:val="19"/>
        </w:rPr>
        <w:t xml:space="preserve">, Сооснователь — </w:t>
      </w:r>
      <w:r>
        <w:rPr>
          <w:rFonts w:ascii="Calibri" w:cs="Calibri" w:eastAsia="Calibri" w:hAnsi="Calibri"/>
          <w:b/>
          <w:bCs/>
          <w:sz w:val="19"/>
          <w:szCs w:val="19"/>
        </w:rPr>
        <w:t xml:space="preserve">10 %</w:t>
      </w:r>
      <w:r>
        <w:rPr>
          <w:rFonts w:ascii="Calibri" w:cs="Calibri" w:eastAsia="Calibri" w:hAnsi="Calibri"/>
          <w:sz w:val="19"/>
          <w:szCs w:val="19"/>
        </w:rPr>
        <w:t xml:space="preserve">. Генеральным директором назначается </w:t>
      </w:r>
      <w:r>
        <w:rPr>
          <w:rFonts w:ascii="Calibri" w:cs="Calibri" w:eastAsia="Calibri" w:hAnsi="Calibri"/>
          <w:b/>
          <w:bCs/>
          <w:sz w:val="19"/>
          <w:szCs w:val="19"/>
        </w:rPr>
        <w:t xml:space="preserve">Ковалёв К. В.</w:t>
      </w:r>
      <w:r>
        <w:rPr>
          <w:rFonts w:ascii="Calibri" w:cs="Calibri" w:eastAsia="Calibri" w:hAnsi="Calibri"/>
          <w:sz w:val="19"/>
          <w:szCs w:val="19"/>
        </w:rPr>
        <w:t xml:space="preserve">; Сооснователь занимает должность </w:t>
      </w:r>
      <w:r>
        <w:rPr>
          <w:rFonts w:ascii="Calibri" w:cs="Calibri" w:eastAsia="Calibri" w:hAnsi="Calibri"/>
          <w:b/>
          <w:bCs/>
          <w:sz w:val="19"/>
          <w:szCs w:val="19"/>
        </w:rPr>
        <w:t xml:space="preserve">финансового директора</w:t>
      </w:r>
      <w:r>
        <w:rPr>
          <w:rFonts w:ascii="Calibri" w:cs="Calibri" w:eastAsia="Calibri" w:hAnsi="Calibri"/>
          <w:sz w:val="19"/>
          <w:szCs w:val="19"/>
        </w:rPr>
        <w:t xml:space="preserve"> и получает полный доступ к финансовым данным Общества: счетам, учётной системе, договорам и отчётности.</w:t>
      </w:r>
    </w:p>
    <w:p>
      <w:pPr>
        <w:pStyle w:val="ListParagraph"/>
        <w:numPr>
          <w:ilvl w:val="0"/>
          <w:numId w:val="3"/>
        </w:numPr>
        <w:spacing w:after="38" w:line="210"/>
        <w:jc w:val="both"/>
      </w:pPr>
      <w:r>
        <w:rPr>
          <w:rFonts w:ascii="Calibri" w:cs="Calibri" w:eastAsia="Calibri" w:hAnsi="Calibri"/>
          <w:sz w:val="19"/>
          <w:szCs w:val="19"/>
        </w:rPr>
        <w:t xml:space="preserve">Уставный капитал формируется в минимальном размере пропорционально долям. Вклад Сооснователя сверх номинальной стоимости доли оформляется вкладом в имущество Общества (ст. 27 Закона об ООО) без изменения долей либо иным способом, согласованным с юристом и бухгалтером, — так, чтобы итоговое соотношение долей составило 90/10.</w:t>
      </w:r>
    </w:p>
    <w:p>
      <w:pPr>
        <w:pStyle w:val="ListParagraph"/>
        <w:numPr>
          <w:ilvl w:val="0"/>
          <w:numId w:val="3"/>
        </w:numPr>
        <w:spacing w:after="38" w:line="210"/>
        <w:jc w:val="both"/>
      </w:pPr>
      <w:r>
        <w:rPr>
          <w:rFonts w:ascii="Calibri" w:cs="Calibri" w:eastAsia="Calibri" w:hAnsi="Calibri"/>
          <w:sz w:val="19"/>
          <w:szCs w:val="19"/>
        </w:rPr>
        <w:t xml:space="preserve">До регистрации Общества ни одна из Сторон не вправе использовать наименование, домены, бренд и наработки проекта в своих интересах или в интересах третьих лиц.</w:t>
      </w:r>
    </w:p>
    <w:p>
      <w:pPr>
        <w:spacing w:after="40" w:before="85"/>
      </w:pPr>
      <w:r>
        <w:rPr>
          <w:rFonts w:ascii="Calibri" w:cs="Calibri" w:eastAsia="Calibri" w:hAnsi="Calibri"/>
          <w:b/>
          <w:bCs/>
          <w:color w:val="5B2C6F"/>
          <w:sz w:val="21"/>
          <w:szCs w:val="21"/>
        </w:rPr>
        <w:t xml:space="preserve">3. Вклад Сооснователя</w:t>
      </w:r>
    </w:p>
    <w:p>
      <w:pPr>
        <w:pStyle w:val="ListParagraph"/>
        <w:numPr>
          <w:ilvl w:val="0"/>
          <w:numId w:val="4"/>
        </w:numPr>
        <w:spacing w:after="38" w:line="210"/>
        <w:jc w:val="both"/>
      </w:pPr>
      <w:r>
        <w:rPr>
          <w:rFonts w:ascii="Calibri" w:cs="Calibri" w:eastAsia="Calibri" w:hAnsi="Calibri"/>
          <w:sz w:val="19"/>
          <w:szCs w:val="19"/>
        </w:rPr>
        <w:t xml:space="preserve">Сооснователь приобретает долю 10 % за </w:t>
      </w:r>
      <w:r>
        <w:rPr>
          <w:rFonts w:ascii="Calibri" w:cs="Calibri" w:eastAsia="Calibri" w:hAnsi="Calibri"/>
          <w:b/>
          <w:bCs/>
          <w:sz w:val="19"/>
          <w:szCs w:val="19"/>
        </w:rPr>
        <w:t xml:space="preserve">1 000 000 ₽ (один миллион рублей)</w:t>
      </w:r>
      <w:r>
        <w:rPr>
          <w:rFonts w:ascii="Calibri" w:cs="Calibri" w:eastAsia="Calibri" w:hAnsi="Calibri"/>
          <w:sz w:val="19"/>
          <w:szCs w:val="19"/>
        </w:rPr>
        <w:t xml:space="preserve">, которые вносятся так:</w:t>
      </w:r>
    </w:p>
    <w:p>
      <w:pPr>
        <w:spacing w:after="32" w:line="210"/>
        <w:ind w:left="820" w:hanging="190"/>
        <w:jc w:val="both"/>
      </w:pPr>
      <w:r>
        <w:rPr>
          <w:rFonts w:ascii="Calibri" w:cs="Calibri" w:eastAsia="Calibri" w:hAnsi="Calibri"/>
          <w:sz w:val="19"/>
          <w:szCs w:val="19"/>
        </w:rPr>
        <w:t xml:space="preserve">— </w:t>
      </w:r>
      <w:r>
        <w:rPr>
          <w:rFonts w:ascii="Calibri" w:cs="Calibri" w:eastAsia="Calibri" w:hAnsi="Calibri"/>
          <w:b/>
          <w:bCs/>
          <w:sz w:val="19"/>
          <w:szCs w:val="19"/>
        </w:rPr>
        <w:t xml:space="preserve">720 000 ₽</w:t>
      </w:r>
      <w:r>
        <w:rPr>
          <w:rFonts w:ascii="Calibri" w:cs="Calibri" w:eastAsia="Calibri" w:hAnsi="Calibri"/>
          <w:sz w:val="19"/>
          <w:szCs w:val="19"/>
        </w:rPr>
        <w:t xml:space="preserve"> — денежными средствами Сооснователя не позднее 10 рабочих дней с даты открытия расчётного счёта Общества. Платёж, совершённый до регистрации Общества, оформляется распиской Основателя и засчитывается в счёт вклада;</w:t>
      </w:r>
    </w:p>
    <w:p>
      <w:pPr>
        <w:spacing w:after="32" w:line="210"/>
        <w:ind w:left="820" w:hanging="190"/>
        <w:jc w:val="both"/>
      </w:pPr>
      <w:r>
        <w:rPr>
          <w:rFonts w:ascii="Calibri" w:cs="Calibri" w:eastAsia="Calibri" w:hAnsi="Calibri"/>
          <w:sz w:val="19"/>
          <w:szCs w:val="19"/>
        </w:rPr>
        <w:t xml:space="preserve">— </w:t>
      </w:r>
      <w:r>
        <w:rPr>
          <w:rFonts w:ascii="Calibri" w:cs="Calibri" w:eastAsia="Calibri" w:hAnsi="Calibri"/>
          <w:b/>
          <w:bCs/>
          <w:sz w:val="19"/>
          <w:szCs w:val="19"/>
        </w:rPr>
        <w:t xml:space="preserve">280 000 ₽</w:t>
      </w:r>
      <w:r>
        <w:rPr>
          <w:rFonts w:ascii="Calibri" w:cs="Calibri" w:eastAsia="Calibri" w:hAnsi="Calibri"/>
          <w:sz w:val="19"/>
          <w:szCs w:val="19"/>
        </w:rPr>
        <w:t xml:space="preserve"> — вносятся в Общество Основателем за Сооснователя (ст. 313 ГК РФ). Внесением этой суммы </w:t>
      </w:r>
      <w:r>
        <w:rPr>
          <w:rFonts w:ascii="Calibri" w:cs="Calibri" w:eastAsia="Calibri" w:hAnsi="Calibri"/>
          <w:b/>
          <w:bCs/>
          <w:sz w:val="19"/>
          <w:szCs w:val="19"/>
        </w:rPr>
        <w:t xml:space="preserve">полностью прекращается денежный долг Основателя перед Сооснователем в размере 280 000 ₽</w:t>
      </w:r>
      <w:r>
        <w:rPr>
          <w:rFonts w:ascii="Calibri" w:cs="Calibri" w:eastAsia="Calibri" w:hAnsi="Calibri"/>
          <w:sz w:val="19"/>
          <w:szCs w:val="19"/>
        </w:rPr>
        <w:t xml:space="preserve">; после внесения взаимные требования по этому долгу у Сторон отсутствуют.</w:t>
      </w:r>
    </w:p>
    <w:p>
      <w:pPr>
        <w:pStyle w:val="ListParagraph"/>
        <w:numPr>
          <w:ilvl w:val="0"/>
          <w:numId w:val="5"/>
        </w:numPr>
        <w:spacing w:after="38" w:line="210"/>
        <w:jc w:val="both"/>
      </w:pPr>
      <w:r>
        <w:rPr>
          <w:rFonts w:ascii="Calibri" w:cs="Calibri" w:eastAsia="Calibri" w:hAnsi="Calibri"/>
          <w:sz w:val="19"/>
          <w:szCs w:val="19"/>
        </w:rPr>
        <w:t xml:space="preserve">Средства направляются на цели проекта в рамках согласованного бюджета: разработку платформы, юридическую упаковку, регистрацию прав, продвижение, операционные расходы. Полная оплата доли подтверждается актом Сторон в течение 5 рабочих дней после поступления средств.</w:t>
      </w:r>
    </w:p>
    <w:p>
      <w:pPr>
        <w:spacing w:after="40" w:before="85"/>
      </w:pPr>
      <w:r>
        <w:rPr>
          <w:rFonts w:ascii="Calibri" w:cs="Calibri" w:eastAsia="Calibri" w:hAnsi="Calibri"/>
          <w:b/>
          <w:bCs/>
          <w:color w:val="5B2C6F"/>
          <w:sz w:val="21"/>
          <w:szCs w:val="21"/>
        </w:rPr>
        <w:t xml:space="preserve">4. Зоны ответственности</w:t>
      </w:r>
    </w:p>
    <w:p>
      <w:pPr>
        <w:spacing w:after="50" w:line="210"/>
        <w:jc w:val="both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Основатель (генеральный директор). </w:t>
      </w:r>
      <w:r>
        <w:rPr>
          <w:rFonts w:ascii="Calibri" w:cs="Calibri" w:eastAsia="Calibri" w:hAnsi="Calibri"/>
          <w:sz w:val="19"/>
          <w:szCs w:val="19"/>
        </w:rPr>
        <w:t xml:space="preserve">Стратегия и продукт: видение, дорожная карта, приоритеты, метрики, финальное слово по продукту. Технологии: архитектура, подрядчики и разработчики, сроки релизов, качество и безопасность платформы. Контент и эксперты: отбор экспертов, редакционная политика, модерация. Маркетинг и продажи: каналы привлечения, бренд, партнёрства, воронка и конверсии. Операционное управление, текущий найм, представительство Общества.</w:t>
      </w:r>
    </w:p>
    <w:p>
      <w:pPr>
        <w:spacing w:after="50" w:line="210"/>
        <w:jc w:val="both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Сооснователь (финансовый директор). </w:t>
      </w:r>
      <w:r>
        <w:rPr>
          <w:rFonts w:ascii="Calibri" w:cs="Calibri" w:eastAsia="Calibri" w:hAnsi="Calibri"/>
          <w:sz w:val="19"/>
          <w:szCs w:val="19"/>
        </w:rPr>
        <w:t xml:space="preserve">Финансовая модель: юнит-экономика, годовой и квартальный бюджет, план-факт, прогноз денежного потока. Учёт и налоги: бухгалтерия, налоговый режим, ИТ-аккредитация и льготы, сроки отчётности. Казначейство: платёжная дисциплина, касса и эквайринг, расчёты с экспертами, контроль расходов. Юридическая упаковка совместно с юристом: оферты, персональные данные, договоры, лицензии, реестры. Инвестиции: материалы, переговоры с инвесторами, структурирование раундов, отчётность инвесторам.</w:t>
      </w:r>
    </w:p>
    <w:p>
      <w:pPr>
        <w:spacing w:after="58" w:before="60" w:line="210"/>
        <w:jc w:val="both"/>
      </w:pPr>
      <w:r>
        <w:rPr>
          <w:rFonts w:ascii="Calibri" w:cs="Calibri" w:eastAsia="Calibri" w:hAnsi="Calibri"/>
          <w:sz w:val="19"/>
          <w:szCs w:val="19"/>
        </w:rPr>
        <w:t xml:space="preserve">Ключевые позиции и уровни оплаты согласуются обеими Сторонами. Каждая Сторона самостоятельно принимает решения в своей зоне, отвечает за результат и своевременно сообщает другой Стороне о существенных проблемах. Стороны проводят еженедельную рабочую встречу и ежемесячный разбор финансов; ключевые решения фиксируются письменно.</w:t>
      </w:r>
    </w:p>
    <w:p>
      <w:pPr>
        <w:spacing w:after="40" w:before="85"/>
      </w:pPr>
      <w:r>
        <w:rPr>
          <w:rFonts w:ascii="Calibri" w:cs="Calibri" w:eastAsia="Calibri" w:hAnsi="Calibri"/>
          <w:b/>
          <w:bCs/>
          <w:color w:val="5B2C6F"/>
          <w:sz w:val="21"/>
          <w:szCs w:val="21"/>
        </w:rPr>
        <w:t xml:space="preserve">5. Решения, требующие согласия обеих Сторон</w:t>
      </w:r>
    </w:p>
    <w:p>
      <w:pPr>
        <w:spacing w:after="50" w:line="210"/>
        <w:jc w:val="both"/>
      </w:pPr>
      <w:r>
        <w:rPr>
          <w:rFonts w:ascii="Calibri" w:cs="Calibri" w:eastAsia="Calibri" w:hAnsi="Calibri"/>
          <w:sz w:val="19"/>
          <w:szCs w:val="19"/>
        </w:rPr>
        <w:t xml:space="preserve">Независимо от размера долей, следующие решения принимаются только при письменном согласии обеих Сторон:</w:t>
      </w:r>
    </w:p>
    <w:p>
      <w:pPr>
        <w:spacing w:after="32" w:line="210"/>
        <w:ind w:left="820" w:hanging="190"/>
        <w:jc w:val="both"/>
      </w:pPr>
      <w:r>
        <w:rPr>
          <w:rFonts w:ascii="Calibri" w:cs="Calibri" w:eastAsia="Calibri" w:hAnsi="Calibri"/>
          <w:sz w:val="19"/>
          <w:szCs w:val="19"/>
        </w:rPr>
        <w:t xml:space="preserve">— </w:t>
      </w:r>
      <w:r>
        <w:rPr>
          <w:rFonts w:ascii="Calibri" w:cs="Calibri" w:eastAsia="Calibri" w:hAnsi="Calibri"/>
          <w:sz w:val="19"/>
          <w:szCs w:val="19"/>
        </w:rPr>
        <w:t xml:space="preserve">утверждение годового бюджета и его превышение более чем на 15 %; сделки вне бюджета свыше 300 000 ₽ разово или свыше 500 000 ₽ за календарный месяц;</w:t>
      </w:r>
    </w:p>
    <w:p>
      <w:pPr>
        <w:spacing w:after="32" w:line="210"/>
        <w:ind w:left="820" w:hanging="190"/>
        <w:jc w:val="both"/>
      </w:pPr>
      <w:r>
        <w:rPr>
          <w:rFonts w:ascii="Calibri" w:cs="Calibri" w:eastAsia="Calibri" w:hAnsi="Calibri"/>
          <w:sz w:val="19"/>
          <w:szCs w:val="19"/>
        </w:rPr>
        <w:t xml:space="preserve">— </w:t>
      </w:r>
      <w:r>
        <w:rPr>
          <w:rFonts w:ascii="Calibri" w:cs="Calibri" w:eastAsia="Calibri" w:hAnsi="Calibri"/>
          <w:sz w:val="19"/>
          <w:szCs w:val="19"/>
        </w:rPr>
        <w:t xml:space="preserve">привлечение инвестиций, займов и кредитов; выдача займов, поручительств и залогов;</w:t>
      </w:r>
    </w:p>
    <w:p>
      <w:pPr>
        <w:spacing w:after="32" w:line="210"/>
        <w:ind w:left="820" w:hanging="190"/>
        <w:jc w:val="both"/>
      </w:pPr>
      <w:r>
        <w:rPr>
          <w:rFonts w:ascii="Calibri" w:cs="Calibri" w:eastAsia="Calibri" w:hAnsi="Calibri"/>
          <w:sz w:val="19"/>
          <w:szCs w:val="19"/>
        </w:rPr>
        <w:t xml:space="preserve">— </w:t>
      </w:r>
      <w:r>
        <w:rPr>
          <w:rFonts w:ascii="Calibri" w:cs="Calibri" w:eastAsia="Calibri" w:hAnsi="Calibri"/>
          <w:sz w:val="19"/>
          <w:szCs w:val="19"/>
        </w:rPr>
        <w:t xml:space="preserve">увеличение уставного капитала, выпуск и отчуждение долей, приём новых участников, опционы сотрудникам;</w:t>
      </w:r>
    </w:p>
    <w:p>
      <w:pPr>
        <w:spacing w:after="32" w:line="210"/>
        <w:ind w:left="820" w:hanging="190"/>
        <w:jc w:val="both"/>
      </w:pPr>
      <w:r>
        <w:rPr>
          <w:rFonts w:ascii="Calibri" w:cs="Calibri" w:eastAsia="Calibri" w:hAnsi="Calibri"/>
          <w:sz w:val="19"/>
          <w:szCs w:val="19"/>
        </w:rPr>
        <w:t xml:space="preserve">— </w:t>
      </w:r>
      <w:r>
        <w:rPr>
          <w:rFonts w:ascii="Calibri" w:cs="Calibri" w:eastAsia="Calibri" w:hAnsi="Calibri"/>
          <w:sz w:val="19"/>
          <w:szCs w:val="19"/>
        </w:rPr>
        <w:t xml:space="preserve">смена генерального директора; распределение прибыли и выплата дивидендов; отчуждение, залог или исключительное лицензирование интеллектуальной собственности проекта (код, бренд, контент, домены);</w:t>
      </w:r>
    </w:p>
    <w:p>
      <w:pPr>
        <w:spacing w:after="32" w:line="210"/>
        <w:ind w:left="820" w:hanging="190"/>
        <w:jc w:val="both"/>
      </w:pPr>
      <w:r>
        <w:rPr>
          <w:rFonts w:ascii="Calibri" w:cs="Calibri" w:eastAsia="Calibri" w:hAnsi="Calibri"/>
          <w:sz w:val="19"/>
          <w:szCs w:val="19"/>
        </w:rPr>
        <w:t xml:space="preserve">— </w:t>
      </w:r>
      <w:r>
        <w:rPr>
          <w:rFonts w:ascii="Calibri" w:cs="Calibri" w:eastAsia="Calibri" w:hAnsi="Calibri"/>
          <w:sz w:val="19"/>
          <w:szCs w:val="19"/>
        </w:rPr>
        <w:t xml:space="preserve">создание новых юридических лиц в периметре проекта, реорганизация, ликвидация, продажа бизнеса; сделки с аффилированными лицами Сторон.</w:t>
      </w:r>
    </w:p>
    <w:p>
      <w:pPr>
        <w:spacing w:after="40" w:before="85"/>
      </w:pPr>
      <w:r>
        <w:rPr>
          <w:rFonts w:ascii="Calibri" w:cs="Calibri" w:eastAsia="Calibri" w:hAnsi="Calibri"/>
          <w:b/>
          <w:bCs/>
          <w:color w:val="5B2C6F"/>
          <w:sz w:val="21"/>
          <w:szCs w:val="21"/>
        </w:rPr>
        <w:t xml:space="preserve">6. Прибыль и возврат инвестиций</w:t>
      </w:r>
    </w:p>
    <w:p>
      <w:pPr>
        <w:pStyle w:val="ListParagraph"/>
        <w:numPr>
          <w:ilvl w:val="0"/>
          <w:numId w:val="6"/>
        </w:numPr>
        <w:spacing w:after="38" w:line="210"/>
        <w:jc w:val="both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50 % (пятьдесят процентов) чистой прибыли</w:t>
      </w:r>
      <w:r>
        <w:rPr>
          <w:rFonts w:ascii="Calibri" w:cs="Calibri" w:eastAsia="Calibri" w:hAnsi="Calibri"/>
          <w:sz w:val="19"/>
          <w:szCs w:val="19"/>
        </w:rPr>
        <w:t xml:space="preserve"> Общества направляется на возврат ранее внесённых инвестиций. Выплаты распределяются между инвесторами пропорционально суммам их вложений, отражённым в реестре инвестиций Общества, до полного возврата этих сумм. Первым в реестр вносится вклад Сооснователя — 1 000 000 ₽; последующие вложения участников и третьих лиц вносятся в порядке поступления.</w:t>
      </w:r>
    </w:p>
    <w:p>
      <w:pPr>
        <w:pStyle w:val="ListParagraph"/>
        <w:numPr>
          <w:ilvl w:val="0"/>
          <w:numId w:val="6"/>
        </w:numPr>
        <w:spacing w:after="38" w:line="210"/>
        <w:jc w:val="both"/>
      </w:pPr>
      <w:r>
        <w:rPr>
          <w:rFonts w:ascii="Calibri" w:cs="Calibri" w:eastAsia="Calibri" w:hAnsi="Calibri"/>
          <w:sz w:val="19"/>
          <w:szCs w:val="19"/>
        </w:rPr>
        <w:t xml:space="preserve">Оставшиеся 50 % чистой прибыли реинвестируются в развитие проекта либо распределяются между участниками пропорционально долям — по совместному решению Сторон.</w:t>
      </w:r>
    </w:p>
    <w:p>
      <w:pPr>
        <w:pStyle w:val="ListParagraph"/>
        <w:numPr>
          <w:ilvl w:val="0"/>
          <w:numId w:val="6"/>
        </w:numPr>
        <w:spacing w:after="38" w:line="210"/>
        <w:jc w:val="both"/>
      </w:pPr>
      <w:r>
        <w:rPr>
          <w:rFonts w:ascii="Calibri" w:cs="Calibri" w:eastAsia="Calibri" w:hAnsi="Calibri"/>
          <w:sz w:val="19"/>
          <w:szCs w:val="19"/>
        </w:rPr>
        <w:t xml:space="preserve">Возврат инвестиций </w:t>
      </w:r>
      <w:r>
        <w:rPr>
          <w:rFonts w:ascii="Calibri" w:cs="Calibri" w:eastAsia="Calibri" w:hAnsi="Calibri"/>
          <w:b/>
          <w:bCs/>
          <w:sz w:val="19"/>
          <w:szCs w:val="19"/>
        </w:rPr>
        <w:t xml:space="preserve">не уменьшает долю</w:t>
      </w:r>
      <w:r>
        <w:rPr>
          <w:rFonts w:ascii="Calibri" w:cs="Calibri" w:eastAsia="Calibri" w:hAnsi="Calibri"/>
          <w:sz w:val="19"/>
          <w:szCs w:val="19"/>
        </w:rPr>
        <w:t xml:space="preserve"> получившего его участника и не является выкупом доли. После полного возврата инвестиций прибыль распределяется пропорционально долям, если Стороны не договорятся иначе.</w:t>
      </w:r>
    </w:p>
    <w:p>
      <w:pPr>
        <w:pStyle w:val="ListParagraph"/>
        <w:numPr>
          <w:ilvl w:val="0"/>
          <w:numId w:val="6"/>
        </w:numPr>
        <w:spacing w:after="38" w:line="210"/>
        <w:jc w:val="both"/>
      </w:pPr>
      <w:r>
        <w:rPr>
          <w:rFonts w:ascii="Calibri" w:cs="Calibri" w:eastAsia="Calibri" w:hAnsi="Calibri"/>
          <w:sz w:val="19"/>
          <w:szCs w:val="19"/>
        </w:rPr>
        <w:t xml:space="preserve">Выплаты производятся только при положительных чистых активах и отсутствии просроченных обязательств Общества; при недостатке средств выплата переносится на следующий период.</w:t>
      </w:r>
    </w:p>
    <w:p>
      <w:pPr>
        <w:spacing w:after="40" w:before="85"/>
      </w:pPr>
      <w:r>
        <w:rPr>
          <w:rFonts w:ascii="Calibri" w:cs="Calibri" w:eastAsia="Calibri" w:hAnsi="Calibri"/>
          <w:b/>
          <w:bCs/>
          <w:color w:val="5B2C6F"/>
          <w:sz w:val="21"/>
          <w:szCs w:val="21"/>
        </w:rPr>
        <w:t xml:space="preserve">7. Новые партнёры, докапитализация, защита доли Сооснователя</w:t>
      </w:r>
    </w:p>
    <w:p>
      <w:pPr>
        <w:pStyle w:val="ListParagraph"/>
        <w:numPr>
          <w:ilvl w:val="0"/>
          <w:numId w:val="7"/>
        </w:numPr>
        <w:spacing w:after="38" w:line="210"/>
        <w:jc w:val="both"/>
      </w:pPr>
      <w:r>
        <w:rPr>
          <w:rFonts w:ascii="Calibri" w:cs="Calibri" w:eastAsia="Calibri" w:hAnsi="Calibri"/>
          <w:sz w:val="19"/>
          <w:szCs w:val="19"/>
        </w:rPr>
        <w:t xml:space="preserve">Стороны считают желательным привлечение третьих лиц — инвесторов, стратегических и операционных партнёров, ключевых сотрудников с опционами. Условия входа нового участника согласуются обеими Сторонами.</w:t>
      </w:r>
    </w:p>
    <w:p>
      <w:pPr>
        <w:pStyle w:val="ListParagraph"/>
        <w:numPr>
          <w:ilvl w:val="0"/>
          <w:numId w:val="7"/>
        </w:numPr>
        <w:spacing w:after="38" w:line="210"/>
        <w:jc w:val="both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Докапитализация. </w:t>
      </w:r>
      <w:r>
        <w:rPr>
          <w:rFonts w:ascii="Calibri" w:cs="Calibri" w:eastAsia="Calibri" w:hAnsi="Calibri"/>
          <w:sz w:val="19"/>
          <w:szCs w:val="19"/>
        </w:rPr>
        <w:t xml:space="preserve">Стороны допускают дополнительные вклады участников в Общество. Участник, внёсший такой вклад, вправе увеличить свою долю пропорционально внесённой сумме по оценке, согласованной Сторонами </w:t>
      </w:r>
      <w:r>
        <w:rPr>
          <w:rFonts w:ascii="Calibri" w:cs="Calibri" w:eastAsia="Calibri" w:hAnsi="Calibri"/>
          <w:b/>
          <w:bCs/>
          <w:sz w:val="19"/>
          <w:szCs w:val="19"/>
        </w:rPr>
        <w:t xml:space="preserve">до</w:t>
      </w:r>
      <w:r>
        <w:rPr>
          <w:rFonts w:ascii="Calibri" w:cs="Calibri" w:eastAsia="Calibri" w:hAnsi="Calibri"/>
          <w:sz w:val="19"/>
          <w:szCs w:val="19"/>
        </w:rPr>
        <w:t xml:space="preserve"> внесения вклада. Другая Сторона вправе внести пропорциональный вклад и сохранить размер доли; если она этого не делает, её доля уменьшается.</w:t>
      </w:r>
    </w:p>
    <w:p>
      <w:pPr>
        <w:pStyle w:val="ListParagraph"/>
        <w:numPr>
          <w:ilvl w:val="0"/>
          <w:numId w:val="7"/>
        </w:numPr>
        <w:spacing w:after="38" w:line="210"/>
        <w:jc w:val="both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Защита доли при первом раунде seed. </w:t>
      </w:r>
      <w:r>
        <w:rPr>
          <w:rFonts w:ascii="Calibri" w:cs="Calibri" w:eastAsia="Calibri" w:hAnsi="Calibri"/>
          <w:sz w:val="19"/>
          <w:szCs w:val="19"/>
        </w:rPr>
        <w:t xml:space="preserve">При первом раунде внешнего финансирования (seed), уменьшающем доли участников, доля Сооснователя </w:t>
      </w:r>
      <w:r>
        <w:rPr>
          <w:rFonts w:ascii="Calibri" w:cs="Calibri" w:eastAsia="Calibri" w:hAnsi="Calibri"/>
          <w:b/>
          <w:bCs/>
          <w:sz w:val="19"/>
          <w:szCs w:val="19"/>
        </w:rPr>
        <w:t xml:space="preserve">не размывается</w:t>
      </w:r>
      <w:r>
        <w:rPr>
          <w:rFonts w:ascii="Calibri" w:cs="Calibri" w:eastAsia="Calibri" w:hAnsi="Calibri"/>
          <w:sz w:val="19"/>
          <w:szCs w:val="19"/>
        </w:rPr>
        <w:t xml:space="preserve"> — она восстанавливается до 10 % за счёт доли Основателя, для чего Основатель выделяет из своей доли до 10 процентных пунктов. Пример: инвестор получает 20 %, доли уменьшаются до 72 % и 8 %, Основатель передаёт Сооснователю 2 процентных пункта; итог — инвестор 20 %, Основатель 70 %, Сооснователь 10 %. Передача оформляется в течение 30 дней после закрытия раунда способом с минимальной налоговой нагрузкой для Сторон.</w:t>
      </w:r>
    </w:p>
    <w:p>
      <w:pPr>
        <w:pStyle w:val="ListParagraph"/>
        <w:numPr>
          <w:ilvl w:val="0"/>
          <w:numId w:val="7"/>
        </w:numPr>
        <w:spacing w:after="38" w:line="210"/>
        <w:jc w:val="both"/>
      </w:pPr>
      <w:r>
        <w:rPr>
          <w:rFonts w:ascii="Calibri" w:cs="Calibri" w:eastAsia="Calibri" w:hAnsi="Calibri"/>
          <w:sz w:val="19"/>
          <w:szCs w:val="19"/>
        </w:rPr>
        <w:t xml:space="preserve">Защита по п. 7.3 применяется однократно — только к первому раунду seed и только к размытию внешним инвестором. Она не применяется при докапитализации участниками (п. 7.2), при формировании опционного пула и в последующих раундах: там доля Сооснователя уменьшается на общих основаниях, если Стороны не договорятся иначе.</w:t>
      </w:r>
    </w:p>
    <w:p>
      <w:pPr>
        <w:spacing w:after="40" w:before="85"/>
      </w:pPr>
      <w:r>
        <w:rPr>
          <w:rFonts w:ascii="Calibri" w:cs="Calibri" w:eastAsia="Calibri" w:hAnsi="Calibri"/>
          <w:b/>
          <w:bCs/>
          <w:color w:val="5B2C6F"/>
          <w:sz w:val="21"/>
          <w:szCs w:val="21"/>
        </w:rPr>
        <w:t xml:space="preserve">8. Признание рисков</w:t>
      </w:r>
    </w:p>
    <w:p>
      <w:pPr>
        <w:pBdr>
          <w:left w:val="single" w:color="9B59B6" w:sz="18" w:space="7"/>
        </w:pBdr>
        <w:shd w:fill="FBF8FD" w:color="auto" w:val="clear"/>
        <w:spacing w:after="90" w:before="80" w:line="210"/>
        <w:ind w:left="160"/>
        <w:jc w:val="both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Стороны прямо подтверждают: </w:t>
      </w:r>
      <w:r>
        <w:rPr>
          <w:rFonts w:ascii="Calibri" w:cs="Calibri" w:eastAsia="Calibri" w:hAnsi="Calibri"/>
          <w:sz w:val="19"/>
          <w:szCs w:val="19"/>
        </w:rPr>
        <w:t xml:space="preserve">вложения в проект являются </w:t>
      </w:r>
      <w:r>
        <w:rPr>
          <w:rFonts w:ascii="Calibri" w:cs="Calibri" w:eastAsia="Calibri" w:hAnsi="Calibri"/>
          <w:b/>
          <w:bCs/>
          <w:sz w:val="19"/>
          <w:szCs w:val="19"/>
        </w:rPr>
        <w:t xml:space="preserve">высокорисковыми инвестициями в стартап</w:t>
      </w:r>
      <w:r>
        <w:rPr>
          <w:rFonts w:ascii="Calibri" w:cs="Calibri" w:eastAsia="Calibri" w:hAnsi="Calibri"/>
          <w:sz w:val="19"/>
          <w:szCs w:val="19"/>
        </w:rPr>
        <w:t xml:space="preserve">. Проект не имеет подтверждённой бизнес-модели и истории прибыли. Ни одна из Сторон не гарантирует другой возврат вложенных средств, прибыль, дивиденды, рост стоимости доли или привлечение последующих раундов; возможна полная утрата вложенных средств. Внесённые средства не являются займом, вкладом или депозитом, не подлежат возврату по требованию и не застрахованы; порядок возврата инвестиций по разделу 6 применяется исключительно при наличии чистой прибыли. Каждая Сторона принимает решение об участии самостоятельно, на основе собственной оценки рисков, и не полагается на прогнозы, не включённые в текст Соглашения.</w:t>
      </w:r>
    </w:p>
    <w:p>
      <w:pPr>
        <w:spacing w:after="40" w:before="85"/>
      </w:pPr>
      <w:r>
        <w:rPr>
          <w:rFonts w:ascii="Calibri" w:cs="Calibri" w:eastAsia="Calibri" w:hAnsi="Calibri"/>
          <w:b/>
          <w:bCs/>
          <w:color w:val="5B2C6F"/>
          <w:sz w:val="21"/>
          <w:szCs w:val="21"/>
        </w:rPr>
        <w:t xml:space="preserve">9. Отчуждение долей, выход, прекращение участия</w:t>
      </w:r>
    </w:p>
    <w:p>
      <w:pPr>
        <w:pStyle w:val="ListParagraph"/>
        <w:numPr>
          <w:ilvl w:val="0"/>
          <w:numId w:val="8"/>
        </w:numPr>
        <w:spacing w:after="38" w:line="210"/>
        <w:jc w:val="both"/>
      </w:pPr>
      <w:r>
        <w:rPr>
          <w:rFonts w:ascii="Calibri" w:cs="Calibri" w:eastAsia="Calibri" w:hAnsi="Calibri"/>
          <w:sz w:val="19"/>
          <w:szCs w:val="19"/>
        </w:rPr>
        <w:t xml:space="preserve">Отчуждение доли или её части третьим лицам допускается только с предварительного письменного согласия другой Стороны, которая имеет преимущественное право приобретения по цене предложения в течение 30 дней с даты уведомления. Добровольный выход участника из Общества с выплатой действительной стоимости доли исключается уставом: выход возможен только через продажу доли по правилам настоящего раздела либо по соглашению Сторон.</w:t>
      </w:r>
    </w:p>
    <w:p>
      <w:pPr>
        <w:pStyle w:val="ListParagraph"/>
        <w:numPr>
          <w:ilvl w:val="0"/>
          <w:numId w:val="8"/>
        </w:numPr>
        <w:spacing w:after="38" w:line="210"/>
        <w:jc w:val="both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Совместная продажа. </w:t>
      </w:r>
      <w:r>
        <w:rPr>
          <w:rFonts w:ascii="Calibri" w:cs="Calibri" w:eastAsia="Calibri" w:hAnsi="Calibri"/>
          <w:sz w:val="19"/>
          <w:szCs w:val="19"/>
        </w:rPr>
        <w:t xml:space="preserve">При продаже Основателем доли, влекущей смену контроля, Сооснователь вправе продать свою долю тому же покупателю на тех же условиях и по той же цене за процент (tag-along). Если участники, владеющие не менее 90 % долей, решили продать 100 % Общества добросовестному покупателю, остальные обязаны продать свои доли на тех же условиях (drag-along).</w:t>
      </w:r>
    </w:p>
    <w:p>
      <w:pPr>
        <w:pStyle w:val="ListParagraph"/>
        <w:numPr>
          <w:ilvl w:val="0"/>
          <w:numId w:val="8"/>
        </w:numPr>
        <w:spacing w:after="38" w:line="210"/>
        <w:jc w:val="both"/>
      </w:pPr>
      <w:r>
        <w:rPr>
          <w:rFonts w:ascii="Calibri" w:cs="Calibri" w:eastAsia="Calibri" w:hAnsi="Calibri"/>
          <w:sz w:val="19"/>
          <w:szCs w:val="19"/>
        </w:rPr>
        <w:t xml:space="preserve">Доля Сооснователя оплачена деньгами и </w:t>
      </w:r>
      <w:r>
        <w:rPr>
          <w:rFonts w:ascii="Calibri" w:cs="Calibri" w:eastAsia="Calibri" w:hAnsi="Calibri"/>
          <w:b/>
          <w:bCs/>
          <w:sz w:val="19"/>
          <w:szCs w:val="19"/>
        </w:rPr>
        <w:t xml:space="preserve">не подлежит вестингу</w:t>
      </w:r>
      <w:r>
        <w:rPr>
          <w:rFonts w:ascii="Calibri" w:cs="Calibri" w:eastAsia="Calibri" w:hAnsi="Calibri"/>
          <w:sz w:val="19"/>
          <w:szCs w:val="19"/>
        </w:rPr>
        <w:t xml:space="preserve">. Прекращение исполнения им функций финансового директора по любому основанию не лишает его доли, но прекращает операционные полномочия и вознаграждение за эту работу; права по разделам 5, 6 и 9 сохраняются.</w:t>
      </w:r>
    </w:p>
    <w:p>
      <w:pPr>
        <w:pStyle w:val="ListParagraph"/>
        <w:numPr>
          <w:ilvl w:val="0"/>
          <w:numId w:val="8"/>
        </w:numPr>
        <w:spacing w:after="38" w:line="210"/>
        <w:jc w:val="both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Нарушение. </w:t>
      </w:r>
      <w:r>
        <w:rPr>
          <w:rFonts w:ascii="Calibri" w:cs="Calibri" w:eastAsia="Calibri" w:hAnsi="Calibri"/>
          <w:sz w:val="19"/>
          <w:szCs w:val="19"/>
        </w:rPr>
        <w:t xml:space="preserve">При существенном нарушении Соглашения (неоплата вклада, вывод активов, нарушение разделов 5 или 10), не устранённом в течение 30 дней после письменного уведомления, добросовестная Сторона вправе потребовать выкупа доли нарушителя с дисконтом 50 % к согласованной рыночной оценке либо расторжения Соглашения с возмещением убытков.</w:t>
      </w:r>
    </w:p>
    <w:p>
      <w:pPr>
        <w:pStyle w:val="ListParagraph"/>
        <w:numPr>
          <w:ilvl w:val="0"/>
          <w:numId w:val="8"/>
        </w:numPr>
        <w:spacing w:after="38" w:line="210"/>
        <w:jc w:val="both"/>
      </w:pPr>
      <w:r>
        <w:rPr>
          <w:rFonts w:ascii="Calibri" w:cs="Calibri" w:eastAsia="Calibri" w:hAnsi="Calibri"/>
          <w:sz w:val="19"/>
          <w:szCs w:val="19"/>
        </w:rPr>
        <w:t xml:space="preserve">Переход доли к наследникам допускается только с согласия другого участника; при отказе наследникам выплачивается действительная стоимость доли в порядке, установленном уставом.</w:t>
      </w:r>
    </w:p>
    <w:p>
      <w:pPr>
        <w:spacing w:after="40" w:before="85"/>
      </w:pPr>
      <w:r>
        <w:rPr>
          <w:rFonts w:ascii="Calibri" w:cs="Calibri" w:eastAsia="Calibri" w:hAnsi="Calibri"/>
          <w:b/>
          <w:bCs/>
          <w:color w:val="5B2C6F"/>
          <w:sz w:val="21"/>
          <w:szCs w:val="21"/>
        </w:rPr>
        <w:t xml:space="preserve">10. Интеллектуальная собственность, конфиденциальность, неконкуренция</w:t>
      </w:r>
    </w:p>
    <w:p>
      <w:pPr>
        <w:pStyle w:val="ListParagraph"/>
        <w:numPr>
          <w:ilvl w:val="0"/>
          <w:numId w:val="9"/>
        </w:numPr>
        <w:spacing w:after="38" w:line="210"/>
        <w:jc w:val="both"/>
      </w:pPr>
      <w:r>
        <w:rPr>
          <w:rFonts w:ascii="Calibri" w:cs="Calibri" w:eastAsia="Calibri" w:hAnsi="Calibri"/>
          <w:sz w:val="19"/>
          <w:szCs w:val="19"/>
        </w:rPr>
        <w:t xml:space="preserve">Все результаты интеллектуальной деятельности, созданные для проекта до и после регистрации Общества (код, дизайн, контент, наименование, домены, товарные знаки, базы данных), принадлежат Обществу. Стороны обязуются в течение 60 дней с даты регистрации оформить отчуждение исключительных прав в пользу Общества, в том числе по договорам с подрядчиками.</w:t>
      </w:r>
    </w:p>
    <w:p>
      <w:pPr>
        <w:pStyle w:val="ListParagraph"/>
        <w:numPr>
          <w:ilvl w:val="0"/>
          <w:numId w:val="9"/>
        </w:numPr>
        <w:spacing w:after="38" w:line="210"/>
        <w:jc w:val="both"/>
      </w:pPr>
      <w:r>
        <w:rPr>
          <w:rFonts w:ascii="Calibri" w:cs="Calibri" w:eastAsia="Calibri" w:hAnsi="Calibri"/>
          <w:sz w:val="19"/>
          <w:szCs w:val="19"/>
        </w:rPr>
        <w:t xml:space="preserve">Стороны сохраняют конфиденциальность финансовых показателей, клиентских и экспертных баз, договоров, технических решений и условий Соглашения — в течение срока участия и 3 лет после его прекращения. В течение срока участия и 12 месяцев после его прекращения Сторона не вправе создавать, финансировать или возглавлять конкурирующий проект аналогичного профиля и переманивать сотрудников, экспертов и подрядчиков Общества.</w:t>
      </w:r>
    </w:p>
    <w:p>
      <w:pPr>
        <w:spacing w:after="40" w:before="85"/>
      </w:pPr>
      <w:r>
        <w:rPr>
          <w:rFonts w:ascii="Calibri" w:cs="Calibri" w:eastAsia="Calibri" w:hAnsi="Calibri"/>
          <w:b/>
          <w:bCs/>
          <w:color w:val="5B2C6F"/>
          <w:sz w:val="21"/>
          <w:szCs w:val="21"/>
        </w:rPr>
        <w:t xml:space="preserve">11. Разрешение споров</w:t>
      </w:r>
    </w:p>
    <w:p>
      <w:pPr>
        <w:pStyle w:val="ListParagraph"/>
        <w:numPr>
          <w:ilvl w:val="0"/>
          <w:numId w:val="10"/>
        </w:numPr>
        <w:spacing w:after="38" w:line="210"/>
        <w:jc w:val="both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Переговоры. </w:t>
      </w:r>
      <w:r>
        <w:rPr>
          <w:rFonts w:ascii="Calibri" w:cs="Calibri" w:eastAsia="Calibri" w:hAnsi="Calibri"/>
          <w:sz w:val="19"/>
          <w:szCs w:val="19"/>
        </w:rPr>
        <w:t xml:space="preserve">Сторона направляет письменное уведомление с описанием разногласия и предлагаемым решением; встреча проводится в течение 10 рабочих дней.</w:t>
      </w:r>
    </w:p>
    <w:p>
      <w:pPr>
        <w:pStyle w:val="ListParagraph"/>
        <w:numPr>
          <w:ilvl w:val="0"/>
          <w:numId w:val="10"/>
        </w:numPr>
        <w:spacing w:after="38" w:line="210"/>
        <w:jc w:val="both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Независимый посредник. </w:t>
      </w:r>
      <w:r>
        <w:rPr>
          <w:rFonts w:ascii="Calibri" w:cs="Calibri" w:eastAsia="Calibri" w:hAnsi="Calibri"/>
          <w:sz w:val="19"/>
          <w:szCs w:val="19"/>
        </w:rPr>
        <w:t xml:space="preserve">Если разногласие не устранено за 15 рабочих дней, Стороны привлекают согласованного независимого специалиста (юриста, финансового консультанта, медиатора). Заключение носит рекомендательный характер, расходы делятся поровну.</w:t>
      </w:r>
    </w:p>
    <w:p>
      <w:pPr>
        <w:pStyle w:val="ListParagraph"/>
        <w:numPr>
          <w:ilvl w:val="0"/>
          <w:numId w:val="10"/>
        </w:numPr>
        <w:spacing w:after="38" w:line="210"/>
        <w:jc w:val="both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Тупиковая ситуация. </w:t>
      </w:r>
      <w:r>
        <w:rPr>
          <w:rFonts w:ascii="Calibri" w:cs="Calibri" w:eastAsia="Calibri" w:hAnsi="Calibri"/>
          <w:sz w:val="19"/>
          <w:szCs w:val="19"/>
        </w:rPr>
        <w:t xml:space="preserve">Если по вопросу из раздела 5 согласие не достигнуто за 30 календарных дней после привлечения посредника и бездействие вредит проекту, вопрос решается голосованием пропорционально долям. Сооснователь при этом вправе в течение 60 дней потребовать выкупа своей доли по оценке независимого оценщика, а Основатель — исполнить требование в согласованный срок либо предложить рассрочку до 12 месяцев.</w:t>
      </w:r>
    </w:p>
    <w:p>
      <w:pPr>
        <w:pStyle w:val="ListParagraph"/>
        <w:numPr>
          <w:ilvl w:val="0"/>
          <w:numId w:val="10"/>
        </w:numPr>
        <w:spacing w:after="38" w:line="210"/>
        <w:jc w:val="both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Суд. </w:t>
      </w:r>
      <w:r>
        <w:rPr>
          <w:rFonts w:ascii="Calibri" w:cs="Calibri" w:eastAsia="Calibri" w:hAnsi="Calibri"/>
          <w:sz w:val="19"/>
          <w:szCs w:val="19"/>
        </w:rPr>
        <w:t xml:space="preserve">Неурегулированные споры передаются в Арбитражный суд по месту нахождения Общества; претензионный порядок — 15 календарных дней. Наличие спора не освобождает Стороны от исполнения текущих обязательств и не приостанавливает работу проекта.</w:t>
      </w:r>
    </w:p>
    <w:p>
      <w:pPr>
        <w:spacing w:after="40" w:before="85"/>
      </w:pPr>
      <w:r>
        <w:rPr>
          <w:rFonts w:ascii="Calibri" w:cs="Calibri" w:eastAsia="Calibri" w:hAnsi="Calibri"/>
          <w:b/>
          <w:bCs/>
          <w:color w:val="5B2C6F"/>
          <w:sz w:val="21"/>
          <w:szCs w:val="21"/>
        </w:rPr>
        <w:t xml:space="preserve">12. Заключительные положения</w:t>
      </w:r>
    </w:p>
    <w:p>
      <w:pPr>
        <w:pStyle w:val="ListParagraph"/>
        <w:numPr>
          <w:ilvl w:val="0"/>
          <w:numId w:val="11"/>
        </w:numPr>
        <w:spacing w:after="38" w:line="210"/>
        <w:jc w:val="both"/>
      </w:pPr>
      <w:r>
        <w:rPr>
          <w:rFonts w:ascii="Calibri" w:cs="Calibri" w:eastAsia="Calibri" w:hAnsi="Calibri"/>
          <w:sz w:val="19"/>
          <w:szCs w:val="19"/>
        </w:rPr>
        <w:t xml:space="preserve">Соглашение вступает в силу с даты подписания и действует до полного исполнения обязательств либо до прекращения участия одной из Сторон в Обществе. Изменения оформляются письменно обеими Сторонами; электронная переписка с согласованных адресов признаётся надлежащим способом обмена уведомлениями, кроме изменения самого Соглашения.</w:t>
      </w:r>
    </w:p>
    <w:p>
      <w:pPr>
        <w:pStyle w:val="ListParagraph"/>
        <w:numPr>
          <w:ilvl w:val="0"/>
          <w:numId w:val="11"/>
        </w:numPr>
        <w:spacing w:after="38" w:line="210"/>
        <w:jc w:val="both"/>
      </w:pPr>
      <w:r>
        <w:rPr>
          <w:rFonts w:ascii="Calibri" w:cs="Calibri" w:eastAsia="Calibri" w:hAnsi="Calibri"/>
          <w:sz w:val="19"/>
          <w:szCs w:val="19"/>
        </w:rPr>
        <w:t xml:space="preserve">Если Общество не будет зарегистрировано в срок по п. 2.1 по вине одной из Сторон, другая Сторона вправе расторгнуть Соглашение в одностороннем порядке и потребовать возврата фактически внесённых средств в течение 30 дней.</w:t>
      </w:r>
    </w:p>
    <w:p>
      <w:pPr>
        <w:pStyle w:val="ListParagraph"/>
        <w:numPr>
          <w:ilvl w:val="0"/>
          <w:numId w:val="11"/>
        </w:numPr>
        <w:spacing w:after="38" w:line="210"/>
        <w:jc w:val="both"/>
      </w:pPr>
      <w:r>
        <w:rPr>
          <w:rFonts w:ascii="Calibri" w:cs="Calibri" w:eastAsia="Calibri" w:hAnsi="Calibri"/>
          <w:sz w:val="19"/>
          <w:szCs w:val="19"/>
        </w:rPr>
        <w:t xml:space="preserve">Недействительность отдельного положения не влечёт недействительности Соглашения в целом; оно составлено в двух экземплярах равной силы. Стороны подтверждают, что имели возможность получить независимую юридическую консультацию и понимают последствия Соглашения.</w:t>
      </w:r>
    </w:p>
    <w:p>
      <w:pPr>
        <w:spacing w:after="40"/>
      </w:pPr>
    </w:p>
    <w:tbl>
      <w:tblPr>
        <w:tblW w:type="dxa" w:w="992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961"/>
        <w:gridCol w:w="4961"/>
      </w:tblGrid>
      <w:tr>
        <w:trPr>
          <w:cantSplit/>
        </w:trPr>
        <w:tc>
          <w:tcPr>
            <w:tcW w:type="dxa" w:w="496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Основатель</w:t>
            </w:r>
            <w:r>
              <w:br/>
            </w:r>
            <w:r>
              <w:rPr>
                <w:rFonts w:ascii="Calibri" w:cs="Calibri" w:eastAsia="Calibri" w:hAnsi="Calibri"/>
                <w:sz w:val="17"/>
                <w:szCs w:val="17"/>
              </w:rPr>
              <w:t xml:space="preserve">Ковалёв Кирилл Викторович</w:t>
            </w:r>
            <w:r>
              <w:br/>
            </w:r>
            <w:r>
              <w:rPr>
                <w:rFonts w:ascii="Calibri" w:cs="Calibri" w:eastAsia="Calibri" w:hAnsi="Calibri"/>
                <w:sz w:val="17"/>
                <w:szCs w:val="17"/>
              </w:rPr>
              <w:t xml:space="preserve">__________________ / подпись /    «___» _________ 2026 г.</w:t>
            </w:r>
          </w:p>
        </w:tc>
        <w:tc>
          <w:tcPr>
            <w:tcW w:type="dxa" w:w="496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Сооснователь</w:t>
            </w:r>
            <w:r>
              <w:br/>
            </w:r>
            <w:r>
              <w:rPr>
                <w:rFonts w:ascii="Calibri" w:cs="Calibri" w:eastAsia="Calibri" w:hAnsi="Calibri"/>
                <w:sz w:val="17"/>
                <w:szCs w:val="17"/>
              </w:rPr>
              <w:t xml:space="preserve">Мехов Артемий _________________</w:t>
            </w:r>
            <w:r>
              <w:br/>
            </w:r>
            <w:r>
              <w:rPr>
                <w:rFonts w:ascii="Calibri" w:cs="Calibri" w:eastAsia="Calibri" w:hAnsi="Calibri"/>
                <w:sz w:val="17"/>
                <w:szCs w:val="17"/>
              </w:rPr>
              <w:t xml:space="preserve">__________________ / подпись /    «___» _________ 2026 г.</w:t>
            </w:r>
          </w:p>
        </w:tc>
      </w:tr>
    </w:tbl>
    <w:sectPr>
      <w:footerReference w:type="default" r:id="rId7"/>
      <w:pgSz w:w="11906" w:h="16838" w:orient="portrait"/>
      <w:pgMar w:top="820" w:right="992" w:bottom="600" w:left="992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999999"/>
        <w:sz w:val="14"/>
        <w:szCs w:val="14"/>
      </w:rPr>
      <w:t xml:space="preserve">Партнёрское соглашение · Eva Space · стр. </w:t>
    </w:r>
    <w:r>
      <w:rPr>
        <w:rFonts w:ascii="Calibri" w:cs="Calibri" w:eastAsia="Calibri" w:hAnsi="Calibri"/>
        <w:color w:val="999999"/>
        <w:sz w:val="14"/>
        <w:szCs w:val="1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1.%1."/>
      <w:lvlJc w:val="start"/>
      <w:pPr>
        <w:ind w:left="680" w:hanging="5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2.%1."/>
      <w:lvlJc w:val="start"/>
      <w:pPr>
        <w:ind w:left="680" w:hanging="57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3.%1."/>
      <w:lvlJc w:val="start"/>
      <w:pPr>
        <w:ind w:left="680" w:hanging="570"/>
      </w:pPr>
    </w:lvl>
  </w:abstractNum>
  <w:abstractNum w:abstractNumId="5" w15:restartNumberingAfterBreak="0">
    <w:multiLevelType w:val="hybridMultilevel"/>
    <w:lvl w:ilvl="0" w15:tentative="1">
      <w:start w:val="2"/>
      <w:numFmt w:val="decimal"/>
      <w:lvlText w:val="3.%1."/>
      <w:lvlJc w:val="start"/>
      <w:pPr>
        <w:ind w:left="680" w:hanging="57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6.%1."/>
      <w:lvlJc w:val="start"/>
      <w:pPr>
        <w:ind w:left="680" w:hanging="570"/>
      </w:p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7.%1."/>
      <w:lvlJc w:val="start"/>
      <w:pPr>
        <w:ind w:left="680" w:hanging="570"/>
      </w:pPr>
    </w:lvl>
  </w:abstractNum>
  <w:abstractNum w:abstractNumId="8" w15:restartNumberingAfterBreak="0">
    <w:multiLevelType w:val="hybridMultilevel"/>
    <w:lvl w:ilvl="0" w15:tentative="1">
      <w:start w:val="1"/>
      <w:numFmt w:val="decimal"/>
      <w:lvlText w:val="9.%1."/>
      <w:lvlJc w:val="start"/>
      <w:pPr>
        <w:ind w:left="680" w:hanging="570"/>
      </w:pPr>
    </w:lvl>
  </w:abstractNum>
  <w:abstractNum w:abstractNumId="9" w15:restartNumberingAfterBreak="0">
    <w:multiLevelType w:val="hybridMultilevel"/>
    <w:lvl w:ilvl="0" w15:tentative="1">
      <w:start w:val="1"/>
      <w:numFmt w:val="decimal"/>
      <w:lvlText w:val="10.%1."/>
      <w:lvlJc w:val="start"/>
      <w:pPr>
        <w:ind w:left="680" w:hanging="570"/>
      </w:pPr>
    </w:lvl>
  </w:abstractNum>
  <w:abstractNum w:abstractNumId="10" w15:restartNumberingAfterBreak="0">
    <w:multiLevelType w:val="hybridMultilevel"/>
    <w:lvl w:ilvl="0" w15:tentative="1">
      <w:start w:val="1"/>
      <w:numFmt w:val="decimal"/>
      <w:lvlText w:val="11.%1."/>
      <w:lvlJc w:val="start"/>
      <w:pPr>
        <w:ind w:left="680" w:hanging="570"/>
      </w:pPr>
    </w:lvl>
  </w:abstractNum>
  <w:abstractNum w:abstractNumId="11" w15:restartNumberingAfterBreak="0">
    <w:multiLevelType w:val="hybridMultilevel"/>
    <w:lvl w:ilvl="0" w15:tentative="1">
      <w:start w:val="1"/>
      <w:numFmt w:val="decimal"/>
      <w:lvlText w:val="12.%1."/>
      <w:lvlJc w:val="start"/>
      <w:pPr>
        <w:ind w:left="680" w:hanging="57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2"/>
    </w:lvlOverride>
  </w:num>
  <w:num w:numId="6">
    <w:abstractNumId w:val="6"/>
    <w:lvlOverride w:ilvl="0">
      <w:startOverride w:val="1"/>
    </w:lvlOverride>
  </w:num>
  <w:num w:numId="7">
    <w:abstractNumId w:val="7"/>
    <w:lvlOverride w:ilvl="0">
      <w:startOverride w:val="1"/>
    </w:lvlOverride>
  </w:num>
  <w:num w:numId="8">
    <w:abstractNumId w:val="8"/>
    <w:lvlOverride w:ilvl="0">
      <w:startOverride w:val="1"/>
    </w:lvlOverride>
  </w:num>
  <w:num w:numId="9">
    <w:abstractNumId w:val="9"/>
    <w:lvlOverride w:ilvl="0">
      <w:startOverride w:val="1"/>
    </w:lvlOverride>
  </w:num>
  <w:num w:numId="10">
    <w:abstractNumId w:val="10"/>
    <w:lvlOverride w:ilvl="0">
      <w:startOverride w:val="1"/>
    </w:lvlOverride>
  </w:num>
  <w:num w:numId="11">
    <w:abstractNumId w:val="1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19"/>
        <w:szCs w:val="19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Партнёрское соглашение — Eva Space</dc:title>
  <dc:creator>Eva Space</dc:creator>
  <cp:lastModifiedBy>Un-named</cp:lastModifiedBy>
  <cp:revision>1</cp:revision>
  <dcterms:created xsi:type="dcterms:W3CDTF">2026-09-14T04:40:00.773Z</dcterms:created>
  <dcterms:modified xsi:type="dcterms:W3CDTF">2026-09-14T04:40:00.773Z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