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5B2C6F"/>
          <w:sz w:val="28"/>
          <w:szCs w:val="28"/>
        </w:rPr>
        <w:t xml:space="preserve">ПАРТНЁРСКОЕ СОГЛАШЕНИЕ</w:t>
      </w:r>
    </w:p>
    <w:p>
      <w:pPr>
        <w:spacing w:after="13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о создании и совместном ведении бизнеса · проект Eva Space</w:t>
      </w:r>
    </w:p>
    <w:p>
      <w:pPr>
        <w:tabs>
          <w:tab w:val="right" w:pos="9922"/>
        </w:tabs>
        <w:spacing w:after="110"/>
      </w:pPr>
      <w:r>
        <w:rPr>
          <w:rFonts w:ascii="Calibri" w:cs="Calibri" w:eastAsia="Calibri" w:hAnsi="Calibri"/>
          <w:sz w:val="19"/>
          <w:szCs w:val="19"/>
        </w:rPr>
        <w:t xml:space="preserve">г. ___________________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«____» _____________ 2026 г.</w:t>
      </w:r>
    </w:p>
    <w:p>
      <w:pPr>
        <w:spacing w:after="50" w:line="210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Ковалёв Кирилл Викторович</w:t>
      </w:r>
      <w:r>
        <w:rPr>
          <w:rFonts w:ascii="Calibri" w:cs="Calibri" w:eastAsia="Calibri" w:hAnsi="Calibri"/>
          <w:sz w:val="19"/>
          <w:szCs w:val="19"/>
        </w:rPr>
        <w:t xml:space="preserve">, паспорт _________________, адрес регистрации ______________________________, далее — «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Основатель</w:t>
      </w:r>
      <w:r>
        <w:rPr>
          <w:rFonts w:ascii="Calibri" w:cs="Calibri" w:eastAsia="Calibri" w:hAnsi="Calibri"/>
          <w:sz w:val="19"/>
          <w:szCs w:val="19"/>
        </w:rPr>
        <w:t xml:space="preserve">», и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Мехов Артемий _________________</w:t>
      </w:r>
      <w:r>
        <w:rPr>
          <w:rFonts w:ascii="Calibri" w:cs="Calibri" w:eastAsia="Calibri" w:hAnsi="Calibri"/>
          <w:sz w:val="19"/>
          <w:szCs w:val="19"/>
        </w:rPr>
        <w:t xml:space="preserve">, паспорт _________________, адрес регистрации ______________________________, далее — «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Сооснователь</w:t>
      </w:r>
      <w:r>
        <w:rPr>
          <w:rFonts w:ascii="Calibri" w:cs="Calibri" w:eastAsia="Calibri" w:hAnsi="Calibri"/>
          <w:sz w:val="19"/>
          <w:szCs w:val="19"/>
        </w:rPr>
        <w:t xml:space="preserve">», вместе — «Стороны», заключили настоящее Соглашение о нижеследующем.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1. Предмет и статус Соглашения</w:t>
      </w:r>
    </w:p>
    <w:p>
      <w:pPr>
        <w:pStyle w:val="ListParagraph"/>
        <w:numPr>
          <w:ilvl w:val="0"/>
          <w:numId w:val="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Стороны совместно развивают проект Eva Space — цифровую платформу женского развития (мастер-классы, практики, эксперты, живые эфиры, офлайн-мероприятия, маркет) — и создают для этого общество с ограниченной ответственностью (далее — «Общество»).</w:t>
      </w:r>
    </w:p>
    <w:p>
      <w:pPr>
        <w:pStyle w:val="ListParagraph"/>
        <w:numPr>
          <w:ilvl w:val="0"/>
          <w:numId w:val="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Соглашение фиксирует договорённости Сторон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до регистрации Общества</w:t>
      </w:r>
      <w:r>
        <w:rPr>
          <w:rFonts w:ascii="Calibri" w:cs="Calibri" w:eastAsia="Calibri" w:hAnsi="Calibri"/>
          <w:sz w:val="19"/>
          <w:szCs w:val="19"/>
        </w:rPr>
        <w:t xml:space="preserve"> и обязывает их добросовестно оформить эти договорённости корпоративными документами: в течение 30 дней после регистрации Стороны подписывают устав и корпоративный договор (ст. 67.2 ГК РФ), воспроизводящие условия Соглашения. С этого момента корпоративный договор имеет приоритет в урегулированной им части.</w:t>
      </w:r>
    </w:p>
    <w:p>
      <w:pPr>
        <w:pStyle w:val="ListParagraph"/>
        <w:numPr>
          <w:ilvl w:val="0"/>
          <w:numId w:val="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Условия о долях и голосовании получают полную судебную защиту только после регистрации Общества и подписания корпоративного договора; Стороны обязуются не уклоняться от их оформления.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2. Создание Общества и доли</w:t>
      </w:r>
    </w:p>
    <w:p>
      <w:pPr>
        <w:pStyle w:val="ListParagraph"/>
        <w:numPr>
          <w:ilvl w:val="0"/>
          <w:numId w:val="3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Стороны обязуются зарегистрировать Общество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в течение 30 (тридцати) календарных дней</w:t>
      </w:r>
      <w:r>
        <w:rPr>
          <w:rFonts w:ascii="Calibri" w:cs="Calibri" w:eastAsia="Calibri" w:hAnsi="Calibri"/>
          <w:sz w:val="19"/>
          <w:szCs w:val="19"/>
        </w:rPr>
        <w:t xml:space="preserve"> с даты подписания Соглашения. Рабочее наименование — ООО «Ева Спейс»; основной ОКВЭД выбирается из перечня, дающего право на аккредитацию ИТ-компании.</w:t>
      </w:r>
    </w:p>
    <w:p>
      <w:pPr>
        <w:pStyle w:val="ListParagraph"/>
        <w:numPr>
          <w:ilvl w:val="0"/>
          <w:numId w:val="3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Доли распределяются: Основатель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90 %</w:t>
      </w:r>
      <w:r>
        <w:rPr>
          <w:rFonts w:ascii="Calibri" w:cs="Calibri" w:eastAsia="Calibri" w:hAnsi="Calibri"/>
          <w:sz w:val="19"/>
          <w:szCs w:val="19"/>
        </w:rPr>
        <w:t xml:space="preserve">, Сооснователь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10 %</w:t>
      </w:r>
      <w:r>
        <w:rPr>
          <w:rFonts w:ascii="Calibri" w:cs="Calibri" w:eastAsia="Calibri" w:hAnsi="Calibri"/>
          <w:sz w:val="19"/>
          <w:szCs w:val="19"/>
        </w:rPr>
        <w:t xml:space="preserve">. Генеральным директором назначается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Ковалёв К. В.</w:t>
      </w:r>
      <w:r>
        <w:rPr>
          <w:rFonts w:ascii="Calibri" w:cs="Calibri" w:eastAsia="Calibri" w:hAnsi="Calibri"/>
          <w:sz w:val="19"/>
          <w:szCs w:val="19"/>
        </w:rPr>
        <w:t xml:space="preserve">; Сооснователь занимает должность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финансового директора</w:t>
      </w:r>
      <w:r>
        <w:rPr>
          <w:rFonts w:ascii="Calibri" w:cs="Calibri" w:eastAsia="Calibri" w:hAnsi="Calibri"/>
          <w:sz w:val="19"/>
          <w:szCs w:val="19"/>
        </w:rPr>
        <w:t xml:space="preserve"> и получает полный доступ к финансовым данным Общества: счетам, учётной системе, договорам и отчётности.</w:t>
      </w:r>
    </w:p>
    <w:p>
      <w:pPr>
        <w:pStyle w:val="ListParagraph"/>
        <w:numPr>
          <w:ilvl w:val="0"/>
          <w:numId w:val="3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Уставный капитал формируется в минимальном размере пропорционально долям. Вклад Сооснователя сверх номинальной стоимости доли оформляется вкладом в имущество Общества (ст. 27 Закона об ООО) без изменения долей либо иным способом, согласованным с юристом и бухгалтером, — так, чтобы итоговое соотношение долей составило 90/10.</w:t>
      </w:r>
    </w:p>
    <w:p>
      <w:pPr>
        <w:pStyle w:val="ListParagraph"/>
        <w:numPr>
          <w:ilvl w:val="0"/>
          <w:numId w:val="3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До регистрации Общества ни одна из Сторон не вправе использовать наименование, домены, бренд и наработки проекта в своих интересах или в интересах третьих лиц.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3. Вклад Сооснователя и финансирование проекта</w:t>
      </w:r>
    </w:p>
    <w:p>
      <w:pPr>
        <w:pStyle w:val="ListParagraph"/>
        <w:numPr>
          <w:ilvl w:val="0"/>
          <w:numId w:val="4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Сооснователь приобретает долю 10 % за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1 000 000 ₽ (один миллион рублей)</w:t>
      </w:r>
      <w:r>
        <w:rPr>
          <w:rFonts w:ascii="Calibri" w:cs="Calibri" w:eastAsia="Calibri" w:hAnsi="Calibri"/>
          <w:sz w:val="19"/>
          <w:szCs w:val="19"/>
        </w:rPr>
        <w:t xml:space="preserve">, которые вносятся так: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720 000 ₽</w:t>
      </w:r>
      <w:r>
        <w:rPr>
          <w:rFonts w:ascii="Calibri" w:cs="Calibri" w:eastAsia="Calibri" w:hAnsi="Calibri"/>
          <w:sz w:val="19"/>
          <w:szCs w:val="19"/>
        </w:rPr>
        <w:t xml:space="preserve"> — денежными средствами Сооснователя не позднее 10 рабочих дней с даты открытия расчётного счёта Общества. Платежи, совершённые до регистрации Общества или с личных счетов Сооснователя, учитываются в финансовых документах проекта и засчитываются в счёт вклада;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280 000 ₽</w:t>
      </w:r>
      <w:r>
        <w:rPr>
          <w:rFonts w:ascii="Calibri" w:cs="Calibri" w:eastAsia="Calibri" w:hAnsi="Calibri"/>
          <w:sz w:val="19"/>
          <w:szCs w:val="19"/>
        </w:rPr>
        <w:t xml:space="preserve"> — вносятся в Общество Основателем за Сооснователя (ст. 313 ГК РФ). Внесением этой суммы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полностью прекращается денежный долг Основателя перед Сооснователем в размере 280 000 ₽</w:t>
      </w:r>
      <w:r>
        <w:rPr>
          <w:rFonts w:ascii="Calibri" w:cs="Calibri" w:eastAsia="Calibri" w:hAnsi="Calibri"/>
          <w:sz w:val="19"/>
          <w:szCs w:val="19"/>
        </w:rPr>
        <w:t xml:space="preserve">; после внесения взаимные требования по этому долгу у Сторон отсутствуют.</w:t>
      </w:r>
    </w:p>
    <w:p>
      <w:pPr>
        <w:pStyle w:val="ListParagraph"/>
        <w:numPr>
          <w:ilvl w:val="0"/>
          <w:numId w:val="5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Средства направляются на цели проекта в рамках согласованного бюджета: разработку платформы, юридическую упаковку, регистрацию прав, продвижение, операционные расходы. Полная оплата доли подтверждается актом Сторон в течение 5 рабочих дней после поступления средств.</w:t>
      </w:r>
    </w:p>
    <w:p>
      <w:pPr>
        <w:pStyle w:val="ListParagraph"/>
        <w:numPr>
          <w:ilvl w:val="0"/>
          <w:numId w:val="5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Заём, привлечённый Основателем. </w:t>
      </w:r>
      <w:r>
        <w:rPr>
          <w:rFonts w:ascii="Calibri" w:cs="Calibri" w:eastAsia="Calibri" w:hAnsi="Calibri"/>
          <w:sz w:val="19"/>
          <w:szCs w:val="19"/>
        </w:rPr>
        <w:t xml:space="preserve">Для целей проекта Основатель привлёк заём в размере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2 000 000 ₽ (два миллиона рублей)</w:t>
      </w:r>
      <w:r>
        <w:rPr>
          <w:rFonts w:ascii="Calibri" w:cs="Calibri" w:eastAsia="Calibri" w:hAnsi="Calibri"/>
          <w:sz w:val="19"/>
          <w:szCs w:val="19"/>
        </w:rPr>
        <w:t xml:space="preserve"> с начислением процентов по условиям договора займа. Стороны признают этот заём обязательством проекта, а не личным обязательством Основателя. В течение 60 дней с даты регистрации Общества Стороны обеспечивают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перевод долга на Общество</w:t>
      </w:r>
      <w:r>
        <w:rPr>
          <w:rFonts w:ascii="Calibri" w:cs="Calibri" w:eastAsia="Calibri" w:hAnsi="Calibri"/>
          <w:sz w:val="19"/>
          <w:szCs w:val="19"/>
        </w:rPr>
        <w:t xml:space="preserve"> (ст. 391 ГК РФ) с согласия кредитора; сумма займа и начисленные проценты вносятся в реестр обязательств Общества. До подписания Соглашения Основатель раскрывает Сооснователю кредитора, сумму, ставку, срок и график платежей.</w:t>
      </w:r>
    </w:p>
    <w:p>
      <w:pPr>
        <w:pStyle w:val="ListParagraph"/>
        <w:numPr>
          <w:ilvl w:val="0"/>
          <w:numId w:val="5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Заём и проценты погашаются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из средств раунда seed либо из прибыли Общества</w:t>
      </w:r>
      <w:r>
        <w:rPr>
          <w:rFonts w:ascii="Calibri" w:cs="Calibri" w:eastAsia="Calibri" w:hAnsi="Calibri"/>
          <w:sz w:val="19"/>
          <w:szCs w:val="19"/>
        </w:rPr>
        <w:t xml:space="preserve"> в порядке раздела 6. Если согласие кредитора на перевод долга не получено, Общество компенсирует Основателю фактические платежи по этому займу (основной долг и проценты) в той же очерёдности; до полного погашения Основатель ежеквартально предоставляет Сооснователю подтверждение платежей.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4. Зоны ответственности</w:t>
      </w:r>
    </w:p>
    <w:p>
      <w:pPr>
        <w:spacing w:after="50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Основатель (генеральный директор). </w:t>
      </w:r>
      <w:r>
        <w:rPr>
          <w:rFonts w:ascii="Calibri" w:cs="Calibri" w:eastAsia="Calibri" w:hAnsi="Calibri"/>
          <w:sz w:val="19"/>
          <w:szCs w:val="19"/>
        </w:rPr>
        <w:t xml:space="preserve">Стратегия и продукт: видение, дорожная карта, приоритеты, метрики, финальное слово по продукту. Контент и эксперты: отбор экспертов, редакционная политика, модерация, качество материалов. Маркетинг и продажи: каналы привлечения, бренд, партнёрства, воронка и конверсии. Операционное управление, текущий найм, представительство Общества.</w:t>
      </w:r>
    </w:p>
    <w:p>
      <w:pPr>
        <w:spacing w:after="50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Сооснователь (финансовый директор). </w:t>
      </w:r>
      <w:r>
        <w:rPr>
          <w:rFonts w:ascii="Calibri" w:cs="Calibri" w:eastAsia="Calibri" w:hAnsi="Calibri"/>
          <w:sz w:val="19"/>
          <w:szCs w:val="19"/>
        </w:rPr>
        <w:t xml:space="preserve">Финансовая модель: юнит-экономика, годовой и квартальный бюджет, план-факт, прогноз денежного потока. Учёт и налоги: бухгалтерия, налоговый режим, ИТ-аккредитация и льготы, сроки отчётности. Казначейство: платёжная дисциплина, касса и эквайринг, расчёты с экспертами, контроль расходов. Юридическая упаковка совместно с юристом: оферты, персональные данные, договоры, лицензии, реестры. Инвестиции: материалы, переговоры с инвесторами, структурирование раундов, отчётность инвесторам.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Техническая часть проекта — до привлечения технического партнёра (п. 4.1).</w:t>
      </w:r>
    </w:p>
    <w:p>
      <w:pPr>
        <w:pStyle w:val="ListParagraph"/>
        <w:numPr>
          <w:ilvl w:val="0"/>
          <w:numId w:val="6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Техническая зона и её передача третьему лицу. </w:t>
      </w:r>
      <w:r>
        <w:rPr>
          <w:rFonts w:ascii="Calibri" w:cs="Calibri" w:eastAsia="Calibri" w:hAnsi="Calibri"/>
          <w:sz w:val="19"/>
          <w:szCs w:val="19"/>
        </w:rPr>
        <w:t xml:space="preserve">Стороны намерены привлечь третье лицо — технического директора (партнёра) проекта. До его привлечения техническую часть ведёт Сооснователь в объёме разумных усилий, с правом привлекать подрядчиков в рамках согласованного бюджета. К техническому партнёру переходят: архитектура и развитие платформы; подбор команды разработки и управление подрядчиками; планирование релизов и соблюдение сроков; качество, отказоустойчивость и информационная безопасность; инфраструктура и размещение данных на серверах в РФ; техническая реализация требований к персональным данным; интеграции (эквайринг, касса, видео, уведомления); техническая документация для ИТ-аккредитации и реестра российского ПО; обеспечение перехода исключительных прав на код к Обществу по договорам с разработчиками.</w:t>
      </w:r>
    </w:p>
    <w:p>
      <w:pPr>
        <w:pStyle w:val="ListParagraph"/>
        <w:numPr>
          <w:ilvl w:val="0"/>
          <w:numId w:val="6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Условия участия технического партнёра (доля, опцион, вознаграждение, испытательный срок, вестинг) согласуются обеими Сторонами; предоставляемая ему доля выделяется из инвестиционного пула Основателя (п. 7.2) и не уменьшает долю Сооснователя. Передача технической зоны оформляется актом с перечнем доступов, репозиториев, подрядчиков и незакрытых задач.</w:t>
      </w:r>
    </w:p>
    <w:p>
      <w:pPr>
        <w:pStyle w:val="ListParagraph"/>
        <w:numPr>
          <w:ilvl w:val="0"/>
          <w:numId w:val="6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Ключевые позиции и уровни оплаты согласуются обеими Сторонами. Каждая Сторона самостоятельно принимает решения в своей зоне, отвечает за результат и своевременно сообщает другой Стороне о существенных проблемах. Стороны проводят еженедельную рабочую встречу и ежемесячный разбор финансов; ключевые решения фиксируются письменно.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5. Решения, требующие согласия обеих Сторон</w:t>
      </w:r>
    </w:p>
    <w:p>
      <w:pPr>
        <w:spacing w:after="50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Независимо от размера долей, следующие решения принимаются только при письменном согласии обеих Сторон: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sz w:val="19"/>
          <w:szCs w:val="19"/>
        </w:rPr>
        <w:t xml:space="preserve">утверждение годового бюджета и его превышение более чем на 15 %; сделки вне бюджета свыше 300 000 ₽ разово или свыше 500 000 ₽ за календарный месяц;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sz w:val="19"/>
          <w:szCs w:val="19"/>
        </w:rPr>
        <w:t xml:space="preserve">привлечение инвестиций, займов и кредитов; выдача займов, поручительств и залогов;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sz w:val="19"/>
          <w:szCs w:val="19"/>
        </w:rPr>
        <w:t xml:space="preserve">увеличение уставного капитала, выпуск и отчуждение долей, приём новых участников, опционы сотрудникам;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sz w:val="19"/>
          <w:szCs w:val="19"/>
        </w:rPr>
        <w:t xml:space="preserve">смена генерального директора; распределение прибыли и выплата дивидендов; отчуждение, залог или исключительное лицензирование интеллектуальной собственности проекта (код, бренд, контент, домены);</w:t>
      </w:r>
    </w:p>
    <w:p>
      <w:pPr>
        <w:spacing w:after="32" w:line="210"/>
        <w:ind w:left="820" w:hanging="19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— </w:t>
      </w:r>
      <w:r>
        <w:rPr>
          <w:rFonts w:ascii="Calibri" w:cs="Calibri" w:eastAsia="Calibri" w:hAnsi="Calibri"/>
          <w:sz w:val="19"/>
          <w:szCs w:val="19"/>
        </w:rPr>
        <w:t xml:space="preserve">создание новых юридических лиц в периметре проекта, реорганизация, ликвидация, продажа бизнеса; сделки с аффилированными лицами Сторон.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6. Прибыль, погашение займа и возврат инвестиций</w:t>
      </w:r>
    </w:p>
    <w:p>
      <w:pPr>
        <w:pStyle w:val="ListParagraph"/>
        <w:numPr>
          <w:ilvl w:val="0"/>
          <w:numId w:val="7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50 % (пятьдесят процентов) чистой прибыли</w:t>
      </w:r>
      <w:r>
        <w:rPr>
          <w:rFonts w:ascii="Calibri" w:cs="Calibri" w:eastAsia="Calibri" w:hAnsi="Calibri"/>
          <w:sz w:val="19"/>
          <w:szCs w:val="19"/>
        </w:rPr>
        <w:t xml:space="preserve"> Общества направляется на погашение обязательств проекта в следующей очерёдности: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первое</w:t>
      </w:r>
      <w:r>
        <w:rPr>
          <w:rFonts w:ascii="Calibri" w:cs="Calibri" w:eastAsia="Calibri" w:hAnsi="Calibri"/>
          <w:sz w:val="19"/>
          <w:szCs w:val="19"/>
        </w:rPr>
        <w:t xml:space="preserve"> — заём Основателя с процентами (п. 3.3);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второе</w:t>
      </w:r>
      <w:r>
        <w:rPr>
          <w:rFonts w:ascii="Calibri" w:cs="Calibri" w:eastAsia="Calibri" w:hAnsi="Calibri"/>
          <w:sz w:val="19"/>
          <w:szCs w:val="19"/>
        </w:rPr>
        <w:t xml:space="preserve"> — возврат инвестиций пропорционально суммам вложений по реестру инвестиций Общества. Первым в реестр инвестиций вносится вклад Сооснователя — 1 000 000 ₽; последующие вложения участников и третьих лиц вносятся в порядке поступления.</w:t>
      </w:r>
    </w:p>
    <w:p>
      <w:pPr>
        <w:pStyle w:val="ListParagraph"/>
        <w:numPr>
          <w:ilvl w:val="0"/>
          <w:numId w:val="7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При закрытии раунда внешнего финансирования Стороны направляют часть привлечённых средств на досрочное погашение займа (п. 3.3), если это не противоречит условиям раунда и договорённостям с инвестором.</w:t>
      </w:r>
    </w:p>
    <w:p>
      <w:pPr>
        <w:pStyle w:val="ListParagraph"/>
        <w:numPr>
          <w:ilvl w:val="0"/>
          <w:numId w:val="7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Оставшиеся 50 % чистой прибыли реинвестируются в развитие проекта либо распределяются между участниками пропорционально долям — по совместному решению Сторон.</w:t>
      </w:r>
    </w:p>
    <w:p>
      <w:pPr>
        <w:pStyle w:val="ListParagraph"/>
        <w:numPr>
          <w:ilvl w:val="0"/>
          <w:numId w:val="7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Возврат инвестиций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не уменьшает долю</w:t>
      </w:r>
      <w:r>
        <w:rPr>
          <w:rFonts w:ascii="Calibri" w:cs="Calibri" w:eastAsia="Calibri" w:hAnsi="Calibri"/>
          <w:sz w:val="19"/>
          <w:szCs w:val="19"/>
        </w:rPr>
        <w:t xml:space="preserve"> получившего его участника и не является выкупом доли. После полного возврата инвестиций прибыль распределяется пропорционально долям, если Стороны не договорятся иначе.</w:t>
      </w:r>
    </w:p>
    <w:p>
      <w:pPr>
        <w:pStyle w:val="ListParagraph"/>
        <w:numPr>
          <w:ilvl w:val="0"/>
          <w:numId w:val="7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Выплаты производятся только при положительных чистых активах и отсутствии просроченных обязательств Общества; при недостатке средств выплата переносится на следующий период.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7. Инвестиционный пул, новые партнёры, защита доли Сооснователя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Стороны считают желательным привлечение третьих лиц — инвесторов, стратегических и операционных партнёров, технического партнёра, ключевых сотрудников с опционами. Условия входа нового участника согласуются обеими Сторонами.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Инвестиционный пул Основателя. </w:t>
      </w:r>
      <w:r>
        <w:rPr>
          <w:rFonts w:ascii="Calibri" w:cs="Calibri" w:eastAsia="Calibri" w:hAnsi="Calibri"/>
          <w:sz w:val="19"/>
          <w:szCs w:val="19"/>
        </w:rPr>
        <w:t xml:space="preserve">Основатель выделяет из своей доли пул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до 30 % (тридцати процентных пунктов)</w:t>
      </w:r>
      <w:r>
        <w:rPr>
          <w:rFonts w:ascii="Calibri" w:cs="Calibri" w:eastAsia="Calibri" w:hAnsi="Calibri"/>
          <w:sz w:val="19"/>
          <w:szCs w:val="19"/>
        </w:rPr>
        <w:t xml:space="preserve"> уставного капитала — на привлечение инвесторов и партнёров, вознаграждение технического партнёра, опционы ключевым сотрудникам и иные инструменты увеличения стоимости и прибыли Общества. Все размытия, включая защиту доли Сооснователя (п. 7.4), покрываются в первую очередь за счёт этого пула. После исчерпания пула дальнейшее размытие происходит пропорционально для всех участников. Доля Основателя не может стать менее 51 % без его письменного согласия.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Докапитализация. </w:t>
      </w:r>
      <w:r>
        <w:rPr>
          <w:rFonts w:ascii="Calibri" w:cs="Calibri" w:eastAsia="Calibri" w:hAnsi="Calibri"/>
          <w:sz w:val="19"/>
          <w:szCs w:val="19"/>
        </w:rPr>
        <w:t xml:space="preserve">Стороны допускают дополнительные вклады участников в Общество. Участник, внёсший такой вклад, вправе увеличить свою долю пропорционально внесённой сумме по оценке, согласованной Сторонами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до</w:t>
      </w:r>
      <w:r>
        <w:rPr>
          <w:rFonts w:ascii="Calibri" w:cs="Calibri" w:eastAsia="Calibri" w:hAnsi="Calibri"/>
          <w:sz w:val="19"/>
          <w:szCs w:val="19"/>
        </w:rPr>
        <w:t xml:space="preserve"> внесения вклада. Другая Сторона вправе внести пропорциональный вклад и сохранить размер доли; если она этого не делает, её доля уменьшается.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Защита доли при первом раунде seed. </w:t>
      </w:r>
      <w:r>
        <w:rPr>
          <w:rFonts w:ascii="Calibri" w:cs="Calibri" w:eastAsia="Calibri" w:hAnsi="Calibri"/>
          <w:sz w:val="19"/>
          <w:szCs w:val="19"/>
        </w:rPr>
        <w:t xml:space="preserve">При первом раунде внешнего финансирования (seed), уменьшающем доли участников, доля Сооснователя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не размывается</w:t>
      </w:r>
      <w:r>
        <w:rPr>
          <w:rFonts w:ascii="Calibri" w:cs="Calibri" w:eastAsia="Calibri" w:hAnsi="Calibri"/>
          <w:sz w:val="19"/>
          <w:szCs w:val="19"/>
        </w:rPr>
        <w:t xml:space="preserve"> — она восстанавливается до 10 % за счёт инвестиционного пула Основателя (п. 7.2), для чего Основатель выделяет из своей доли до 10 процентных пунктов. Пример: инвестор получает 20 %, доли уменьшаются до 72 % и 8 %, Основатель передаёт Сооснователю 2 процентных пункта; итог — инвестор 20 %, Основатель 70 %, Сооснователь 10 %. Передача оформляется в течение 30 дней после закрытия раунда способом с минимальной налоговой нагрузкой для Сторон.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Защита по п. 7.4 применяется однократно — только к первому раунду seed и только к размытию внешним инвестором. Она не применяется при докапитализации участниками (п. 7.3), при формировании опционного пула и в последующих раундах: там доля Сооснователя уменьшается на общих основаниях, если Стороны не договорятся иначе.</w:t>
      </w:r>
    </w:p>
    <w:p>
      <w:pPr>
        <w:pStyle w:val="ListParagraph"/>
        <w:numPr>
          <w:ilvl w:val="0"/>
          <w:numId w:val="8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Компенсация Основателю (кеш-аут). </w:t>
      </w:r>
      <w:r>
        <w:rPr>
          <w:rFonts w:ascii="Calibri" w:cs="Calibri" w:eastAsia="Calibri" w:hAnsi="Calibri"/>
          <w:sz w:val="19"/>
          <w:szCs w:val="19"/>
        </w:rPr>
        <w:t xml:space="preserve">Стороны признают, что инвестиционный пул формируется исключительно за счёт доли Основателя и что именно за её счёт обеспечиваются привлечение капитала, вознаграждение технического партнёра и защита доли Сооснователя. В связи с этим Основатель вправе получить частичную компенсацию при успешном запуске проекта — закрытии раунда seed либо достижении положительной операционной прибыли два квартала подряд. Компенсация оформляется вторичной продажей части доли Основателя инвестору в рамках раунда либо денежной выплатой Общества; размер согласуется Сторонами и по умолчанию не превышает 10 % суммы привлечённого раунда. Выплата не производится за счёт средств, необходимых для операционной деятельности, и следует после обслуживания займа (п. 3.3) и текущих обязательств. Если компенсация оформляется вторичной продажей, Сооснователь вправе продать пропорциональную часть своей доли на тех же условиях.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8. Признание рисков</w:t>
      </w:r>
    </w:p>
    <w:p>
      <w:pPr>
        <w:pBdr>
          <w:left w:val="single" w:color="9B59B6" w:sz="18" w:space="7"/>
        </w:pBdr>
        <w:shd w:fill="FBF8FD" w:color="auto" w:val="clear"/>
        <w:spacing w:after="90" w:before="80" w:line="210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Стороны прямо подтверждают: </w:t>
      </w:r>
      <w:r>
        <w:rPr>
          <w:rFonts w:ascii="Calibri" w:cs="Calibri" w:eastAsia="Calibri" w:hAnsi="Calibri"/>
          <w:sz w:val="19"/>
          <w:szCs w:val="19"/>
        </w:rPr>
        <w:t xml:space="preserve">вложения в проект являются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высокорисковыми инвестициями в стартап</w:t>
      </w:r>
      <w:r>
        <w:rPr>
          <w:rFonts w:ascii="Calibri" w:cs="Calibri" w:eastAsia="Calibri" w:hAnsi="Calibri"/>
          <w:sz w:val="19"/>
          <w:szCs w:val="19"/>
        </w:rPr>
        <w:t xml:space="preserve">. Проект не имеет подтверждённой бизнес-модели и истории прибыли. Ни одна из Сторон не гарантирует другой возврат вложенных средств, прибыль, дивиденды, рост стоимости доли или привлечение последующих раундов; возможна полная утрата вложенных средств. Вклады Сторон не являются займом, вкладом или депозитом, не подлежат возврату по требованию и не застрахованы; погашение займа (п. 3.3) и возврат инвестиций по разделу 6 зависят от прибыли Общества или успешного закрытия раунда и не гарантированы. Каждая Сторона принимает решение об участии самостоятельно, на основе собственной оценки рисков, и не полагается на прогнозы, не включённые в текст Соглашения.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9. Отчуждение долей, выход, прекращение участия</w:t>
      </w:r>
    </w:p>
    <w:p>
      <w:pPr>
        <w:pStyle w:val="ListParagraph"/>
        <w:numPr>
          <w:ilvl w:val="0"/>
          <w:numId w:val="9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Отчуждение доли или её части третьим лицам допускается только с предварительного письменного согласия другой Стороны, которая имеет преимущественное право приобретения по цене предложения в течение 30 дней с даты уведомления. Добровольный выход участника из Общества с выплатой действительной стоимости доли исключается уставом: выход возможен только через продажу доли по правилам настоящего раздела либо по соглашению Сторон.</w:t>
      </w:r>
    </w:p>
    <w:p>
      <w:pPr>
        <w:pStyle w:val="ListParagraph"/>
        <w:numPr>
          <w:ilvl w:val="0"/>
          <w:numId w:val="9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Совместная продажа. </w:t>
      </w:r>
      <w:r>
        <w:rPr>
          <w:rFonts w:ascii="Calibri" w:cs="Calibri" w:eastAsia="Calibri" w:hAnsi="Calibri"/>
          <w:sz w:val="19"/>
          <w:szCs w:val="19"/>
        </w:rPr>
        <w:t xml:space="preserve">При продаже Основателем доли, влекущей смену контроля, Сооснователь вправе продать свою долю тому же покупателю на тех же условиях и по той же цене за процент (tag-along). Если участники, владеющие не менее 90 % долей, решили продать 100 % Общества добросовестному покупателю, остальные обязаны продать свои доли на тех же условиях (drag-along).</w:t>
      </w:r>
    </w:p>
    <w:p>
      <w:pPr>
        <w:pStyle w:val="ListParagraph"/>
        <w:numPr>
          <w:ilvl w:val="0"/>
          <w:numId w:val="9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Доля Сооснователя оплачена деньгами и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не подлежит вестингу</w:t>
      </w:r>
      <w:r>
        <w:rPr>
          <w:rFonts w:ascii="Calibri" w:cs="Calibri" w:eastAsia="Calibri" w:hAnsi="Calibri"/>
          <w:sz w:val="19"/>
          <w:szCs w:val="19"/>
        </w:rPr>
        <w:t xml:space="preserve">. Прекращение исполнения им функций финансового директора по любому основанию не лишает его доли, но прекращает операционные полномочия и вознаграждение за эту работу; права по разделам 5, 6 и 9 сохраняются.</w:t>
      </w:r>
    </w:p>
    <w:p>
      <w:pPr>
        <w:pStyle w:val="ListParagraph"/>
        <w:numPr>
          <w:ilvl w:val="0"/>
          <w:numId w:val="9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Нарушение. </w:t>
      </w:r>
      <w:r>
        <w:rPr>
          <w:rFonts w:ascii="Calibri" w:cs="Calibri" w:eastAsia="Calibri" w:hAnsi="Calibri"/>
          <w:sz w:val="19"/>
          <w:szCs w:val="19"/>
        </w:rPr>
        <w:t xml:space="preserve">При существенном нарушении Соглашения (неоплата вклада, вывод активов, нарушение разделов 5 или 10), не устранённом в течение 30 дней после письменного уведомления, добросовестная Сторона вправе потребовать выкупа доли нарушителя с дисконтом 50 % к согласованной рыночной оценке либо расторжения Соглашения с возмещением убытков.</w:t>
      </w:r>
    </w:p>
    <w:p>
      <w:pPr>
        <w:pStyle w:val="ListParagraph"/>
        <w:numPr>
          <w:ilvl w:val="0"/>
          <w:numId w:val="9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Переход доли к наследникам допускается только с согласия другого участника; при отказе наследникам выплачивается действительная стоимость доли в порядке, установленном уставом.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10. Интеллектуальная собственность, конфиденциальность, неконкуренция</w:t>
      </w:r>
    </w:p>
    <w:p>
      <w:pPr>
        <w:pStyle w:val="ListParagraph"/>
        <w:numPr>
          <w:ilvl w:val="0"/>
          <w:numId w:val="10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Все результаты интеллектуальной деятельности, созданные для проекта до и после регистрации Общества (код, дизайн, контент, наименование, домены, товарные знаки, базы данных), принадлежат Обществу. Стороны обязуются в течение 60 дней с даты регистрации оформить отчуждение исключительных прав в пользу Общества, в том числе по договорам с подрядчиками и разработчиками. В тот же срок оформляется перевод на Общество долга по займу (п. 3.3): интеллектуальная собственность проекта и связанные с ним обязательства переходят на Общество одним пакетом.</w:t>
      </w:r>
    </w:p>
    <w:p>
      <w:pPr>
        <w:pStyle w:val="ListParagraph"/>
        <w:numPr>
          <w:ilvl w:val="0"/>
          <w:numId w:val="10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Стороны сохраняют конфиденциальность финансовых показателей, клиентских и экспертных баз, договоров, технических решений и условий Соглашения — в течение срока участия и 3 лет после его прекращения. В течение срока участия и 12 месяцев после его прекращения Сторона не вправе создавать, финансировать или возглавлять конкурирующий проект аналогичного профиля и переманивать сотрудников, экспертов и подрядчиков Общества.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11. Разрешение споров</w:t>
      </w:r>
    </w:p>
    <w:p>
      <w:pPr>
        <w:pStyle w:val="ListParagraph"/>
        <w:numPr>
          <w:ilvl w:val="0"/>
          <w:numId w:val="11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Переговоры. </w:t>
      </w:r>
      <w:r>
        <w:rPr>
          <w:rFonts w:ascii="Calibri" w:cs="Calibri" w:eastAsia="Calibri" w:hAnsi="Calibri"/>
          <w:sz w:val="19"/>
          <w:szCs w:val="19"/>
        </w:rPr>
        <w:t xml:space="preserve">Сторона направляет письменное уведомление с описанием разногласия и предлагаемым решением; встреча проводится в течение 10 рабочих дней.</w:t>
      </w:r>
    </w:p>
    <w:p>
      <w:pPr>
        <w:pStyle w:val="ListParagraph"/>
        <w:numPr>
          <w:ilvl w:val="0"/>
          <w:numId w:val="11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Независимый посредник. </w:t>
      </w:r>
      <w:r>
        <w:rPr>
          <w:rFonts w:ascii="Calibri" w:cs="Calibri" w:eastAsia="Calibri" w:hAnsi="Calibri"/>
          <w:sz w:val="19"/>
          <w:szCs w:val="19"/>
        </w:rPr>
        <w:t xml:space="preserve">Если разногласие не устранено за 15 рабочих дней, Стороны привлекают согласованного независимого специалиста (юриста, финансового консультанта, медиатора). Заключение носит рекомендательный характер, расходы делятся поровну.</w:t>
      </w:r>
    </w:p>
    <w:p>
      <w:pPr>
        <w:pStyle w:val="ListParagraph"/>
        <w:numPr>
          <w:ilvl w:val="0"/>
          <w:numId w:val="11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Тупиковая ситуация. </w:t>
      </w:r>
      <w:r>
        <w:rPr>
          <w:rFonts w:ascii="Calibri" w:cs="Calibri" w:eastAsia="Calibri" w:hAnsi="Calibri"/>
          <w:sz w:val="19"/>
          <w:szCs w:val="19"/>
        </w:rPr>
        <w:t xml:space="preserve">Если по вопросу из раздела 5 согласие не достигнуто за 30 календарных дней после привлечения посредника и бездействие вредит проекту, вопрос решается голосованием пропорционально долям. Сооснователь при этом вправе в течение 60 дней потребовать выкупа своей доли по оценке независимого оценщика, а Основатель — исполнить требование в согласованный срок либо предложить рассрочку до 12 месяцев.</w:t>
      </w:r>
    </w:p>
    <w:p>
      <w:pPr>
        <w:pStyle w:val="ListParagraph"/>
        <w:numPr>
          <w:ilvl w:val="0"/>
          <w:numId w:val="11"/>
        </w:numPr>
        <w:spacing w:after="38" w:line="21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Суд. </w:t>
      </w:r>
      <w:r>
        <w:rPr>
          <w:rFonts w:ascii="Calibri" w:cs="Calibri" w:eastAsia="Calibri" w:hAnsi="Calibri"/>
          <w:sz w:val="19"/>
          <w:szCs w:val="19"/>
        </w:rPr>
        <w:t xml:space="preserve">Неурегулированные споры передаются в Арбитражный суд по месту нахождения Общества; претензионный порядок — 15 календарных дней. Наличие спора не освобождает Стороны от исполнения текущих обязательств и не приостанавливает работу проекта.</w:t>
      </w:r>
    </w:p>
    <w:p>
      <w:pPr>
        <w:spacing w:after="40" w:before="85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12. Заключительные положения</w:t>
      </w:r>
    </w:p>
    <w:p>
      <w:pPr>
        <w:pStyle w:val="ListParagraph"/>
        <w:numPr>
          <w:ilvl w:val="0"/>
          <w:numId w:val="1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Соглашение вступает в силу с даты подписания и действует до полного исполнения обязательств либо до прекращения участия одной из Сторон в Обществе. Изменения оформляются письменно обеими Сторонами; электронная переписка с согласованных адресов признаётся надлежащим способом обмена уведомлениями, кроме изменения самого Соглашения.</w:t>
      </w:r>
    </w:p>
    <w:p>
      <w:pPr>
        <w:pStyle w:val="ListParagraph"/>
        <w:numPr>
          <w:ilvl w:val="0"/>
          <w:numId w:val="1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Если Общество не будет зарегистрировано в срок по п. 2.1 по вине одной из Сторон, другая Сторона вправе расторгнуть Соглашение в одностороннем порядке и потребовать возврата фактически внесённых средств в течение 30 дней.</w:t>
      </w:r>
    </w:p>
    <w:p>
      <w:pPr>
        <w:pStyle w:val="ListParagraph"/>
        <w:numPr>
          <w:ilvl w:val="0"/>
          <w:numId w:val="12"/>
        </w:numPr>
        <w:spacing w:after="38" w:line="21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Недействительность отдельного положения не влечёт недействительности Соглашения в целом; оно составлено в двух экземплярах равной силы. Стороны подтверждают, что имели возможность получить независимую юридическую консультацию и понимают последствия Соглашения.</w:t>
      </w:r>
    </w:p>
    <w:p>
      <w:pPr>
        <w:spacing w:after="40"/>
      </w:pP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Основатель</w:t>
            </w:r>
            <w:r>
              <w:br/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Ковалёв Кирилл Викторович</w:t>
            </w:r>
            <w:r>
              <w:br/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__________________ / подпись /    «___» _________ 2026 г.</w:t>
            </w:r>
          </w:p>
        </w:tc>
        <w:tc>
          <w:tcPr>
            <w:tcW w:type="dxa" w:w="49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Сооснователь</w:t>
            </w:r>
            <w:r>
              <w:br/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Мехов Артемий _________________</w:t>
            </w:r>
            <w:r>
              <w:br/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__________________ / подпись /    «___» _________ 2026 г.</w:t>
            </w:r>
          </w:p>
        </w:tc>
      </w:tr>
    </w:tbl>
    <w:sectPr>
      <w:footerReference w:type="default" r:id="rId7"/>
      <w:pgSz w:w="11906" w:h="16838" w:orient="portrait"/>
      <w:pgMar w:top="820" w:right="992" w:bottom="60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Партнёрское соглашение · Eva Space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%1."/>
      <w:lvlJc w:val="start"/>
      <w:pPr>
        <w:ind w:left="680" w:hanging="5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%1."/>
      <w:lvlJc w:val="start"/>
      <w:pPr>
        <w:ind w:left="680" w:hanging="5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%1."/>
      <w:lvlJc w:val="start"/>
      <w:pPr>
        <w:ind w:left="680" w:hanging="570"/>
      </w:pPr>
    </w:lvl>
  </w:abstractNum>
  <w:abstractNum w:abstractNumId="5" w15:restartNumberingAfterBreak="0">
    <w:multiLevelType w:val="hybridMultilevel"/>
    <w:lvl w:ilvl="0" w15:tentative="1">
      <w:start w:val="2"/>
      <w:numFmt w:val="decimal"/>
      <w:lvlText w:val="3.%1."/>
      <w:lvlJc w:val="start"/>
      <w:pPr>
        <w:ind w:left="680" w:hanging="5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4.%1."/>
      <w:lvlJc w:val="start"/>
      <w:pPr>
        <w:ind w:left="680" w:hanging="5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6.%1."/>
      <w:lvlJc w:val="start"/>
      <w:pPr>
        <w:ind w:left="680" w:hanging="5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7.%1."/>
      <w:lvlJc w:val="start"/>
      <w:pPr>
        <w:ind w:left="680" w:hanging="5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9.%1."/>
      <w:lvlJc w:val="start"/>
      <w:pPr>
        <w:ind w:left="680" w:hanging="5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10.%1."/>
      <w:lvlJc w:val="start"/>
      <w:pPr>
        <w:ind w:left="680" w:hanging="5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11.%1."/>
      <w:lvlJc w:val="start"/>
      <w:pPr>
        <w:ind w:left="680" w:hanging="5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12.%1."/>
      <w:lvlJc w:val="start"/>
      <w:pPr>
        <w:ind w:left="680" w:hanging="5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Партнёрское соглашение — Eva Space</dc:title>
  <dc:creator>Eva Space</dc:creator>
  <cp:lastModifiedBy>Un-named</cp:lastModifiedBy>
  <cp:revision>1</cp:revision>
  <dcterms:created xsi:type="dcterms:W3CDTF">2026-09-14T05:37:09.194Z</dcterms:created>
  <dcterms:modified xsi:type="dcterms:W3CDTF">2026-09-14T05:37:09.195Z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