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9B59B6"/>
          <w:spacing w:val="40"/>
          <w:sz w:val="20"/>
          <w:szCs w:val="20"/>
        </w:rPr>
        <w:t xml:space="preserve">EVA SPACE · НЕ ПУБЛИКУЕТСЯ</w:t>
      </w:r>
    </w:p>
    <w:p>
      <w:pPr>
        <w:spacing w:after="20"/>
      </w:pPr>
      <w:r>
        <w:rPr>
          <w:rFonts w:ascii="Calibri" w:cs="Calibri" w:eastAsia="Calibri" w:hAnsi="Calibri"/>
          <w:b/>
          <w:bCs/>
          <w:color w:val="5B2C6F"/>
          <w:sz w:val="32"/>
          <w:szCs w:val="32"/>
        </w:rPr>
        <w:t xml:space="preserve">Комментарии к проекту Политики</w:t>
      </w:r>
    </w:p>
    <w:p>
      <w:pPr>
        <w:spacing w:after="100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Что заполнить, что изменить в продукте до публикации и какие документы нужны вместе с Политикой</w:t>
      </w:r>
    </w:p>
    <w:p>
      <w:pPr>
        <w:pBdr>
          <w:left w:val="single" w:color="9B59B6" w:sz="18" w:space="7"/>
        </w:pBdr>
        <w:shd w:fill="FBF8FD" w:color="auto" w:val="clear"/>
        <w:spacing w:after="80" w:before="70" w:line="214"/>
        <w:ind w:left="160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Как пользоваться. </w:t>
      </w:r>
      <w:r>
        <w:rPr>
          <w:rFonts w:ascii="Calibri" w:cs="Calibri" w:eastAsia="Calibri" w:hAnsi="Calibri"/>
          <w:sz w:val="19"/>
          <w:szCs w:val="19"/>
        </w:rPr>
        <w:t xml:space="preserve">Политика построена на примере AB MONEY: сохранены порядок разделов, тон «мы и вы» и формат «Цель № N». Наполнение сделано под Eva Space, а ошибки примера исправлены — они перечислены в разделе 1. Жёлтым выделено всё, что нужно заполнить. Политика должна описывать реальную обработку: если продукт работает иначе, чем написано, это нарушение само по себе. Поэтому до публикации нужно выполнить условия из раздела 3 этой записки. Перед публикацией проект стоит показать практикующему юристу.</w:t>
      </w:r>
    </w:p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1. Что взято из примера и что исправлено</w:t>
      </w:r>
    </w:p>
    <w:p>
      <w:pPr>
        <w:spacing w:after="55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Пример хорошо читается, но в нём есть ошибки, за которые Роскомнадзор штрафует. Ниже — что именно мы поменяли.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76"/>
        <w:gridCol w:w="3076"/>
        <w:gridCol w:w="3770"/>
      </w:tblGrid>
      <w:tr>
        <w:trPr>
          <w:tblHeader/>
        </w:trPr>
        <w:tc>
          <w:tcPr>
            <w:tcW w:type="dxa" w:w="3076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В примере AB MONEY</w:t>
            </w:r>
          </w:p>
        </w:tc>
        <w:tc>
          <w:tcPr>
            <w:tcW w:type="dxa" w:w="3076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Чем это плохо</w:t>
            </w:r>
          </w:p>
        </w:tc>
        <w:tc>
          <w:tcPr>
            <w:tcW w:type="dxa" w:w="377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Как сделано у нас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«Загружая или используя Приложение, вы соглашаетесь с Политикой»; продолжение использования означает согласие с изменениями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 1 сентября 2025 г. согласие оформляется только отдельным документом. Согласие через Политику не считается полученным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Политика прямо говорит, что не является согласием. Согласия — отдельно. Об изменениях предупреждаем за 10 дней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Основания перечислены списком актов: законодательство, устав, договоры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Роскомнадзор ждёт основание по статье 6 для каждой цели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У каждой цели — свой пункт статьи 6 или 10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Срок: «в течение срока, необходимого для достижения целей»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Неконкретно, типичное замечание при проверке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Срок у каждой цели и таблица сроков реагирования на запросы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 цели № 1 указан только e-mail, у целей не указано, чьи это данные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Перечень данных неполный и не совпадает с реальной обработкой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Полный перечень данных и категория субъектов у каждой из 16 целей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«Не обрабатываем сведения о здоровье» — и цель № 3 с пульсом и тренировками из Apple Health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Противоречие внутри документа и обработка специальной категории без письменного согласия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Сведения о здоровье названы прямо, отдельный раздел 7, письменное согласие, календарь на устройстве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«Пользователь понимает и соглашается», что профиль виден другим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Распространение без отдельного согласия по статье 10.1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Отдельное согласие, выбор данных, настройки приватности, прекращение за 3 рабочих дня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Доступ к фото, видео, контактам и адресной книге устройства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Избыточный сбор, нарушение принципа соразмерности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Прямо указано: к файлам, контактам и геолокации доступа нет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Раскрытие «аффилированным компаниям», «для любых других целей», «для маркетинговых целей»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Нарушение принципа ограничения целями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Закрытый перечень получателей с ролью и целью. Не продаём и не раскрываем для чужих целей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Передача покупателю активов при продаже бизнеса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Продажа активов — не правопреемство, нужно отдельное основание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Только правопреемнику при реорганизации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Данные о вас собирают рекламные сети и рекламодатели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Третьи лица без основания и без договора поручения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Рекламных сетей и чужих трекеров нет, только Обработчики по договору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«Если не хотите, чтобы мы собирали информацию, — не загружайте приложение»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Аналитика без согласия, нет реального выбора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Аналитические cookie-файлы — только после согласия, отказ без потери функций; раздел «Ваш выбор» с шестью вариантами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Права без отзыва согласия, способов обращения и сроков ответа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Неполный перечень прав по статьям 14–17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Полный перечень, способы обращения, ответ за 10 рабочих дней</w:t>
            </w:r>
          </w:p>
        </w:tc>
      </w:tr>
      <w:tr>
        <w:trPr>
          <w:cantSplit/>
        </w:trPr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Нет сведений о хранении в России, утечках, рекомендательных технологиях, детях, ответственном лице</w:t>
            </w:r>
          </w:p>
        </w:tc>
        <w:tc>
          <w:tcPr>
            <w:tcW w:type="dxa" w:w="3076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Обязательные элементы отсутствуют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Отдельные разделы на каждую тему</w:t>
            </w:r>
          </w:p>
        </w:tc>
      </w:tr>
      <w:tr>
        <w:trPr>
          <w:cantSplit/>
        </w:trPr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Два разных адреса для связи, опечатки, смешение «Компания», «Оператор», «мы»; нет нумерации</w:t>
            </w:r>
          </w:p>
        </w:tc>
        <w:tc>
          <w:tcPr>
            <w:tcW w:type="dxa" w:w="3076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Документ трудно использовать при запросах и проверке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Один адрес, единые термины, нумерация разделов и пунктов</w:t>
            </w:r>
          </w:p>
        </w:tc>
      </w:tr>
    </w:tbl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2. Что заполнить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3770"/>
        <w:gridCol w:w="2183"/>
      </w:tblGrid>
      <w:tr>
        <w:trPr>
          <w:tblHeader/>
        </w:trPr>
        <w:tc>
          <w:tcPr>
            <w:tcW w:type="dxa" w:w="3969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Поле в Политике</w:t>
            </w:r>
          </w:p>
        </w:tc>
        <w:tc>
          <w:tcPr>
            <w:tcW w:type="dxa" w:w="377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Где взять</w:t>
            </w:r>
          </w:p>
        </w:tc>
        <w:tc>
          <w:tcPr>
            <w:tcW w:type="dxa" w:w="2183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Когда</w:t>
            </w:r>
          </w:p>
        </w:tc>
      </w:tr>
      <w:tr>
        <w:trPr>
          <w:cantSplit/>
        </w:trP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ОГРН, ИНН, адрес ООО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Лист записи ЕГРЮЛ</w:t>
            </w:r>
          </w:p>
        </w:tc>
        <w:tc>
          <w:tcPr>
            <w:tcW w:type="dxa" w:w="2183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После регистрации ООО</w:t>
            </w:r>
          </w:p>
        </w:tc>
      </w:tr>
      <w:tr>
        <w:trPr>
          <w:cantSplit/>
        </w:trP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Номер в реестре операторов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Ответ Роскомнадзора на уведомление об обработке</w:t>
            </w:r>
          </w:p>
        </w:tc>
        <w:tc>
          <w:tcPr>
            <w:tcW w:type="dxa" w:w="2183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После подачи уведомления</w:t>
            </w:r>
          </w:p>
        </w:tc>
      </w:tr>
      <w:tr>
        <w:trPr>
          <w:cantSplit/>
        </w:trP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Домен, адреса страниц политики, правил рекомендательных технологий и архива редакций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Сайт</w:t>
            </w:r>
          </w:p>
        </w:tc>
        <w:tc>
          <w:tcPr>
            <w:tcW w:type="dxa" w:w="2183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публикации</w:t>
            </w:r>
          </w:p>
        </w:tc>
      </w:tr>
      <w:tr>
        <w:trPr>
          <w:cantSplit/>
        </w:trP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Адрес электронной почты для запросов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Отдельный ящик, например privacy@, с доступом ответственного</w:t>
            </w:r>
          </w:p>
        </w:tc>
        <w:tc>
          <w:tcPr>
            <w:tcW w:type="dxa" w:w="2183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публикации</w:t>
            </w:r>
          </w:p>
        </w:tc>
      </w:tr>
      <w:tr>
        <w:trPr>
          <w:cantSplit/>
        </w:trP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Ответственное лицо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Приказ о назначении</w:t>
            </w:r>
          </w:p>
        </w:tc>
        <w:tc>
          <w:tcPr>
            <w:tcW w:type="dxa" w:w="2183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При утверждении Политики</w:t>
            </w:r>
          </w:p>
        </w:tc>
      </w:tr>
      <w:tr>
        <w:trPr>
          <w:cantSplit/>
        </w:trP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Пути к функциям в приложении: удаление аккаунта, «Мои данные»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Разработка</w:t>
            </w:r>
          </w:p>
        </w:tc>
        <w:tc>
          <w:tcPr>
            <w:tcW w:type="dxa" w:w="2183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публикации</w:t>
            </w:r>
          </w:p>
        </w:tc>
      </w:tr>
      <w:tr>
        <w:trPr>
          <w:cantSplit/>
        </w:trPr>
        <w:tc>
          <w:tcPr>
            <w:tcW w:type="dxa" w:w="3969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Дата и номер приказа об утверждении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Приказ генерального директора</w:t>
            </w:r>
          </w:p>
        </w:tc>
        <w:tc>
          <w:tcPr>
            <w:tcW w:type="dxa" w:w="2183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При утверждении</w:t>
            </w:r>
          </w:p>
        </w:tc>
      </w:tr>
      <w:tr>
        <w:trPr>
          <w:cantSplit/>
        </w:trPr>
        <w:tc>
          <w:tcPr>
            <w:tcW w:type="dxa" w:w="3969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Наименования и ИНН Обработчиков в Приложении 1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Договоры с подрядчиками</w:t>
            </w:r>
          </w:p>
        </w:tc>
        <w:tc>
          <w:tcPr>
            <w:tcW w:type="dxa" w:w="2183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До начала обработки</w:t>
            </w:r>
          </w:p>
        </w:tc>
      </w:tr>
    </w:tbl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3. Что изменить в продукте до публикации</w:t>
      </w:r>
    </w:p>
    <w:p>
      <w:pPr>
        <w:spacing w:after="55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Политика написана под целевое состояние продукта. Ниже — расхождения между ним и текущим прототипом.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0"/>
        <w:gridCol w:w="3770"/>
        <w:gridCol w:w="3572"/>
      </w:tblGrid>
      <w:tr>
        <w:trPr>
          <w:tblHeader/>
        </w:trPr>
        <w:tc>
          <w:tcPr>
            <w:tcW w:type="dxa" w:w="258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сейчас</w:t>
            </w:r>
          </w:p>
        </w:tc>
        <w:tc>
          <w:tcPr>
            <w:tcW w:type="dxa" w:w="3770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Почему это проблема</w:t>
            </w:r>
          </w:p>
        </w:tc>
        <w:tc>
          <w:tcPr>
            <w:tcW w:type="dxa" w:w="3572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сделать</w:t>
            </w:r>
          </w:p>
        </w:tc>
      </w:tr>
      <w:tr>
        <w:trPr>
          <w:cantSplit/>
        </w:trP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Голосовой ввод «Евы»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использует стандартное распознавание речи браузера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 Chrome аудио по умолчанию уходит на серверы Google, в Safari — Apple. Это трансграничная передача и сбор через иностранный сервис. В описании продукта для юристов это было указано неверно, документ исправлен</w:t>
            </w:r>
          </w:p>
        </w:tc>
        <w:tc>
          <w:tcPr>
            <w:tcW w:type="dxa" w:w="35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Отключить голосовой ввод до перехода на российский сервис распознавания либо включить режим распознавания на устройстве там, где браузер его поддерживает</w:t>
            </w:r>
          </w:p>
        </w:tc>
      </w:tr>
      <w:tr>
        <w:trPr>
          <w:cantSplit/>
        </w:trP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Озвучка ответов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берёт любой русский голос браузера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Сетевые голоса Chrome отправляют текст ответа на серверы Google</w:t>
            </w:r>
          </w:p>
        </w:tc>
        <w:tc>
          <w:tcPr>
            <w:tcW w:type="dxa" w:w="357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Использовать только голоса, работающие на устройстве, либо российский сервис синтеза</w:t>
            </w:r>
          </w:p>
        </w:tc>
      </w:tr>
      <w:tr>
        <w:trPr>
          <w:cantSplit/>
        </w:trP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17"/>
                <w:szCs w:val="17"/>
              </w:rPr>
              <w:t xml:space="preserve">Экран «моя аудитория» </w:t>
            </w: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показывает имена приглашённых и суммы их покупок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Раскрытие персональных данных одной пользовательницы другой без правового основания</w:t>
            </w:r>
          </w:p>
        </w:tc>
        <w:tc>
          <w:tcPr>
            <w:tcW w:type="dxa" w:w="35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Показывать только число приглашённых и сумму начисленных бонусов. Цель № 8 Политики написана под это</w:t>
            </w:r>
          </w:p>
        </w:tc>
      </w:tr>
      <w:tr>
        <w:trPr>
          <w:cantSplit/>
        </w:trP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Календарь цикла хранится в браузере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Это правильно: данные о здоровье не попадают на сервер</w:t>
            </w:r>
          </w:p>
        </w:tc>
        <w:tc>
          <w:tcPr>
            <w:tcW w:type="dxa" w:w="357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Сохранить хранение на устройстве по умолчанию, синхронизацию сделать отдельной опцией с согласием (п. 7.3)</w:t>
            </w:r>
          </w:p>
        </w:tc>
      </w:tr>
      <w:tr>
        <w:trPr>
          <w:cantSplit/>
        </w:trP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Вопросы о беременности и самочувствии обязательны в онбординге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Специальная категория данных без письменного согласия</w:t>
            </w:r>
          </w:p>
        </w:tc>
        <w:tc>
          <w:tcPr>
            <w:tcW w:type="dxa" w:w="35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Сделать вопросы необязательными, показывать согласие на данные о здоровье перед ними (п. 7.2)</w:t>
            </w:r>
          </w:p>
        </w:tc>
      </w:tr>
      <w:tr>
        <w:trPr>
          <w:cantSplit/>
        </w:trPr>
        <w:tc>
          <w:tcPr>
            <w:tcW w:type="dxa" w:w="258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Согласие подписывается галочкой</w:t>
            </w:r>
          </w:p>
        </w:tc>
        <w:tc>
          <w:tcPr>
            <w:tcW w:type="dxa" w:w="3770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Для данных о здоровье нужно письменное согласие</w:t>
            </w:r>
          </w:p>
        </w:tc>
        <w:tc>
          <w:tcPr>
            <w:tcW w:type="dxa" w:w="3572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Подписание кодом из SMS плюс раздел о простой электронной подписи в пользовательском соглашении (ч. 2 ст. 6 закона 63-ФЗ)</w:t>
            </w:r>
          </w:p>
        </w:tc>
      </w:tr>
      <w:tr>
        <w:trPr>
          <w:cantSplit/>
        </w:trPr>
        <w:tc>
          <w:tcPr>
            <w:tcW w:type="dxa" w:w="258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Сообщество работает без правил и согласий</w:t>
            </w:r>
          </w:p>
        </w:tc>
        <w:tc>
          <w:tcPr>
            <w:tcW w:type="dxa" w:w="3770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Публикации видны неограниченному кругу лиц — это распространение</w:t>
            </w:r>
          </w:p>
        </w:tc>
        <w:tc>
          <w:tcPr>
            <w:tcW w:type="dxa" w:w="3572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Согласие на распространение при первом посте и правила сообщества, либо перенос сообщества в закрытый чат на старте</w:t>
            </w:r>
          </w:p>
        </w:tc>
      </w:tr>
    </w:tbl>
    <w:p>
      <w:pPr>
        <w:spacing w:after="60"/>
      </w:pPr>
    </w:p>
    <w:p>
      <w:pPr>
        <w:spacing w:after="55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При запуске сервера дополнительно: </w:t>
      </w:r>
      <w:r>
        <w:rPr>
          <w:rFonts w:ascii="Calibri" w:cs="Calibri" w:eastAsia="Calibri" w:hAnsi="Calibri"/>
          <w:sz w:val="19"/>
          <w:szCs w:val="19"/>
        </w:rPr>
        <w:t xml:space="preserve">вход только по номеру телефона или через российские сервисы, без Apple и Google; Яндекс Метрика ставится только после согласия в баннере, а Вебвизор отключён или маскирует все поля ввода; все подрядчики российские, с серверами в России и договором поручения обработки.</w:t>
      </w:r>
    </w:p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4. Публикуйте только то, что работает</w:t>
      </w:r>
    </w:p>
    <w:p>
      <w:pPr>
        <w:spacing w:after="55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Описывать в Политике функции, которых ещё нет, не нужно: Роскомнадзор сверяет Политику с уведомлением и с реальной обработкой. Если на дату публикации функция не запущена, соответствующие пункты удаляются и возвращаются новой редакцией при запуске.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75"/>
        <w:gridCol w:w="6747"/>
      </w:tblGrid>
      <w:tr>
        <w:trPr>
          <w:tblHeader/>
        </w:trPr>
        <w:tc>
          <w:tcPr>
            <w:tcW w:type="dxa" w:w="3175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Функция</w:t>
            </w:r>
          </w:p>
        </w:tc>
        <w:tc>
          <w:tcPr>
            <w:tcW w:type="dxa" w:w="6747"/>
            <w:shd w:fill="EADC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b/>
                <w:bCs/>
                <w:sz w:val="17"/>
                <w:szCs w:val="17"/>
              </w:rPr>
              <w:t xml:space="preserve">Что убрать из Политики, пока функция не работает</w:t>
            </w:r>
          </w:p>
        </w:tc>
      </w:tr>
      <w:tr>
        <w:trPr>
          <w:cantSplit/>
        </w:trPr>
        <w:tc>
          <w:tcPr>
            <w:tcW w:type="dxa" w:w="317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Курсы экспертов и кабинет эксперта</w:t>
            </w:r>
          </w:p>
        </w:tc>
        <w:tc>
          <w:tcPr>
            <w:tcW w:type="dxa" w:w="674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Цели № 5 и № 11, страницы Экспертов в разделе 8, строки «Эксперты и Продавцы» и «Сервис выплат» в разделе 11 и Приложении 1</w:t>
            </w:r>
          </w:p>
        </w:tc>
      </w:tr>
      <w:tr>
        <w:trPr>
          <w:cantSplit/>
        </w:trPr>
        <w:tc>
          <w:tcPr>
            <w:tcW w:type="dxa" w:w="3175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Маркет и кабинет продавца</w:t>
            </w:r>
          </w:p>
        </w:tc>
        <w:tc>
          <w:tcPr>
            <w:tcW w:type="dxa" w:w="674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Цель № 5 в части Продавцов, цель № 12, строка «Службы доставки»</w:t>
            </w:r>
          </w:p>
        </w:tc>
      </w:tr>
      <w:tr>
        <w:trPr>
          <w:cantSplit/>
        </w:trPr>
        <w:tc>
          <w:tcPr>
            <w:tcW w:type="dxa" w:w="317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Офлайн-мероприятия</w:t>
            </w:r>
          </w:p>
        </w:tc>
        <w:tc>
          <w:tcPr>
            <w:tcW w:type="dxa" w:w="674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Цель № 13, изображения Участников в разделе 8</w:t>
            </w:r>
          </w:p>
        </w:tc>
      </w:tr>
      <w:tr>
        <w:trPr>
          <w:cantSplit/>
        </w:trPr>
        <w:tc>
          <w:tcPr>
            <w:tcW w:type="dxa" w:w="3175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Сообщество внутри приложения</w:t>
            </w:r>
          </w:p>
        </w:tc>
        <w:tc>
          <w:tcPr>
            <w:tcW w:type="dxa" w:w="674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Раздел 5, цель № 6, раздел 8 в части Пользователей</w:t>
            </w:r>
          </w:p>
        </w:tc>
      </w:tr>
      <w:tr>
        <w:trPr>
          <w:cantSplit/>
        </w:trPr>
        <w:tc>
          <w:tcPr>
            <w:tcW w:type="dxa" w:w="317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Партнёрская программа с денежными выплатами</w:t>
            </w:r>
          </w:p>
        </w:tc>
        <w:tc>
          <w:tcPr>
            <w:tcW w:type="dxa" w:w="674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Вторая часть цели № 8, строка «Сервис выплат»</w:t>
            </w:r>
          </w:p>
        </w:tc>
      </w:tr>
      <w:tr>
        <w:trPr>
          <w:cantSplit/>
        </w:trPr>
        <w:tc>
          <w:tcPr>
            <w:tcW w:type="dxa" w:w="3175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Синхронизация календаря цикла</w:t>
            </w:r>
          </w:p>
        </w:tc>
        <w:tc>
          <w:tcPr>
            <w:tcW w:type="dxa" w:w="6747"/>
            <w:shd w:fill="F8F4FB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Упоминания синхронизации в цели № 3 и пункте 7.3</w:t>
            </w:r>
          </w:p>
        </w:tc>
      </w:tr>
      <w:tr>
        <w:trPr>
          <w:cantSplit/>
        </w:trPr>
        <w:tc>
          <w:tcPr>
            <w:tcW w:type="dxa" w:w="3175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Помощник с нейросетью</w:t>
            </w:r>
          </w:p>
        </w:tc>
        <w:tc>
          <w:tcPr>
            <w:tcW w:type="dxa" w:w="6747"/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 w:line="210"/>
            </w:pPr>
            <w:r>
              <w:rPr>
                <w:rFonts w:ascii="Calibri" w:cs="Calibri" w:eastAsia="Calibri" w:hAnsi="Calibri"/>
                <w:sz w:val="17"/>
                <w:szCs w:val="17"/>
              </w:rPr>
              <w:t xml:space="preserve">Строка «Распознавание речи и языковые модели»; если помощник работает на сценариях без внешних сервисов, её нет</w:t>
            </w:r>
          </w:p>
        </w:tc>
      </w:tr>
    </w:tbl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5. Документы, которые нужны вместе с Политикой</w:t>
      </w:r>
    </w:p>
    <w:p>
      <w:pPr>
        <w:spacing w:after="55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Политика на них ссылается, и без них она не работает. Каждое согласие — отдельный документ и отдельная галочка: с 1 сентября 2025 года согласие нельзя включать в Политику, пользовательское соглашение или баннер cookie.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Согласие на обработку персональных данных. </w:t>
      </w:r>
      <w:r>
        <w:rPr>
          <w:rFonts w:ascii="Calibri" w:cs="Calibri" w:eastAsia="Calibri" w:hAnsi="Calibri"/>
          <w:sz w:val="19"/>
          <w:szCs w:val="19"/>
        </w:rPr>
        <w:t xml:space="preserve">Общее, при регистрации.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Согласие на обработку сведений о состоянии здоровья. </w:t>
      </w:r>
      <w:r>
        <w:rPr>
          <w:rFonts w:ascii="Calibri" w:cs="Calibri" w:eastAsia="Calibri" w:hAnsi="Calibri"/>
          <w:sz w:val="19"/>
          <w:szCs w:val="19"/>
        </w:rPr>
        <w:t xml:space="preserve">Письменное, с подписанием кодом из SMS.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Согласие на распространение. </w:t>
      </w:r>
      <w:r>
        <w:rPr>
          <w:rFonts w:ascii="Calibri" w:cs="Calibri" w:eastAsia="Calibri" w:hAnsi="Calibri"/>
          <w:sz w:val="19"/>
          <w:szCs w:val="19"/>
        </w:rPr>
        <w:t xml:space="preserve">Для сообщества, страниц экспертов и фото с мероприятий, по требованиям приказа Роскомнадзора от 24.02.2021 № 18: субъект сам выбирает данные и может установить запреты.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Согласие на рассылки. </w:t>
      </w:r>
      <w:r>
        <w:rPr>
          <w:rFonts w:ascii="Calibri" w:cs="Calibri" w:eastAsia="Calibri" w:hAnsi="Calibri"/>
          <w:sz w:val="19"/>
          <w:szCs w:val="19"/>
        </w:rPr>
        <w:t xml:space="preserve">Отдельная галочка, не отмеченная по умолчанию.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Баннер о файлах cookie </w:t>
      </w:r>
      <w:r>
        <w:rPr>
          <w:rFonts w:ascii="Calibri" w:cs="Calibri" w:eastAsia="Calibri" w:hAnsi="Calibri"/>
          <w:sz w:val="19"/>
          <w:szCs w:val="19"/>
        </w:rPr>
        <w:t xml:space="preserve">с возможностью отказаться от аналитических.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Правила применения рекомендательных технологий </w:t>
      </w:r>
      <w:r>
        <w:rPr>
          <w:rFonts w:ascii="Calibri" w:cs="Calibri" w:eastAsia="Calibri" w:hAnsi="Calibri"/>
          <w:sz w:val="19"/>
          <w:szCs w:val="19"/>
        </w:rPr>
        <w:t xml:space="preserve">по статье 10.2-2 закона 149-ФЗ.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Пользовательское соглашение </w:t>
      </w:r>
      <w:r>
        <w:rPr>
          <w:rFonts w:ascii="Calibri" w:cs="Calibri" w:eastAsia="Calibri" w:hAnsi="Calibri"/>
          <w:sz w:val="19"/>
          <w:szCs w:val="19"/>
        </w:rPr>
        <w:t xml:space="preserve">с разделом о простой электронной подписи.</w:t>
      </w:r>
    </w:p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6. Внутренние документы, которые проверяет Роскомнадзор</w:t>
      </w:r>
    </w:p>
    <w:p>
      <w:pPr>
        <w:spacing w:after="55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Они не публикуются, но их отсутствие — самостоятельное нарушение.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Приказ о назначении ответственного за организацию обработки персональных данных.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Положение об обработке и защите персональных данных.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Акт оценки вреда субъектам по приказу Роскомнадзора от 27.10.2022 № 178.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Модель угроз и акт определения уровня защищённости по постановлению Правительства № 1119.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Перечень работников с доступом к данным и их обязательства о неразглашении.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Журнал учёта запросов субъектов.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Форма акта об уничтожении по приказу Роскомнадзора от 28.10.2022 № 179.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Регламент реагирования на инциденты: уведомление Роскомнадзора за 24 часа и отчёт за 72 часа.</w:t>
      </w:r>
    </w:p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7. Порядок действий</w:t>
      </w:r>
    </w:p>
    <w:p>
      <w:pPr>
        <w:pStyle w:val="ListParagraph"/>
        <w:numPr>
          <w:ilvl w:val="0"/>
          <w:numId w:val="3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Зарегистрировать ООО.</w:t>
      </w:r>
    </w:p>
    <w:p>
      <w:pPr>
        <w:pStyle w:val="ListParagraph"/>
        <w:numPr>
          <w:ilvl w:val="0"/>
          <w:numId w:val="3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Выполнить изменения в продукте из раздела 3.</w:t>
      </w:r>
    </w:p>
    <w:p>
      <w:pPr>
        <w:pStyle w:val="ListParagraph"/>
        <w:numPr>
          <w:ilvl w:val="0"/>
          <w:numId w:val="3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Подать уведомление в Роскомнадзор до начала обработки. Цели, категории данных, перечень действий, меры защиты, место нахождения баз данных и отсутствие трансграничной передачи в уведомлении должны совпадать с Политикой.</w:t>
      </w:r>
    </w:p>
    <w:p>
      <w:pPr>
        <w:pStyle w:val="ListParagraph"/>
        <w:numPr>
          <w:ilvl w:val="0"/>
          <w:numId w:val="3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Заполнить выделенные поля, убрать пункты незапущенных функций, утвердить Политику приказом.</w:t>
      </w:r>
    </w:p>
    <w:p>
      <w:pPr>
        <w:pStyle w:val="ListParagraph"/>
        <w:numPr>
          <w:ilvl w:val="0"/>
          <w:numId w:val="3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Опубликовать Политику вместе с согласиями до запуска регистрации пользователей.</w:t>
      </w:r>
    </w:p>
    <w:p>
      <w:pPr>
        <w:pStyle w:val="ListParagraph"/>
        <w:numPr>
          <w:ilvl w:val="0"/>
          <w:numId w:val="3"/>
        </w:numPr>
        <w:spacing w:after="30" w:line="214"/>
        <w:jc w:val="both"/>
      </w:pPr>
      <w:r>
        <w:rPr>
          <w:rFonts w:ascii="Calibri" w:cs="Calibri" w:eastAsia="Calibri" w:hAnsi="Calibri"/>
          <w:sz w:val="19"/>
          <w:szCs w:val="19"/>
        </w:rPr>
        <w:t xml:space="preserve">Выпускать новую редакцию при запуске каждой новой функции и не реже раза в год.</w:t>
      </w:r>
    </w:p>
    <w:p>
      <w:pPr>
        <w:keepNext/>
        <w:spacing w:after="50" w:before="110"/>
      </w:pPr>
      <w:r>
        <w:rPr>
          <w:rFonts w:ascii="Calibri" w:cs="Calibri" w:eastAsia="Calibri" w:hAnsi="Calibri"/>
          <w:b/>
          <w:bCs/>
          <w:color w:val="5B2C6F"/>
          <w:sz w:val="21"/>
          <w:szCs w:val="21"/>
        </w:rPr>
        <w:t xml:space="preserve">8. Решения в проекте, которые стоит подтвердить с юристом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Самочувствие как данные о здоровье. </w:t>
      </w:r>
      <w:r>
        <w:rPr>
          <w:rFonts w:ascii="Calibri" w:cs="Calibri" w:eastAsia="Calibri" w:hAnsi="Calibri"/>
          <w:sz w:val="19"/>
          <w:szCs w:val="19"/>
        </w:rPr>
        <w:t xml:space="preserve">Ответы о тревожности, сне и выгорании отнесены к специальной категории. Это консервативный подход: он требует письменного согласия, но исключает спор с регулятором.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Сообщество как распространение. </w:t>
      </w:r>
      <w:r>
        <w:rPr>
          <w:rFonts w:ascii="Calibri" w:cs="Calibri" w:eastAsia="Calibri" w:hAnsi="Calibri"/>
          <w:sz w:val="19"/>
          <w:szCs w:val="19"/>
        </w:rPr>
        <w:t xml:space="preserve">Публикации, видимые всем зарегистрированным, считаются доступными неограниченному кругу лиц. Тоже консервативный подход.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Сроки хранения. </w:t>
      </w:r>
      <w:r>
        <w:rPr>
          <w:rFonts w:ascii="Calibri" w:cs="Calibri" w:eastAsia="Calibri" w:hAnsi="Calibri"/>
          <w:sz w:val="19"/>
          <w:szCs w:val="19"/>
        </w:rPr>
        <w:t xml:space="preserve">Три года для данных, нужных для споров, — по сроку исковой давности; пять лет для бухгалтерских и налоговых документов; двенадцать месяцев для истории чата и журналов.</w:t>
      </w:r>
    </w:p>
    <w:p>
      <w:pPr>
        <w:pStyle w:val="ListParagraph"/>
        <w:numPr>
          <w:ilvl w:val="0"/>
          <w:numId w:val="2"/>
        </w:numPr>
        <w:spacing w:after="30" w:line="214"/>
        <w:jc w:val="both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Противопоказания на мероприятиях. </w:t>
      </w:r>
      <w:r>
        <w:rPr>
          <w:rFonts w:ascii="Calibri" w:cs="Calibri" w:eastAsia="Calibri" w:hAnsi="Calibri"/>
          <w:sz w:val="19"/>
          <w:szCs w:val="19"/>
        </w:rPr>
        <w:t xml:space="preserve">Политика предполагает, что участница только подтверждает ознакомление с противопоказаниями, а сведения о здоровье не собираются. Если программа требует анкету о здоровье, нужен отдельный пункт и отдельное письменное согласие.</w:t>
      </w:r>
    </w:p>
    <w:sectPr>
      <w:footerReference w:type="default" r:id="rId7"/>
      <w:pgSz w:w="11906" w:h="16838" w:orient="portrait"/>
      <w:pgMar w:top="820" w:right="992" w:bottom="680" w:left="992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99999"/>
        <w:sz w:val="14"/>
        <w:szCs w:val="14"/>
      </w:rPr>
      <w:t xml:space="preserve">Eva Space · комментарии к проекту Политики · не публикуется · стр. </w:t>
    </w:r>
    <w:r>
      <w:rPr>
        <w:rFonts w:ascii="Calibri" w:cs="Calibri" w:eastAsia="Calibri" w:hAnsi="Calibri"/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25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2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Комментарии к проекту Политики обработки персональных данных</dc:title>
  <dc:creator>Eva Space</dc:creator>
  <cp:lastModifiedBy>Un-named</cp:lastModifiedBy>
  <cp:revision>1</cp:revision>
  <dcterms:created xsi:type="dcterms:W3CDTF">2026-10-01T09:09:16.471Z</dcterms:created>
  <dcterms:modified xsi:type="dcterms:W3CDTF">2026-10-01T09:09:16.471Z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