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eastAsia="Times New Roman"/>
          <w:b/>
          <w:sz w:val="24"/>
        </w:rPr>
        <w:t>From Ethical Principles to Executable Governance: Emotional Infrastructure Telemetry as a Policy Translation Layer for Longitudinal AI Interaction Systems</w:t>
      </w:r>
    </w:p>
    <w:p>
      <w:pPr>
        <w:spacing w:line="480" w:lineRule="auto" w:after="0"/>
        <w:jc w:val="center"/>
      </w:pPr>
      <w:r>
        <w:rPr>
          <w:rFonts w:ascii="Times New Roman" w:hAnsi="Times New Roman" w:eastAsia="Times New Roman"/>
          <w:sz w:val="24"/>
        </w:rPr>
        <w:t>Brittany Wright</w:t>
      </w:r>
    </w:p>
    <w:p>
      <w:pPr>
        <w:spacing w:line="480" w:lineRule="auto" w:after="0"/>
        <w:jc w:val="center"/>
      </w:pPr>
      <w:r>
        <w:rPr>
          <w:rFonts w:ascii="Times New Roman" w:hAnsi="Times New Roman" w:eastAsia="Times New Roman"/>
          <w:sz w:val="24"/>
        </w:rPr>
        <w:t>College of Business and Information Technology, University of Phoenix</w:t>
      </w:r>
    </w:p>
    <w:p>
      <w:pPr>
        <w:spacing w:line="480" w:lineRule="auto" w:after="0"/>
        <w:jc w:val="center"/>
      </w:pPr>
      <w:r>
        <w:rPr>
          <w:rFonts w:ascii="Times New Roman" w:hAnsi="Times New Roman" w:eastAsia="Times New Roman"/>
          <w:sz w:val="24"/>
        </w:rPr>
        <w:t>Center for Educational and Instructional Technology Research</w:t>
      </w:r>
    </w:p>
    <w:p>
      <w:pPr>
        <w:spacing w:line="480" w:lineRule="auto" w:after="0"/>
        <w:jc w:val="left"/>
      </w:pPr>
      <w:r>
        <w:rPr>
          <w:rFonts w:ascii="Times New Roman" w:hAnsi="Times New Roman" w:eastAsia="Times New Roman"/>
          <w:b/>
          <w:sz w:val="24"/>
        </w:rPr>
        <w:t>Author Note</w:t>
      </w:r>
    </w:p>
    <w:p>
      <w:pPr>
        <w:spacing w:line="480" w:lineRule="auto" w:after="0"/>
        <w:ind w:firstLine="720"/>
      </w:pPr>
      <w:r>
        <w:rPr>
          <w:rFonts w:ascii="Times New Roman" w:hAnsi="Times New Roman" w:eastAsia="Times New Roman"/>
          <w:sz w:val="24"/>
        </w:rPr>
        <w:t>This manuscript presents Emotional Infrastructure Telemetry as a protocol-level governance architecture for AI systems that mediate longitudinal user interaction. The paper is framed as a conceptual standards and policy design contribution rather than an empirical validation study. Correspondence concerning this manuscript should be directed to Brittany Wright.</w:t>
      </w:r>
    </w:p>
    <w:p>
      <w:r>
        <w:br w:type="page"/>
      </w:r>
    </w:p>
    <w:p>
      <w:pPr>
        <w:pStyle w:val="Heading1"/>
        <w:spacing w:line="480" w:lineRule="auto" w:before="240" w:after="0"/>
      </w:pPr>
      <w:r>
        <w:rPr>
          <w:rFonts w:ascii="Times New Roman" w:hAnsi="Times New Roman" w:eastAsia="Times New Roman"/>
          <w:b/>
          <w:sz w:val="24"/>
        </w:rPr>
        <w:t>Abstract</w:t>
      </w:r>
    </w:p>
    <w:p>
      <w:pPr>
        <w:spacing w:line="480" w:lineRule="auto" w:after="0"/>
      </w:pPr>
      <w:r>
        <w:rPr>
          <w:rFonts w:ascii="Times New Roman" w:hAnsi="Times New Roman" w:eastAsia="Times New Roman"/>
          <w:sz w:val="24"/>
        </w:rPr>
        <w:t>Artificial intelligence governance often relies on high-level principles, post hoc audits, or documentation artifacts that do not directly control the longitudinal interaction pathways through which users experience AI systems. This paper develops Emotional Infrastructure Telemetry (EIT) as a policy translation layer for AI systems that must govern interaction continuity, consent boundaries, response escalation, and audit traceability across time. EIT is organized as a deterministic governance pipeline: Consent Scope, Longitudinal Interaction Logging (LIL), Trajectory Analysis and Response (TAR), Personal Development and Intervention (PDEV), and Audit Traceability. The contribution is protocol-level rather than diagnostic: EIT does not infer mental states, classify users psychologically, regulate model training data, or address compute-level frontier risk. Instead, it defines enforceable rules, schemas, control points, test vectors, and audit evidence for systems that adapt to user interaction histories. The paper integrates literature on AI risk management, algorithmic accountability, internal auditing, documentation practices, and socio-technical infrastructure, then translates that literature into deterministic logic suitable for conformance review. Appendices provide pseudocode, schema examples, an audit traceability matrix, and test scenarios. The central claim is that AI governance becomes operational only when abstract obligations are converted into observable system conditions, bounded permissions, auditable records, and enforceable escalation pathways.</w:t>
      </w:r>
    </w:p>
    <w:p>
      <w:pPr>
        <w:spacing w:line="480" w:lineRule="auto" w:after="0"/>
      </w:pPr>
      <w:r>
        <w:rPr>
          <w:rFonts w:ascii="Times New Roman" w:hAnsi="Times New Roman" w:eastAsia="Times New Roman"/>
          <w:sz w:val="24"/>
        </w:rPr>
        <w:t>Keywords: AI governance, algorithmic auditing, socio-technical infrastructure, telemetry, consent, auditability, longitudinal interaction, standards</w:t>
      </w:r>
    </w:p>
    <w:p>
      <w:r>
        <w:br w:type="page"/>
      </w:r>
    </w:p>
    <w:p>
      <w:pPr>
        <w:spacing w:line="480" w:lineRule="auto"/>
        <w:jc w:val="center"/>
      </w:pPr>
      <w:r>
        <w:rPr>
          <w:rFonts w:ascii="Times New Roman" w:hAnsi="Times New Roman" w:eastAsia="Times New Roman"/>
          <w:b/>
          <w:sz w:val="24"/>
        </w:rPr>
        <w:t>From Ethical Principles to Executable Governance: Emotional Infrastructure Telemetry as a Policy Translation Layer for Longitudinal AI Interaction Systems</w:t>
      </w:r>
    </w:p>
    <w:p>
      <w:pPr>
        <w:pStyle w:val="Heading1"/>
        <w:spacing w:line="480" w:lineRule="auto" w:before="240" w:after="0"/>
      </w:pPr>
      <w:r>
        <w:rPr>
          <w:rFonts w:ascii="Times New Roman" w:hAnsi="Times New Roman" w:eastAsia="Times New Roman"/>
          <w:b/>
          <w:sz w:val="24"/>
        </w:rPr>
        <w:t>Introduction</w:t>
      </w:r>
    </w:p>
    <w:p>
      <w:pPr>
        <w:spacing w:line="480" w:lineRule="auto" w:after="0"/>
        <w:ind w:firstLine="720"/>
      </w:pPr>
      <w:r>
        <w:rPr>
          <w:rFonts w:ascii="Times New Roman" w:hAnsi="Times New Roman" w:eastAsia="Times New Roman"/>
          <w:sz w:val="24"/>
        </w:rPr>
        <w:t>AI governance has increasingly moved from abstract ethical declaration toward operational risk management, but a central translation problem remains unresolved. Regulators, standards bodies, platform operators, and civil society organizations can identify risks such as opacity, discrimination, manipulation, consent failure, and lack of accountability, yet many deployed AI systems still lack a protocol layer that makes these obligations executable during ordinary user interaction. The result is a gap between governance language and system behavior. Principles describe what should happen, but infrastructure determines what actually happens.</w:t>
      </w:r>
    </w:p>
    <w:p>
      <w:pPr>
        <w:spacing w:line="480" w:lineRule="auto" w:after="0"/>
        <w:ind w:firstLine="720"/>
      </w:pPr>
      <w:r>
        <w:rPr>
          <w:rFonts w:ascii="Times New Roman" w:hAnsi="Times New Roman" w:eastAsia="Times New Roman"/>
          <w:sz w:val="24"/>
        </w:rPr>
        <w:t>This paper addresses that gap by developing Emotional Infrastructure Telemetry as a policy translation layer for longitudinal AI interaction. The phrase emotional infrastructure is used here in a governance and systems sense, not as a claim that a system can diagnose, measure, or possess emotion. The concern is the interaction environment through which users encounter AI outputs, contest system behavior, receive explanations, preserve agency, and recover from breakdowns in continuity. EIT treats those interaction conditions as governance objects that can be logged, constrained, tested, and audited.</w:t>
      </w:r>
    </w:p>
    <w:p>
      <w:pPr>
        <w:spacing w:line="480" w:lineRule="auto" w:after="0"/>
        <w:ind w:firstLine="720"/>
      </w:pPr>
      <w:r>
        <w:rPr>
          <w:rFonts w:ascii="Times New Roman" w:hAnsi="Times New Roman" w:eastAsia="Times New Roman"/>
          <w:sz w:val="24"/>
        </w:rPr>
        <w:t>The paper builds from a core architecture consisting of Consent Scope, Longitudinal Interaction Logging, Trajectory Analysis and Response, Personal Development and Intervention, and Audit Traceability. Each component has a bounded function. Consent Scope determines whether the system has authority to process interaction context for a specific governance purpose. LIL records observable interaction events. TAR evaluates patterns across authorized records without making diagnostic claims about the user. PDEV selects proportional user-facing responses. Audit Traceability records why each decision occurred, which rule governed it, and what evidence exists for review.</w:t>
      </w:r>
    </w:p>
    <w:p>
      <w:pPr>
        <w:spacing w:line="480" w:lineRule="auto" w:after="0"/>
        <w:ind w:firstLine="720"/>
      </w:pPr>
      <w:r>
        <w:rPr>
          <w:rFonts w:ascii="Times New Roman" w:hAnsi="Times New Roman" w:eastAsia="Times New Roman"/>
          <w:sz w:val="24"/>
        </w:rPr>
        <w:t>The contribution is intentionally protocol-level. A protocol-level governance paper must move beyond conceptual naming and provide deterministic logic, schema examples, testable rules, and traceability requirements. This paper therefore states the EIT model as a set of enforceable conditions. It also clarifies what EIT does not cover. EIT does not regulate model training data, compute allocation, model weight security, or frontier capability thresholds. Those domains require separate governance layers. EIT governs the interaction layer where deployed systems use, retain, escalate, or respond to longitudinal user context.</w:t>
      </w:r>
    </w:p>
    <w:p>
      <w:pPr>
        <w:pStyle w:val="Heading1"/>
        <w:spacing w:line="480" w:lineRule="auto" w:before="240" w:after="0"/>
      </w:pPr>
      <w:r>
        <w:rPr>
          <w:rFonts w:ascii="Times New Roman" w:hAnsi="Times New Roman" w:eastAsia="Times New Roman"/>
          <w:b/>
          <w:sz w:val="24"/>
        </w:rPr>
        <w:t>Research Problem and Scope</w:t>
      </w:r>
    </w:p>
    <w:p>
      <w:pPr>
        <w:spacing w:line="480" w:lineRule="auto" w:after="0"/>
        <w:ind w:firstLine="720"/>
      </w:pPr>
      <w:r>
        <w:rPr>
          <w:rFonts w:ascii="Times New Roman" w:hAnsi="Times New Roman" w:eastAsia="Times New Roman"/>
          <w:sz w:val="24"/>
        </w:rPr>
        <w:t>The core problem is that AI interaction governance is often evaluated at the wrong unit of analysis. A single model output can be inspected for correctness, harmfulness, or policy compliance, but many user harms and governance failures emerge across sequences of interaction rather than within a single output. A user may receive inconsistent explanations over time, encounter repeated refusals without meaningful recourse, experience hidden adaptation based on prior interactions, or lose the ability to distinguish whether a system is responding to the current prompt or to accumulated behavioral context. These are trajectory problems.</w:t>
      </w:r>
    </w:p>
    <w:p>
      <w:pPr>
        <w:spacing w:line="480" w:lineRule="auto" w:after="0"/>
        <w:ind w:firstLine="720"/>
      </w:pPr>
      <w:r>
        <w:rPr>
          <w:rFonts w:ascii="Times New Roman" w:hAnsi="Times New Roman" w:eastAsia="Times New Roman"/>
          <w:sz w:val="24"/>
        </w:rPr>
        <w:t>Trajectory problems require a governance architecture that can answer four questions. First, what interaction data was the system authorized to use? Second, what events were logged and for what purpose? Third, what pattern or trajectory justified a response change? Fourth, what audit evidence can prove that the system followed its policy obligations? EIT is designed to answer these questions without expanding the system into psychological profiling, behavioral targeting, or unbounded personalization.</w:t>
      </w:r>
    </w:p>
    <w:p>
      <w:pPr>
        <w:spacing w:line="480" w:lineRule="auto" w:after="0"/>
        <w:ind w:firstLine="720"/>
      </w:pPr>
      <w:r>
        <w:rPr>
          <w:rFonts w:ascii="Times New Roman" w:hAnsi="Times New Roman" w:eastAsia="Times New Roman"/>
          <w:sz w:val="24"/>
        </w:rPr>
        <w:t>The scope of EIT is limited to AI systems that maintain, evaluate, or respond to interaction context across time. The framework applies to chat interfaces, educational tutoring systems, workplace copilots, customer support agents, health information assistants, and other systems where longitudinal interaction can affect user agency, understanding, or access to escalation. The framework is not a general AI safety architecture. It is a governance layer for interaction authority, telemetry separation, user-facing intervention, and auditability.</w:t>
      </w:r>
    </w:p>
    <w:p>
      <w:pPr>
        <w:pStyle w:val="Heading1"/>
        <w:spacing w:line="480" w:lineRule="auto" w:before="240" w:after="0"/>
      </w:pPr>
      <w:r>
        <w:rPr>
          <w:rFonts w:ascii="Times New Roman" w:hAnsi="Times New Roman" w:eastAsia="Times New Roman"/>
          <w:b/>
          <w:sz w:val="24"/>
        </w:rPr>
        <w:t>Literature Review</w:t>
      </w:r>
    </w:p>
    <w:p>
      <w:pPr>
        <w:pStyle w:val="Heading2"/>
        <w:spacing w:line="480" w:lineRule="auto" w:before="120" w:after="0"/>
      </w:pPr>
      <w:r>
        <w:rPr>
          <w:rFonts w:ascii="Times New Roman" w:hAnsi="Times New Roman" w:eastAsia="Times New Roman"/>
          <w:b/>
          <w:sz w:val="24"/>
        </w:rPr>
        <w:t>AI governance and risk management</w:t>
      </w:r>
    </w:p>
    <w:p>
      <w:pPr>
        <w:spacing w:line="480" w:lineRule="auto" w:after="0"/>
        <w:ind w:firstLine="720"/>
      </w:pPr>
      <w:r>
        <w:rPr>
          <w:rFonts w:ascii="Times New Roman" w:hAnsi="Times New Roman" w:eastAsia="Times New Roman"/>
          <w:sz w:val="24"/>
        </w:rPr>
        <w:t>AI governance literature has increasingly recognized that trustworthy systems require institutional processes, risk controls, monitoring, and accountability rather than ethics statements alone. The NIST AI Risk Management Framework organizes AI risk work around governance, mapping, measurement, and management functions, creating a practical bridge between organizational obligation and risk control (National Institute of Standards and Technology [NIST], 2023). The OECD AI Principles similarly emphasize human-centered values, transparency, robustness, accountability, and inclusive growth as cross-jurisdictional norms (Organisation for Economic Co-operation and Development [OECD], 2024). The EU AI Act moves from principle toward enforceable obligations by imposing risk-tiered requirements for certain AI systems, including risk management, data governance, transparency, logging, human oversight, accuracy, robustness, and cybersecurity (European Parliament and Council of the European Union, 2024).</w:t>
      </w:r>
    </w:p>
    <w:p>
      <w:pPr>
        <w:spacing w:line="480" w:lineRule="auto" w:after="0"/>
        <w:ind w:firstLine="720"/>
      </w:pPr>
      <w:r>
        <w:rPr>
          <w:rFonts w:ascii="Times New Roman" w:hAnsi="Times New Roman" w:eastAsia="Times New Roman"/>
          <w:sz w:val="24"/>
        </w:rPr>
        <w:t>These governance approaches establish the necessity of risk management but do not fully specify the interaction-level mechanisms needed to govern longitudinal adaptation. EIT complements these frameworks by defining a narrower operational layer. It does not replace organizational risk management or statutory compliance. It translates selected obligations, especially consent, transparency, logging, escalation, and traceability, into concrete protocol behavior at the deployed interaction layer.</w:t>
      </w:r>
    </w:p>
    <w:p>
      <w:pPr>
        <w:pStyle w:val="Heading2"/>
        <w:spacing w:line="480" w:lineRule="auto" w:before="120" w:after="0"/>
      </w:pPr>
      <w:r>
        <w:rPr>
          <w:rFonts w:ascii="Times New Roman" w:hAnsi="Times New Roman" w:eastAsia="Times New Roman"/>
          <w:b/>
          <w:sz w:val="24"/>
        </w:rPr>
        <w:t>Algorithmic accountability and internal auditing</w:t>
      </w:r>
    </w:p>
    <w:p>
      <w:pPr>
        <w:spacing w:line="480" w:lineRule="auto" w:after="0"/>
        <w:ind w:firstLine="720"/>
      </w:pPr>
      <w:r>
        <w:rPr>
          <w:rFonts w:ascii="Times New Roman" w:hAnsi="Times New Roman" w:eastAsia="Times New Roman"/>
          <w:sz w:val="24"/>
        </w:rPr>
        <w:t>Algorithmic accountability scholarship has shown that accountability requires more than disclosure of an algorithm's existence. Diakopoulos (2016) argued that algorithmic decision-making systems require scrutiny of inputs, outputs, goals, influence, and error. Kroll et al. (2017) developed legal and technical pathways for accountable algorithms, emphasizing that auditability must be designed into systems rather than reconstructed after harm occurs. Raji et al. (2020) advanced internal algorithmic auditing as an end-to-end organizational practice capable of exposing gaps between stated values and system behavior. Mökander et al. (2021) further positioned ethics-based auditing as an accountability mechanism for automated decision-making systems.</w:t>
      </w:r>
    </w:p>
    <w:p>
      <w:pPr>
        <w:spacing w:line="480" w:lineRule="auto" w:after="0"/>
        <w:ind w:firstLine="720"/>
      </w:pPr>
      <w:r>
        <w:rPr>
          <w:rFonts w:ascii="Times New Roman" w:hAnsi="Times New Roman" w:eastAsia="Times New Roman"/>
          <w:sz w:val="24"/>
        </w:rPr>
        <w:t>This literature supports EIT's central design choice: audit records must be generated as part of the system's ordinary operation. If audit evidence is created only after a complaint, the record will be incomplete, discretionary, and vulnerable to organizational self-protection. EIT therefore treats logging, rule matching, response selection, and integrity hashing as native governance functions. The audit record is not a separate report. It is a system artifact generated when policy logic is executed.</w:t>
      </w:r>
    </w:p>
    <w:p>
      <w:pPr>
        <w:pStyle w:val="Heading2"/>
        <w:spacing w:line="480" w:lineRule="auto" w:before="120" w:after="0"/>
      </w:pPr>
      <w:r>
        <w:rPr>
          <w:rFonts w:ascii="Times New Roman" w:hAnsi="Times New Roman" w:eastAsia="Times New Roman"/>
          <w:b/>
          <w:sz w:val="24"/>
        </w:rPr>
        <w:t>Documentation, model reporting, and data accountability</w:t>
      </w:r>
    </w:p>
    <w:p>
      <w:pPr>
        <w:spacing w:line="480" w:lineRule="auto" w:after="0"/>
        <w:ind w:firstLine="720"/>
      </w:pPr>
      <w:r>
        <w:rPr>
          <w:rFonts w:ascii="Times New Roman" w:hAnsi="Times New Roman" w:eastAsia="Times New Roman"/>
          <w:sz w:val="24"/>
        </w:rPr>
        <w:t>AI documentation practices have developed rapidly through model cards, datasheets, and related reporting formats. Model cards provide structured descriptions of model performance, intended use, limitations, and ethical considerations (Mitchell et al., 2019). Datasheets for datasets provide structured context about dataset motivation, composition, collection, preprocessing, uses, distribution, and maintenance (Gebru et al., 2021). Suresh and Guttag (2021) expanded this documentation logic by identifying sources of harm throughout the machine learning life cycle, including representation, measurement, learning, evaluation, deployment, and feedback loops.</w:t>
      </w:r>
    </w:p>
    <w:p>
      <w:pPr>
        <w:spacing w:line="480" w:lineRule="auto" w:after="0"/>
        <w:ind w:firstLine="720"/>
      </w:pPr>
      <w:r>
        <w:rPr>
          <w:rFonts w:ascii="Times New Roman" w:hAnsi="Times New Roman" w:eastAsia="Times New Roman"/>
          <w:sz w:val="24"/>
        </w:rPr>
        <w:t>These documentation practices are essential, but they are not equivalent to live governance of interaction trajectories. A model card can state that a system should not be used for a harmful purpose, and a datasheet can document training data limitations, but neither artifact necessarily records whether a deployed system used longitudinal context within the user's consent scope. EIT fills a different accountability position. It produces records of interaction-layer authority and response behavior while the system operates.</w:t>
      </w:r>
    </w:p>
    <w:p>
      <w:pPr>
        <w:pStyle w:val="Heading2"/>
        <w:spacing w:line="480" w:lineRule="auto" w:before="120" w:after="0"/>
      </w:pPr>
      <w:r>
        <w:rPr>
          <w:rFonts w:ascii="Times New Roman" w:hAnsi="Times New Roman" w:eastAsia="Times New Roman"/>
          <w:b/>
          <w:sz w:val="24"/>
        </w:rPr>
        <w:t>Socio-technical infrastructure</w:t>
      </w:r>
    </w:p>
    <w:p>
      <w:pPr>
        <w:spacing w:line="480" w:lineRule="auto" w:after="0"/>
        <w:ind w:firstLine="720"/>
      </w:pPr>
      <w:r>
        <w:rPr>
          <w:rFonts w:ascii="Times New Roman" w:hAnsi="Times New Roman" w:eastAsia="Times New Roman"/>
          <w:sz w:val="24"/>
        </w:rPr>
        <w:t>Socio-technical scholarship emphasizes that infrastructure is not neutral background machinery. Star and Ruhleder (1996) described infrastructure as relational, embedded, learned as part of membership, linked with conventions of practice, and visible upon breakdown. Bowker and Star (1999) showed how classification systems structure social life by determining what can be named, tracked, ignored, or institutionalized. Selbst et al. (2019) argued that fairness failures often arise when technical abstractions detach systems from their social context. Green (2021) likewise criticized approaches to technology ethics that fail to confront institutional power and political contestation.</w:t>
      </w:r>
    </w:p>
    <w:p>
      <w:pPr>
        <w:spacing w:line="480" w:lineRule="auto" w:after="0"/>
        <w:ind w:firstLine="720"/>
      </w:pPr>
      <w:r>
        <w:rPr>
          <w:rFonts w:ascii="Times New Roman" w:hAnsi="Times New Roman" w:eastAsia="Times New Roman"/>
          <w:sz w:val="24"/>
        </w:rPr>
        <w:t>EIT adopts this socio-technical view by treating interaction records as infrastructure rather than mere analytics. The system's authority to observe, retain, evaluate, and intervene shapes the user's practical agency. For that reason, telemetry must not be treated as a neutral byproduct. It must be governed as infrastructure with purpose limits, access controls, audit obligations, and explicit non-use constraints.</w:t>
      </w:r>
    </w:p>
    <w:p>
      <w:pPr>
        <w:pStyle w:val="Heading2"/>
        <w:spacing w:line="480" w:lineRule="auto" w:before="120" w:after="0"/>
      </w:pPr>
      <w:r>
        <w:rPr>
          <w:rFonts w:ascii="Times New Roman" w:hAnsi="Times New Roman" w:eastAsia="Times New Roman"/>
          <w:b/>
          <w:sz w:val="24"/>
        </w:rPr>
        <w:t>Standards, conformance, and protocol logic</w:t>
      </w:r>
    </w:p>
    <w:p>
      <w:pPr>
        <w:spacing w:line="480" w:lineRule="auto" w:after="0"/>
        <w:ind w:firstLine="720"/>
      </w:pPr>
      <w:r>
        <w:rPr>
          <w:rFonts w:ascii="Times New Roman" w:hAnsi="Times New Roman" w:eastAsia="Times New Roman"/>
          <w:sz w:val="24"/>
        </w:rPr>
        <w:t>Standards governance requires more than persuasive language. The IETF convention for normative language, developed through RFC 2119 and clarified by RFC 8174, distinguishes mandatory, prohibited, recommended, discouraged, and optional requirements through terms such as MUST, MUST NOT, SHOULD, SHOULD NOT, and MAY (Bradner, 1997; Leiba, 2017). This convention matters because it converts prose into implementation obligations. ISO/IEC 42001 provides an organizational management-system frame for AI governance, while technical standards and machine-readable schemas define how specific controls can be implemented and tested (International Organization for Standardization, 2023).</w:t>
      </w:r>
    </w:p>
    <w:p>
      <w:pPr>
        <w:spacing w:line="480" w:lineRule="auto" w:after="0"/>
        <w:ind w:firstLine="720"/>
      </w:pPr>
      <w:r>
        <w:rPr>
          <w:rFonts w:ascii="Times New Roman" w:hAnsi="Times New Roman" w:eastAsia="Times New Roman"/>
          <w:sz w:val="24"/>
        </w:rPr>
        <w:t>EIT borrows this standards logic by defining policy as executable conditions. A policy is not complete when it states that a system should respect consent. It becomes operational only when the system knows what consent object must exist, what fields must be present, what action is blocked when consent is missing, what audit record is generated, and what review path is triggered when a boundary is contested.</w:t>
      </w:r>
    </w:p>
    <w:p>
      <w:pPr>
        <w:pStyle w:val="Heading2"/>
        <w:spacing w:line="480" w:lineRule="auto" w:before="120" w:after="0"/>
      </w:pPr>
      <w:r>
        <w:rPr>
          <w:rFonts w:ascii="Times New Roman" w:hAnsi="Times New Roman" w:eastAsia="Times New Roman"/>
          <w:b/>
          <w:sz w:val="24"/>
        </w:rPr>
        <w:t>Human agency, contestability, and rights protection</w:t>
      </w:r>
    </w:p>
    <w:p>
      <w:pPr>
        <w:spacing w:line="480" w:lineRule="auto" w:after="0"/>
        <w:ind w:firstLine="720"/>
      </w:pPr>
      <w:r>
        <w:rPr>
          <w:rFonts w:ascii="Times New Roman" w:hAnsi="Times New Roman" w:eastAsia="Times New Roman"/>
          <w:sz w:val="24"/>
        </w:rPr>
        <w:t>Governance literature also emphasizes the need to preserve human agency, contestability, and meaningful oversight. The GDPR's provisions on automated decision-making and data subject rights reflect a broader legal concern that individuals must have routes to understand, challenge, and constrain consequential processing (European Parliament and Council of the European Union, 2016). Floridi et al. (2018) framed responsible AI around beneficence, non-maleficence, autonomy, justice, and explicability. Jobin et al. (2019) showed that transparency, justice, non-maleficence, responsibility, and privacy recur across global AI ethics guidelines, even though implementation remains inconsistent.</w:t>
      </w:r>
    </w:p>
    <w:p>
      <w:pPr>
        <w:spacing w:line="480" w:lineRule="auto" w:after="0"/>
        <w:ind w:firstLine="720"/>
      </w:pPr>
      <w:r>
        <w:rPr>
          <w:rFonts w:ascii="Times New Roman" w:hAnsi="Times New Roman" w:eastAsia="Times New Roman"/>
          <w:sz w:val="24"/>
        </w:rPr>
        <w:t>EIT contributes to this implementation problem by creating a user-facing response layer. The PDEV component does not attempt to optimize the user's behavior. Its function is to preserve agency during governance-relevant interaction events by disclosing relevant system behavior, requesting clarification, pausing adaptation, routing to human review, or exporting records when appropriate. This converts rights language into system operations.</w:t>
      </w:r>
    </w:p>
    <w:p>
      <w:pPr>
        <w:pStyle w:val="Heading1"/>
        <w:spacing w:line="480" w:lineRule="auto" w:before="240" w:after="0"/>
      </w:pPr>
      <w:r>
        <w:rPr>
          <w:rFonts w:ascii="Times New Roman" w:hAnsi="Times New Roman" w:eastAsia="Times New Roman"/>
          <w:b/>
          <w:sz w:val="24"/>
        </w:rPr>
        <w:t>System Overview</w:t>
      </w:r>
    </w:p>
    <w:p>
      <w:pPr>
        <w:spacing w:line="480" w:lineRule="auto" w:after="0"/>
        <w:ind w:firstLine="720"/>
      </w:pPr>
      <w:r>
        <w:rPr>
          <w:rFonts w:ascii="Times New Roman" w:hAnsi="Times New Roman" w:eastAsia="Times New Roman"/>
          <w:sz w:val="24"/>
        </w:rPr>
        <w:t>EIT is a governance protocol for longitudinal AI interaction. Its system boundary begins when an AI application receives or generates an interaction event that may be logged for continuity, safety, accountability, or user-facing governance. Its system boundary ends when the event, any derived trajectory signal, any intervention response, and the relevant audit record have been created, retained, and made reviewable according to policy.</w:t>
      </w:r>
    </w:p>
    <w:p>
      <w:pPr>
        <w:spacing w:line="480" w:lineRule="auto" w:after="0"/>
        <w:ind w:firstLine="720"/>
      </w:pPr>
      <w:r>
        <w:rPr>
          <w:rFonts w:ascii="Times New Roman" w:hAnsi="Times New Roman" w:eastAsia="Times New Roman"/>
          <w:sz w:val="24"/>
        </w:rPr>
        <w:t>The pipeline is intentionally sequential. Consent Scope must be evaluated before any longitudinal telemetry is created. LIL records only authorized observable events. TAR evaluates authorized windows of LIL records and creates trajectory signals using explicit rules. PDEV selects a proportionate response based on the TAR signal and policy constraints. Audit Traceability binds each step to a reviewable record.</w:t>
      </w:r>
    </w:p>
    <w:p>
      <w:pPr>
        <w:jc w:val="center"/>
      </w:pPr>
      <w:r>
        <w:drawing>
          <wp:inline xmlns:a="http://schemas.openxmlformats.org/drawingml/2006/main" xmlns:pic="http://schemas.openxmlformats.org/drawingml/2006/picture">
            <wp:extent cx="5760720" cy="1108102"/>
            <wp:docPr id="1" name="Picture 1"/>
            <wp:cNvGraphicFramePr>
              <a:graphicFrameLocks noChangeAspect="1"/>
            </wp:cNvGraphicFramePr>
            <a:graphic>
              <a:graphicData uri="http://schemas.openxmlformats.org/drawingml/2006/picture">
                <pic:pic>
                  <pic:nvPicPr>
                    <pic:cNvPr id="0" name="figure_1_eit_pipeline.png"/>
                    <pic:cNvPicPr/>
                  </pic:nvPicPr>
                  <pic:blipFill>
                    <a:blip r:embed="rId10"/>
                    <a:stretch>
                      <a:fillRect/>
                    </a:stretch>
                  </pic:blipFill>
                  <pic:spPr>
                    <a:xfrm>
                      <a:off x="0" y="0"/>
                      <a:ext cx="5760720" cy="1108102"/>
                    </a:xfrm>
                    <a:prstGeom prst="rect"/>
                  </pic:spPr>
                </pic:pic>
              </a:graphicData>
            </a:graphic>
          </wp:inline>
        </w:drawing>
      </w:r>
    </w:p>
    <w:p>
      <w:pPr>
        <w:spacing w:line="480" w:lineRule="auto"/>
        <w:jc w:val="left"/>
      </w:pPr>
      <w:r>
        <w:rPr>
          <w:rFonts w:ascii="Times New Roman" w:hAnsi="Times New Roman" w:eastAsia="Times New Roman"/>
          <w:i/>
          <w:sz w:val="24"/>
        </w:rPr>
        <w:t>Figure 1. EIT governance pipeline from consent authorization through logging, trajectory analysis, response selection, and audit traceability.</w:t>
      </w:r>
    </w:p>
    <w:p>
      <w:pPr>
        <w:pStyle w:val="Heading1"/>
        <w:spacing w:line="480" w:lineRule="auto" w:before="240" w:after="0"/>
      </w:pPr>
      <w:r>
        <w:rPr>
          <w:rFonts w:ascii="Times New Roman" w:hAnsi="Times New Roman" w:eastAsia="Times New Roman"/>
          <w:b/>
          <w:sz w:val="24"/>
        </w:rPr>
        <w:t>Layered Architecture</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shd w:fill="EAEAEA"/>
            <w:vAlign w:val="center"/>
          </w:tcPr>
          <w:p>
            <w:pPr>
              <w:spacing w:after="0"/>
            </w:pPr>
            <w:r/>
            <w:r>
              <w:rPr>
                <w:rFonts w:ascii="Times New Roman" w:hAnsi="Times New Roman" w:eastAsia="Times New Roman"/>
                <w:b/>
                <w:sz w:val="17"/>
              </w:rPr>
              <w:t>Layer</w:t>
            </w:r>
          </w:p>
        </w:tc>
        <w:tc>
          <w:tcPr>
            <w:tcW w:type="dxa" w:w="3120"/>
            <w:shd w:fill="EAEAEA"/>
            <w:vAlign w:val="center"/>
          </w:tcPr>
          <w:p>
            <w:pPr>
              <w:spacing w:after="0"/>
            </w:pPr>
            <w:r/>
            <w:r>
              <w:rPr>
                <w:rFonts w:ascii="Times New Roman" w:hAnsi="Times New Roman" w:eastAsia="Times New Roman"/>
                <w:b/>
                <w:sz w:val="17"/>
              </w:rPr>
              <w:t>Primary mechanisms</w:t>
            </w:r>
          </w:p>
        </w:tc>
        <w:tc>
          <w:tcPr>
            <w:tcW w:type="dxa" w:w="3120"/>
            <w:shd w:fill="EAEAEA"/>
            <w:vAlign w:val="center"/>
          </w:tcPr>
          <w:p>
            <w:pPr>
              <w:spacing w:after="0"/>
            </w:pPr>
            <w:r/>
            <w:r>
              <w:rPr>
                <w:rFonts w:ascii="Times New Roman" w:hAnsi="Times New Roman" w:eastAsia="Times New Roman"/>
                <w:b/>
                <w:sz w:val="17"/>
              </w:rPr>
              <w:t>Governance function</w:t>
            </w:r>
          </w:p>
        </w:tc>
      </w:tr>
      <w:tr>
        <w:tc>
          <w:tcPr>
            <w:tcW w:type="dxa" w:w="3120"/>
            <w:vAlign w:val="top"/>
          </w:tcPr>
          <w:p>
            <w:pPr>
              <w:spacing w:after="0"/>
            </w:pPr>
            <w:r/>
            <w:r>
              <w:rPr>
                <w:rFonts w:ascii="Times New Roman" w:hAnsi="Times New Roman" w:eastAsia="Times New Roman"/>
                <w:b w:val="0"/>
                <w:sz w:val="17"/>
              </w:rPr>
              <w:t>Technical layer</w:t>
            </w:r>
          </w:p>
        </w:tc>
        <w:tc>
          <w:tcPr>
            <w:tcW w:type="dxa" w:w="3120"/>
            <w:vAlign w:val="top"/>
          </w:tcPr>
          <w:p>
            <w:pPr>
              <w:spacing w:after="0"/>
            </w:pPr>
            <w:r/>
            <w:r>
              <w:rPr>
                <w:rFonts w:ascii="Times New Roman" w:hAnsi="Times New Roman" w:eastAsia="Times New Roman"/>
                <w:b w:val="0"/>
                <w:sz w:val="17"/>
              </w:rPr>
              <w:t>Schemas, event records, rule engine, integrity hashes, access controls, API gates.</w:t>
            </w:r>
          </w:p>
        </w:tc>
        <w:tc>
          <w:tcPr>
            <w:tcW w:type="dxa" w:w="3120"/>
            <w:vAlign w:val="top"/>
          </w:tcPr>
          <w:p>
            <w:pPr>
              <w:spacing w:after="0"/>
            </w:pPr>
            <w:r/>
            <w:r>
              <w:rPr>
                <w:rFonts w:ascii="Times New Roman" w:hAnsi="Times New Roman" w:eastAsia="Times New Roman"/>
                <w:b w:val="0"/>
                <w:sz w:val="17"/>
              </w:rPr>
              <w:t>The technical layer converts governance obligations into machine-readable structure and deterministic execution paths.</w:t>
            </w:r>
          </w:p>
        </w:tc>
      </w:tr>
      <w:tr>
        <w:tc>
          <w:tcPr>
            <w:tcW w:type="dxa" w:w="3120"/>
            <w:vAlign w:val="top"/>
          </w:tcPr>
          <w:p>
            <w:pPr>
              <w:spacing w:after="0"/>
            </w:pPr>
            <w:r/>
            <w:r>
              <w:rPr>
                <w:rFonts w:ascii="Times New Roman" w:hAnsi="Times New Roman" w:eastAsia="Times New Roman"/>
                <w:b w:val="0"/>
                <w:sz w:val="17"/>
              </w:rPr>
              <w:t>Platform layer</w:t>
            </w:r>
          </w:p>
        </w:tc>
        <w:tc>
          <w:tcPr>
            <w:tcW w:type="dxa" w:w="3120"/>
            <w:vAlign w:val="top"/>
          </w:tcPr>
          <w:p>
            <w:pPr>
              <w:spacing w:after="0"/>
            </w:pPr>
            <w:r/>
            <w:r>
              <w:rPr>
                <w:rFonts w:ascii="Times New Roman" w:hAnsi="Times New Roman" w:eastAsia="Times New Roman"/>
                <w:b w:val="0"/>
                <w:sz w:val="17"/>
              </w:rPr>
              <w:t>Application interfaces, user consent surfaces, logging services, escalation channels, export tools.</w:t>
            </w:r>
          </w:p>
        </w:tc>
        <w:tc>
          <w:tcPr>
            <w:tcW w:type="dxa" w:w="3120"/>
            <w:vAlign w:val="top"/>
          </w:tcPr>
          <w:p>
            <w:pPr>
              <w:spacing w:after="0"/>
            </w:pPr>
            <w:r/>
            <w:r>
              <w:rPr>
                <w:rFonts w:ascii="Times New Roman" w:hAnsi="Times New Roman" w:eastAsia="Times New Roman"/>
                <w:b w:val="0"/>
                <w:sz w:val="17"/>
              </w:rPr>
              <w:t>The platform layer determines how users encounter the governance system and whether disclosures, pauses, review routes, and records are actually accessible.</w:t>
            </w:r>
          </w:p>
        </w:tc>
      </w:tr>
      <w:tr>
        <w:tc>
          <w:tcPr>
            <w:tcW w:type="dxa" w:w="3120"/>
            <w:vAlign w:val="top"/>
          </w:tcPr>
          <w:p>
            <w:pPr>
              <w:spacing w:after="0"/>
            </w:pPr>
            <w:r/>
            <w:r>
              <w:rPr>
                <w:rFonts w:ascii="Times New Roman" w:hAnsi="Times New Roman" w:eastAsia="Times New Roman"/>
                <w:b w:val="0"/>
                <w:sz w:val="17"/>
              </w:rPr>
              <w:t>Governance layer</w:t>
            </w:r>
          </w:p>
        </w:tc>
        <w:tc>
          <w:tcPr>
            <w:tcW w:type="dxa" w:w="3120"/>
            <w:vAlign w:val="top"/>
          </w:tcPr>
          <w:p>
            <w:pPr>
              <w:spacing w:after="0"/>
            </w:pPr>
            <w:r/>
            <w:r>
              <w:rPr>
                <w:rFonts w:ascii="Times New Roman" w:hAnsi="Times New Roman" w:eastAsia="Times New Roman"/>
                <w:b w:val="0"/>
                <w:sz w:val="17"/>
              </w:rPr>
              <w:t>Policy rules, conformance classes, test vectors, review ownership, retention limits, prohibited secondary uses.</w:t>
            </w:r>
          </w:p>
        </w:tc>
        <w:tc>
          <w:tcPr>
            <w:tcW w:type="dxa" w:w="3120"/>
            <w:vAlign w:val="top"/>
          </w:tcPr>
          <w:p>
            <w:pPr>
              <w:spacing w:after="0"/>
            </w:pPr>
            <w:r/>
            <w:r>
              <w:rPr>
                <w:rFonts w:ascii="Times New Roman" w:hAnsi="Times New Roman" w:eastAsia="Times New Roman"/>
                <w:b w:val="0"/>
                <w:sz w:val="17"/>
              </w:rPr>
              <w:t>The governance layer defines what the system is allowed to do, what it must not do, and how evidence of compliance is produced.</w:t>
            </w:r>
          </w:p>
        </w:tc>
      </w:tr>
      <w:tr>
        <w:tc>
          <w:tcPr>
            <w:tcW w:type="dxa" w:w="3120"/>
            <w:vAlign w:val="top"/>
          </w:tcPr>
          <w:p>
            <w:pPr>
              <w:spacing w:after="0"/>
            </w:pPr>
            <w:r/>
            <w:r>
              <w:rPr>
                <w:rFonts w:ascii="Times New Roman" w:hAnsi="Times New Roman" w:eastAsia="Times New Roman"/>
                <w:b w:val="0"/>
                <w:sz w:val="17"/>
              </w:rPr>
              <w:t>Human impact layer</w:t>
            </w:r>
          </w:p>
        </w:tc>
        <w:tc>
          <w:tcPr>
            <w:tcW w:type="dxa" w:w="3120"/>
            <w:vAlign w:val="top"/>
          </w:tcPr>
          <w:p>
            <w:pPr>
              <w:spacing w:after="0"/>
            </w:pPr>
            <w:r/>
            <w:r>
              <w:rPr>
                <w:rFonts w:ascii="Times New Roman" w:hAnsi="Times New Roman" w:eastAsia="Times New Roman"/>
                <w:b w:val="0"/>
                <w:sz w:val="17"/>
              </w:rPr>
              <w:t>User understanding, agency preservation, contestability, continuity, and recovery from breakdown.</w:t>
            </w:r>
          </w:p>
        </w:tc>
        <w:tc>
          <w:tcPr>
            <w:tcW w:type="dxa" w:w="3120"/>
            <w:vAlign w:val="top"/>
          </w:tcPr>
          <w:p>
            <w:pPr>
              <w:spacing w:after="0"/>
            </w:pPr>
            <w:r/>
            <w:r>
              <w:rPr>
                <w:rFonts w:ascii="Times New Roman" w:hAnsi="Times New Roman" w:eastAsia="Times New Roman"/>
                <w:b w:val="0"/>
                <w:sz w:val="17"/>
              </w:rPr>
              <w:t>The human impact layer evaluates whether the governance controls preserve practical agency rather than simply documenting system activity.</w:t>
            </w:r>
          </w:p>
        </w:tc>
      </w:tr>
    </w:tbl>
    <w:p>
      <w:pPr>
        <w:spacing w:line="480" w:lineRule="auto" w:after="0"/>
        <w:ind w:firstLine="720"/>
      </w:pPr>
      <w:r>
        <w:rPr>
          <w:rFonts w:ascii="Times New Roman" w:hAnsi="Times New Roman" w:eastAsia="Times New Roman"/>
          <w:sz w:val="24"/>
        </w:rPr>
        <w:t>The layered architecture matters because control is distributed. A consent policy can be well written but ineffective if the platform interface hides the setting. A schema can be complete but harmful if the retention policy allows unbounded secondary use. An audit log can be technically valid but socially useless if no review owner is accountable for acting on it. EIT therefore treats governance as a layered control system, not as a single compliance document.</w:t>
      </w:r>
    </w:p>
    <w:p>
      <w:pPr>
        <w:pStyle w:val="Heading1"/>
        <w:spacing w:line="480" w:lineRule="auto" w:before="240" w:after="0"/>
      </w:pPr>
      <w:r>
        <w:rPr>
          <w:rFonts w:ascii="Times New Roman" w:hAnsi="Times New Roman" w:eastAsia="Times New Roman"/>
          <w:b/>
          <w:sz w:val="24"/>
        </w:rPr>
        <w:t>Control Points and Power Analysis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val="true"/>
        </w:trPr>
        <w:tc>
          <w:tcPr>
            <w:tcW w:type="dxa" w:w="2340"/>
            <w:shd w:fill="EAEAEA"/>
            <w:vAlign w:val="center"/>
          </w:tcPr>
          <w:p>
            <w:pPr>
              <w:spacing w:after="0"/>
            </w:pPr>
            <w:r/>
            <w:r>
              <w:rPr>
                <w:rFonts w:ascii="Times New Roman" w:hAnsi="Times New Roman" w:eastAsia="Times New Roman"/>
                <w:b/>
                <w:sz w:val="16"/>
              </w:rPr>
              <w:t>Control point</w:t>
            </w:r>
          </w:p>
        </w:tc>
        <w:tc>
          <w:tcPr>
            <w:tcW w:type="dxa" w:w="2340"/>
            <w:shd w:fill="EAEAEA"/>
            <w:vAlign w:val="center"/>
          </w:tcPr>
          <w:p>
            <w:pPr>
              <w:spacing w:after="0"/>
            </w:pPr>
            <w:r/>
            <w:r>
              <w:rPr>
                <w:rFonts w:ascii="Times New Roman" w:hAnsi="Times New Roman" w:eastAsia="Times New Roman"/>
                <w:b/>
                <w:sz w:val="16"/>
              </w:rPr>
              <w:t>Power holder</w:t>
            </w:r>
          </w:p>
        </w:tc>
        <w:tc>
          <w:tcPr>
            <w:tcW w:type="dxa" w:w="2340"/>
            <w:shd w:fill="EAEAEA"/>
            <w:vAlign w:val="center"/>
          </w:tcPr>
          <w:p>
            <w:pPr>
              <w:spacing w:after="0"/>
            </w:pPr>
            <w:r/>
            <w:r>
              <w:rPr>
                <w:rFonts w:ascii="Times New Roman" w:hAnsi="Times New Roman" w:eastAsia="Times New Roman"/>
                <w:b/>
                <w:sz w:val="16"/>
              </w:rPr>
              <w:t>Decision made</w:t>
            </w:r>
          </w:p>
        </w:tc>
        <w:tc>
          <w:tcPr>
            <w:tcW w:type="dxa" w:w="2340"/>
            <w:shd w:fill="EAEAEA"/>
            <w:vAlign w:val="center"/>
          </w:tcPr>
          <w:p>
            <w:pPr>
              <w:spacing w:after="0"/>
            </w:pPr>
            <w:r/>
            <w:r>
              <w:rPr>
                <w:rFonts w:ascii="Times New Roman" w:hAnsi="Times New Roman" w:eastAsia="Times New Roman"/>
                <w:b/>
                <w:sz w:val="16"/>
              </w:rPr>
              <w:t>Failure or abuse scenario</w:t>
            </w:r>
          </w:p>
        </w:tc>
      </w:tr>
      <w:tr>
        <w:tc>
          <w:tcPr>
            <w:tcW w:type="dxa" w:w="2340"/>
            <w:vAlign w:val="top"/>
          </w:tcPr>
          <w:p>
            <w:pPr>
              <w:spacing w:after="0"/>
            </w:pPr>
            <w:r/>
            <w:r>
              <w:rPr>
                <w:rFonts w:ascii="Times New Roman" w:hAnsi="Times New Roman" w:eastAsia="Times New Roman"/>
                <w:b w:val="0"/>
                <w:sz w:val="16"/>
              </w:rPr>
              <w:t>Consent boundary</w:t>
            </w:r>
          </w:p>
        </w:tc>
        <w:tc>
          <w:tcPr>
            <w:tcW w:type="dxa" w:w="2340"/>
            <w:vAlign w:val="top"/>
          </w:tcPr>
          <w:p>
            <w:pPr>
              <w:spacing w:after="0"/>
            </w:pPr>
            <w:r/>
            <w:r>
              <w:rPr>
                <w:rFonts w:ascii="Times New Roman" w:hAnsi="Times New Roman" w:eastAsia="Times New Roman"/>
                <w:b w:val="0"/>
                <w:sz w:val="16"/>
              </w:rPr>
              <w:t>Platform operator and data controller</w:t>
            </w:r>
          </w:p>
        </w:tc>
        <w:tc>
          <w:tcPr>
            <w:tcW w:type="dxa" w:w="2340"/>
            <w:vAlign w:val="top"/>
          </w:tcPr>
          <w:p>
            <w:pPr>
              <w:spacing w:after="0"/>
            </w:pPr>
            <w:r/>
            <w:r>
              <w:rPr>
                <w:rFonts w:ascii="Times New Roman" w:hAnsi="Times New Roman" w:eastAsia="Times New Roman"/>
                <w:b w:val="0"/>
                <w:sz w:val="16"/>
              </w:rPr>
              <w:t>Whether longitudinal context may be logged or evaluated.</w:t>
            </w:r>
          </w:p>
        </w:tc>
        <w:tc>
          <w:tcPr>
            <w:tcW w:type="dxa" w:w="2340"/>
            <w:vAlign w:val="top"/>
          </w:tcPr>
          <w:p>
            <w:pPr>
              <w:spacing w:after="0"/>
            </w:pPr>
            <w:r/>
            <w:r>
              <w:rPr>
                <w:rFonts w:ascii="Times New Roman" w:hAnsi="Times New Roman" w:eastAsia="Times New Roman"/>
                <w:b w:val="0"/>
                <w:sz w:val="16"/>
              </w:rPr>
              <w:t>Hidden defaults, bundled consent, purpose creep.</w:t>
            </w:r>
          </w:p>
        </w:tc>
      </w:tr>
      <w:tr>
        <w:tc>
          <w:tcPr>
            <w:tcW w:type="dxa" w:w="2340"/>
            <w:vAlign w:val="top"/>
          </w:tcPr>
          <w:p>
            <w:pPr>
              <w:spacing w:after="0"/>
            </w:pPr>
            <w:r/>
            <w:r>
              <w:rPr>
                <w:rFonts w:ascii="Times New Roman" w:hAnsi="Times New Roman" w:eastAsia="Times New Roman"/>
                <w:b w:val="0"/>
                <w:sz w:val="16"/>
              </w:rPr>
              <w:t>Telemetry schema</w:t>
            </w:r>
          </w:p>
        </w:tc>
        <w:tc>
          <w:tcPr>
            <w:tcW w:type="dxa" w:w="2340"/>
            <w:vAlign w:val="top"/>
          </w:tcPr>
          <w:p>
            <w:pPr>
              <w:spacing w:after="0"/>
            </w:pPr>
            <w:r/>
            <w:r>
              <w:rPr>
                <w:rFonts w:ascii="Times New Roman" w:hAnsi="Times New Roman" w:eastAsia="Times New Roman"/>
                <w:b w:val="0"/>
                <w:sz w:val="16"/>
              </w:rPr>
              <w:t>System architect and standards implementer</w:t>
            </w:r>
          </w:p>
        </w:tc>
        <w:tc>
          <w:tcPr>
            <w:tcW w:type="dxa" w:w="2340"/>
            <w:vAlign w:val="top"/>
          </w:tcPr>
          <w:p>
            <w:pPr>
              <w:spacing w:after="0"/>
            </w:pPr>
            <w:r/>
            <w:r>
              <w:rPr>
                <w:rFonts w:ascii="Times New Roman" w:hAnsi="Times New Roman" w:eastAsia="Times New Roman"/>
                <w:b w:val="0"/>
                <w:sz w:val="16"/>
              </w:rPr>
              <w:t>Which events become visible to governance review.</w:t>
            </w:r>
          </w:p>
        </w:tc>
        <w:tc>
          <w:tcPr>
            <w:tcW w:type="dxa" w:w="2340"/>
            <w:vAlign w:val="top"/>
          </w:tcPr>
          <w:p>
            <w:pPr>
              <w:spacing w:after="0"/>
            </w:pPr>
            <w:r/>
            <w:r>
              <w:rPr>
                <w:rFonts w:ascii="Times New Roman" w:hAnsi="Times New Roman" w:eastAsia="Times New Roman"/>
                <w:b w:val="0"/>
                <w:sz w:val="16"/>
              </w:rPr>
              <w:t>Overcollection, undercollection, omission of contestation events.</w:t>
            </w:r>
          </w:p>
        </w:tc>
      </w:tr>
      <w:tr>
        <w:tc>
          <w:tcPr>
            <w:tcW w:type="dxa" w:w="2340"/>
            <w:vAlign w:val="top"/>
          </w:tcPr>
          <w:p>
            <w:pPr>
              <w:spacing w:after="0"/>
            </w:pPr>
            <w:r/>
            <w:r>
              <w:rPr>
                <w:rFonts w:ascii="Times New Roman" w:hAnsi="Times New Roman" w:eastAsia="Times New Roman"/>
                <w:b w:val="0"/>
                <w:sz w:val="16"/>
              </w:rPr>
              <w:t>Trajectory rule engine</w:t>
            </w:r>
          </w:p>
        </w:tc>
        <w:tc>
          <w:tcPr>
            <w:tcW w:type="dxa" w:w="2340"/>
            <w:vAlign w:val="top"/>
          </w:tcPr>
          <w:p>
            <w:pPr>
              <w:spacing w:after="0"/>
            </w:pPr>
            <w:r/>
            <w:r>
              <w:rPr>
                <w:rFonts w:ascii="Times New Roman" w:hAnsi="Times New Roman" w:eastAsia="Times New Roman"/>
                <w:b w:val="0"/>
                <w:sz w:val="16"/>
              </w:rPr>
              <w:t>Model/platform operator</w:t>
            </w:r>
          </w:p>
        </w:tc>
        <w:tc>
          <w:tcPr>
            <w:tcW w:type="dxa" w:w="2340"/>
            <w:vAlign w:val="top"/>
          </w:tcPr>
          <w:p>
            <w:pPr>
              <w:spacing w:after="0"/>
            </w:pPr>
            <w:r/>
            <w:r>
              <w:rPr>
                <w:rFonts w:ascii="Times New Roman" w:hAnsi="Times New Roman" w:eastAsia="Times New Roman"/>
                <w:b w:val="0"/>
                <w:sz w:val="16"/>
              </w:rPr>
              <w:t>Which patterns trigger disclosure, pause, review, or intervention.</w:t>
            </w:r>
          </w:p>
        </w:tc>
        <w:tc>
          <w:tcPr>
            <w:tcW w:type="dxa" w:w="2340"/>
            <w:vAlign w:val="top"/>
          </w:tcPr>
          <w:p>
            <w:pPr>
              <w:spacing w:after="0"/>
            </w:pPr>
            <w:r/>
            <w:r>
              <w:rPr>
                <w:rFonts w:ascii="Times New Roman" w:hAnsi="Times New Roman" w:eastAsia="Times New Roman"/>
                <w:b w:val="0"/>
                <w:sz w:val="16"/>
              </w:rPr>
              <w:t>Opaque scoring, inferred vulnerability, unreviewable thresholds.</w:t>
            </w:r>
          </w:p>
        </w:tc>
      </w:tr>
      <w:tr>
        <w:tc>
          <w:tcPr>
            <w:tcW w:type="dxa" w:w="2340"/>
            <w:vAlign w:val="top"/>
          </w:tcPr>
          <w:p>
            <w:pPr>
              <w:spacing w:after="0"/>
            </w:pPr>
            <w:r/>
            <w:r>
              <w:rPr>
                <w:rFonts w:ascii="Times New Roman" w:hAnsi="Times New Roman" w:eastAsia="Times New Roman"/>
                <w:b w:val="0"/>
                <w:sz w:val="16"/>
              </w:rPr>
              <w:t>Intervention interface</w:t>
            </w:r>
          </w:p>
        </w:tc>
        <w:tc>
          <w:tcPr>
            <w:tcW w:type="dxa" w:w="2340"/>
            <w:vAlign w:val="top"/>
          </w:tcPr>
          <w:p>
            <w:pPr>
              <w:spacing w:after="0"/>
            </w:pPr>
            <w:r/>
            <w:r>
              <w:rPr>
                <w:rFonts w:ascii="Times New Roman" w:hAnsi="Times New Roman" w:eastAsia="Times New Roman"/>
                <w:b w:val="0"/>
                <w:sz w:val="16"/>
              </w:rPr>
              <w:t>Application owner and UX designer</w:t>
            </w:r>
          </w:p>
        </w:tc>
        <w:tc>
          <w:tcPr>
            <w:tcW w:type="dxa" w:w="2340"/>
            <w:vAlign w:val="top"/>
          </w:tcPr>
          <w:p>
            <w:pPr>
              <w:spacing w:after="0"/>
            </w:pPr>
            <w:r/>
            <w:r>
              <w:rPr>
                <w:rFonts w:ascii="Times New Roman" w:hAnsi="Times New Roman" w:eastAsia="Times New Roman"/>
                <w:b w:val="0"/>
                <w:sz w:val="16"/>
              </w:rPr>
              <w:t>How users receive explanations, choices, appeals, and records.</w:t>
            </w:r>
          </w:p>
        </w:tc>
        <w:tc>
          <w:tcPr>
            <w:tcW w:type="dxa" w:w="2340"/>
            <w:vAlign w:val="top"/>
          </w:tcPr>
          <w:p>
            <w:pPr>
              <w:spacing w:after="0"/>
            </w:pPr>
            <w:r/>
            <w:r>
              <w:rPr>
                <w:rFonts w:ascii="Times New Roman" w:hAnsi="Times New Roman" w:eastAsia="Times New Roman"/>
                <w:b w:val="0"/>
                <w:sz w:val="16"/>
              </w:rPr>
              <w:t>Dark patterns, inaccessible notices, false choices.</w:t>
            </w:r>
          </w:p>
        </w:tc>
      </w:tr>
      <w:tr>
        <w:tc>
          <w:tcPr>
            <w:tcW w:type="dxa" w:w="2340"/>
            <w:vAlign w:val="top"/>
          </w:tcPr>
          <w:p>
            <w:pPr>
              <w:spacing w:after="0"/>
            </w:pPr>
            <w:r/>
            <w:r>
              <w:rPr>
                <w:rFonts w:ascii="Times New Roman" w:hAnsi="Times New Roman" w:eastAsia="Times New Roman"/>
                <w:b w:val="0"/>
                <w:sz w:val="16"/>
              </w:rPr>
              <w:t>Audit ownership</w:t>
            </w:r>
          </w:p>
        </w:tc>
        <w:tc>
          <w:tcPr>
            <w:tcW w:type="dxa" w:w="2340"/>
            <w:vAlign w:val="top"/>
          </w:tcPr>
          <w:p>
            <w:pPr>
              <w:spacing w:after="0"/>
            </w:pPr>
            <w:r/>
            <w:r>
              <w:rPr>
                <w:rFonts w:ascii="Times New Roman" w:hAnsi="Times New Roman" w:eastAsia="Times New Roman"/>
                <w:b w:val="0"/>
                <w:sz w:val="16"/>
              </w:rPr>
              <w:t>Compliance office, auditor, institutional review body</w:t>
            </w:r>
          </w:p>
        </w:tc>
        <w:tc>
          <w:tcPr>
            <w:tcW w:type="dxa" w:w="2340"/>
            <w:vAlign w:val="top"/>
          </w:tcPr>
          <w:p>
            <w:pPr>
              <w:spacing w:after="0"/>
            </w:pPr>
            <w:r/>
            <w:r>
              <w:rPr>
                <w:rFonts w:ascii="Times New Roman" w:hAnsi="Times New Roman" w:eastAsia="Times New Roman"/>
                <w:b w:val="0"/>
                <w:sz w:val="16"/>
              </w:rPr>
              <w:t>Who can inspect records and require correction.</w:t>
            </w:r>
          </w:p>
        </w:tc>
        <w:tc>
          <w:tcPr>
            <w:tcW w:type="dxa" w:w="2340"/>
            <w:vAlign w:val="top"/>
          </w:tcPr>
          <w:p>
            <w:pPr>
              <w:spacing w:after="0"/>
            </w:pPr>
            <w:r/>
            <w:r>
              <w:rPr>
                <w:rFonts w:ascii="Times New Roman" w:hAnsi="Times New Roman" w:eastAsia="Times New Roman"/>
                <w:b w:val="0"/>
                <w:sz w:val="16"/>
              </w:rPr>
              <w:t>Self-audit without independence, missing evidence, weak enforcement.</w:t>
            </w:r>
          </w:p>
        </w:tc>
      </w:tr>
    </w:tbl>
    <w:p>
      <w:pPr>
        <w:spacing w:line="480" w:lineRule="auto" w:after="0"/>
        <w:ind w:firstLine="720"/>
      </w:pPr>
      <w:r>
        <w:rPr>
          <w:rFonts w:ascii="Times New Roman" w:hAnsi="Times New Roman" w:eastAsia="Times New Roman"/>
          <w:sz w:val="24"/>
        </w:rPr>
        <w:t>The control points reveal why EIT must include power analysis. A system that only logs events without governing who defines the log, who sees the log, and who can act on the log will not preserve accountability. The point is not to remove power from the system. The point is to locate power, bind it to explicit authority, and make its use reviewable.</w:t>
      </w:r>
    </w:p>
    <w:p>
      <w:pPr>
        <w:pStyle w:val="Heading1"/>
        <w:spacing w:line="480" w:lineRule="auto" w:before="240" w:after="0"/>
      </w:pPr>
      <w:r>
        <w:rPr>
          <w:rFonts w:ascii="Times New Roman" w:hAnsi="Times New Roman" w:eastAsia="Times New Roman"/>
          <w:b/>
          <w:sz w:val="24"/>
        </w:rPr>
        <w:t>Risk Map</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val="true"/>
        </w:trPr>
        <w:tc>
          <w:tcPr>
            <w:tcW w:type="dxa" w:w="1872"/>
            <w:shd w:fill="EAEAEA"/>
            <w:vAlign w:val="center"/>
          </w:tcPr>
          <w:p>
            <w:pPr>
              <w:spacing w:after="0"/>
            </w:pPr>
            <w:r/>
            <w:r>
              <w:rPr>
                <w:rFonts w:ascii="Times New Roman" w:hAnsi="Times New Roman" w:eastAsia="Times New Roman"/>
                <w:b/>
                <w:sz w:val="15"/>
              </w:rPr>
              <w:t>Risk</w:t>
            </w:r>
          </w:p>
        </w:tc>
        <w:tc>
          <w:tcPr>
            <w:tcW w:type="dxa" w:w="1872"/>
            <w:shd w:fill="EAEAEA"/>
            <w:vAlign w:val="center"/>
          </w:tcPr>
          <w:p>
            <w:pPr>
              <w:spacing w:after="0"/>
            </w:pPr>
            <w:r/>
            <w:r>
              <w:rPr>
                <w:rFonts w:ascii="Times New Roman" w:hAnsi="Times New Roman" w:eastAsia="Times New Roman"/>
                <w:b/>
                <w:sz w:val="15"/>
              </w:rPr>
              <w:t>Likelihood</w:t>
            </w:r>
          </w:p>
        </w:tc>
        <w:tc>
          <w:tcPr>
            <w:tcW w:type="dxa" w:w="1872"/>
            <w:shd w:fill="EAEAEA"/>
            <w:vAlign w:val="center"/>
          </w:tcPr>
          <w:p>
            <w:pPr>
              <w:spacing w:after="0"/>
            </w:pPr>
            <w:r/>
            <w:r>
              <w:rPr>
                <w:rFonts w:ascii="Times New Roman" w:hAnsi="Times New Roman" w:eastAsia="Times New Roman"/>
                <w:b/>
                <w:sz w:val="15"/>
              </w:rPr>
              <w:t>Impact</w:t>
            </w:r>
          </w:p>
        </w:tc>
        <w:tc>
          <w:tcPr>
            <w:tcW w:type="dxa" w:w="1872"/>
            <w:shd w:fill="EAEAEA"/>
            <w:vAlign w:val="center"/>
          </w:tcPr>
          <w:p>
            <w:pPr>
              <w:spacing w:after="0"/>
            </w:pPr>
            <w:r/>
            <w:r>
              <w:rPr>
                <w:rFonts w:ascii="Times New Roman" w:hAnsi="Times New Roman" w:eastAsia="Times New Roman"/>
                <w:b/>
                <w:sz w:val="15"/>
              </w:rPr>
              <w:t>Failure scenario</w:t>
            </w:r>
          </w:p>
        </w:tc>
        <w:tc>
          <w:tcPr>
            <w:tcW w:type="dxa" w:w="1872"/>
            <w:shd w:fill="EAEAEA"/>
            <w:vAlign w:val="center"/>
          </w:tcPr>
          <w:p>
            <w:pPr>
              <w:spacing w:after="0"/>
            </w:pPr>
            <w:r/>
            <w:r>
              <w:rPr>
                <w:rFonts w:ascii="Times New Roman" w:hAnsi="Times New Roman" w:eastAsia="Times New Roman"/>
                <w:b/>
                <w:sz w:val="15"/>
              </w:rPr>
              <w:t>Mitigation pathway</w:t>
            </w:r>
          </w:p>
        </w:tc>
      </w:tr>
      <w:tr>
        <w:tc>
          <w:tcPr>
            <w:tcW w:type="dxa" w:w="1872"/>
            <w:vAlign w:val="top"/>
          </w:tcPr>
          <w:p>
            <w:pPr>
              <w:spacing w:after="0"/>
            </w:pPr>
            <w:r/>
            <w:r>
              <w:rPr>
                <w:rFonts w:ascii="Times New Roman" w:hAnsi="Times New Roman" w:eastAsia="Times New Roman"/>
                <w:b w:val="0"/>
                <w:sz w:val="15"/>
              </w:rPr>
              <w:t>Consent bypass</w:t>
            </w:r>
          </w:p>
        </w:tc>
        <w:tc>
          <w:tcPr>
            <w:tcW w:type="dxa" w:w="1872"/>
            <w:vAlign w:val="top"/>
          </w:tcPr>
          <w:p>
            <w:pPr>
              <w:spacing w:after="0"/>
            </w:pPr>
            <w:r/>
            <w:r>
              <w:rPr>
                <w:rFonts w:ascii="Times New Roman" w:hAnsi="Times New Roman" w:eastAsia="Times New Roman"/>
                <w:b w:val="0"/>
                <w:sz w:val="15"/>
              </w:rPr>
              <w:t>Medium</w:t>
            </w:r>
          </w:p>
        </w:tc>
        <w:tc>
          <w:tcPr>
            <w:tcW w:type="dxa" w:w="1872"/>
            <w:vAlign w:val="top"/>
          </w:tcPr>
          <w:p>
            <w:pPr>
              <w:spacing w:after="0"/>
            </w:pPr>
            <w:r/>
            <w:r>
              <w:rPr>
                <w:rFonts w:ascii="Times New Roman" w:hAnsi="Times New Roman" w:eastAsia="Times New Roman"/>
                <w:b w:val="0"/>
                <w:sz w:val="15"/>
              </w:rPr>
              <w:t>Critical</w:t>
            </w:r>
          </w:p>
        </w:tc>
        <w:tc>
          <w:tcPr>
            <w:tcW w:type="dxa" w:w="1872"/>
            <w:vAlign w:val="top"/>
          </w:tcPr>
          <w:p>
            <w:pPr>
              <w:spacing w:after="0"/>
            </w:pPr>
            <w:r/>
            <w:r>
              <w:rPr>
                <w:rFonts w:ascii="Times New Roman" w:hAnsi="Times New Roman" w:eastAsia="Times New Roman"/>
                <w:b w:val="0"/>
                <w:sz w:val="15"/>
              </w:rPr>
              <w:t>The system evaluates longitudinal context without a valid consent scope.</w:t>
            </w:r>
          </w:p>
        </w:tc>
        <w:tc>
          <w:tcPr>
            <w:tcW w:type="dxa" w:w="1872"/>
            <w:vAlign w:val="top"/>
          </w:tcPr>
          <w:p>
            <w:pPr>
              <w:spacing w:after="0"/>
            </w:pPr>
            <w:r/>
            <w:r>
              <w:rPr>
                <w:rFonts w:ascii="Times New Roman" w:hAnsi="Times New Roman" w:eastAsia="Times New Roman"/>
                <w:b w:val="0"/>
                <w:sz w:val="15"/>
              </w:rPr>
              <w:t>Block processing, generate audit exception, notify review owner, require consent repair before continuation.</w:t>
            </w:r>
          </w:p>
        </w:tc>
      </w:tr>
      <w:tr>
        <w:tc>
          <w:tcPr>
            <w:tcW w:type="dxa" w:w="1872"/>
            <w:vAlign w:val="top"/>
          </w:tcPr>
          <w:p>
            <w:pPr>
              <w:spacing w:after="0"/>
            </w:pPr>
            <w:r/>
            <w:r>
              <w:rPr>
                <w:rFonts w:ascii="Times New Roman" w:hAnsi="Times New Roman" w:eastAsia="Times New Roman"/>
                <w:b w:val="0"/>
                <w:sz w:val="15"/>
              </w:rPr>
              <w:t>Telemetry overreach</w:t>
            </w:r>
          </w:p>
        </w:tc>
        <w:tc>
          <w:tcPr>
            <w:tcW w:type="dxa" w:w="1872"/>
            <w:vAlign w:val="top"/>
          </w:tcPr>
          <w:p>
            <w:pPr>
              <w:spacing w:after="0"/>
            </w:pPr>
            <w:r/>
            <w:r>
              <w:rPr>
                <w:rFonts w:ascii="Times New Roman" w:hAnsi="Times New Roman" w:eastAsia="Times New Roman"/>
                <w:b w:val="0"/>
                <w:sz w:val="15"/>
              </w:rPr>
              <w:t>Medium</w:t>
            </w:r>
          </w:p>
        </w:tc>
        <w:tc>
          <w:tcPr>
            <w:tcW w:type="dxa" w:w="1872"/>
            <w:vAlign w:val="top"/>
          </w:tcPr>
          <w:p>
            <w:pPr>
              <w:spacing w:after="0"/>
            </w:pPr>
            <w:r/>
            <w:r>
              <w:rPr>
                <w:rFonts w:ascii="Times New Roman" w:hAnsi="Times New Roman" w:eastAsia="Times New Roman"/>
                <w:b w:val="0"/>
                <w:sz w:val="15"/>
              </w:rPr>
              <w:t>High</w:t>
            </w:r>
          </w:p>
        </w:tc>
        <w:tc>
          <w:tcPr>
            <w:tcW w:type="dxa" w:w="1872"/>
            <w:vAlign w:val="top"/>
          </w:tcPr>
          <w:p>
            <w:pPr>
              <w:spacing w:after="0"/>
            </w:pPr>
            <w:r/>
            <w:r>
              <w:rPr>
                <w:rFonts w:ascii="Times New Roman" w:hAnsi="Times New Roman" w:eastAsia="Times New Roman"/>
                <w:b w:val="0"/>
                <w:sz w:val="15"/>
              </w:rPr>
              <w:t>Interaction logs collect sensitive or irrelevant content beyond governance purpose.</w:t>
            </w:r>
          </w:p>
        </w:tc>
        <w:tc>
          <w:tcPr>
            <w:tcW w:type="dxa" w:w="1872"/>
            <w:vAlign w:val="top"/>
          </w:tcPr>
          <w:p>
            <w:pPr>
              <w:spacing w:after="0"/>
            </w:pPr>
            <w:r/>
            <w:r>
              <w:rPr>
                <w:rFonts w:ascii="Times New Roman" w:hAnsi="Times New Roman" w:eastAsia="Times New Roman"/>
                <w:b w:val="0"/>
                <w:sz w:val="15"/>
              </w:rPr>
              <w:t>Minimize fields, redact content where possible, enforce purpose-bound schemas, delete nonconforming records.</w:t>
            </w:r>
          </w:p>
        </w:tc>
      </w:tr>
      <w:tr>
        <w:tc>
          <w:tcPr>
            <w:tcW w:type="dxa" w:w="1872"/>
            <w:vAlign w:val="top"/>
          </w:tcPr>
          <w:p>
            <w:pPr>
              <w:spacing w:after="0"/>
            </w:pPr>
            <w:r/>
            <w:r>
              <w:rPr>
                <w:rFonts w:ascii="Times New Roman" w:hAnsi="Times New Roman" w:eastAsia="Times New Roman"/>
                <w:b w:val="0"/>
                <w:sz w:val="15"/>
              </w:rPr>
              <w:t>Diagnostic drift</w:t>
            </w:r>
          </w:p>
        </w:tc>
        <w:tc>
          <w:tcPr>
            <w:tcW w:type="dxa" w:w="1872"/>
            <w:vAlign w:val="top"/>
          </w:tcPr>
          <w:p>
            <w:pPr>
              <w:spacing w:after="0"/>
            </w:pPr>
            <w:r/>
            <w:r>
              <w:rPr>
                <w:rFonts w:ascii="Times New Roman" w:hAnsi="Times New Roman" w:eastAsia="Times New Roman"/>
                <w:b w:val="0"/>
                <w:sz w:val="15"/>
              </w:rPr>
              <w:t>Low to medium</w:t>
            </w:r>
          </w:p>
        </w:tc>
        <w:tc>
          <w:tcPr>
            <w:tcW w:type="dxa" w:w="1872"/>
            <w:vAlign w:val="top"/>
          </w:tcPr>
          <w:p>
            <w:pPr>
              <w:spacing w:after="0"/>
            </w:pPr>
            <w:r/>
            <w:r>
              <w:rPr>
                <w:rFonts w:ascii="Times New Roman" w:hAnsi="Times New Roman" w:eastAsia="Times New Roman"/>
                <w:b w:val="0"/>
                <w:sz w:val="15"/>
              </w:rPr>
              <w:t>Critical</w:t>
            </w:r>
          </w:p>
        </w:tc>
        <w:tc>
          <w:tcPr>
            <w:tcW w:type="dxa" w:w="1872"/>
            <w:vAlign w:val="top"/>
          </w:tcPr>
          <w:p>
            <w:pPr>
              <w:spacing w:after="0"/>
            </w:pPr>
            <w:r/>
            <w:r>
              <w:rPr>
                <w:rFonts w:ascii="Times New Roman" w:hAnsi="Times New Roman" w:eastAsia="Times New Roman"/>
                <w:b w:val="0"/>
                <w:sz w:val="15"/>
              </w:rPr>
              <w:t>Trajectory analysis becomes psychological classification or vulnerability scoring.</w:t>
            </w:r>
          </w:p>
        </w:tc>
        <w:tc>
          <w:tcPr>
            <w:tcW w:type="dxa" w:w="1872"/>
            <w:vAlign w:val="top"/>
          </w:tcPr>
          <w:p>
            <w:pPr>
              <w:spacing w:after="0"/>
            </w:pPr>
            <w:r/>
            <w:r>
              <w:rPr>
                <w:rFonts w:ascii="Times New Roman" w:hAnsi="Times New Roman" w:eastAsia="Times New Roman"/>
                <w:b w:val="0"/>
                <w:sz w:val="15"/>
              </w:rPr>
              <w:t>Prohibit diagnostic labels, restrict signals to observable governance events, require rule review for new signal types.</w:t>
            </w:r>
          </w:p>
        </w:tc>
      </w:tr>
      <w:tr>
        <w:tc>
          <w:tcPr>
            <w:tcW w:type="dxa" w:w="1872"/>
            <w:vAlign w:val="top"/>
          </w:tcPr>
          <w:p>
            <w:pPr>
              <w:spacing w:after="0"/>
            </w:pPr>
            <w:r/>
            <w:r>
              <w:rPr>
                <w:rFonts w:ascii="Times New Roman" w:hAnsi="Times New Roman" w:eastAsia="Times New Roman"/>
                <w:b w:val="0"/>
                <w:sz w:val="15"/>
              </w:rPr>
              <w:t>Hidden adaptation</w:t>
            </w:r>
          </w:p>
        </w:tc>
        <w:tc>
          <w:tcPr>
            <w:tcW w:type="dxa" w:w="1872"/>
            <w:vAlign w:val="top"/>
          </w:tcPr>
          <w:p>
            <w:pPr>
              <w:spacing w:after="0"/>
            </w:pPr>
            <w:r/>
            <w:r>
              <w:rPr>
                <w:rFonts w:ascii="Times New Roman" w:hAnsi="Times New Roman" w:eastAsia="Times New Roman"/>
                <w:b w:val="0"/>
                <w:sz w:val="15"/>
              </w:rPr>
              <w:t>Medium</w:t>
            </w:r>
          </w:p>
        </w:tc>
        <w:tc>
          <w:tcPr>
            <w:tcW w:type="dxa" w:w="1872"/>
            <w:vAlign w:val="top"/>
          </w:tcPr>
          <w:p>
            <w:pPr>
              <w:spacing w:after="0"/>
            </w:pPr>
            <w:r/>
            <w:r>
              <w:rPr>
                <w:rFonts w:ascii="Times New Roman" w:hAnsi="Times New Roman" w:eastAsia="Times New Roman"/>
                <w:b w:val="0"/>
                <w:sz w:val="15"/>
              </w:rPr>
              <w:t>High</w:t>
            </w:r>
          </w:p>
        </w:tc>
        <w:tc>
          <w:tcPr>
            <w:tcW w:type="dxa" w:w="1872"/>
            <w:vAlign w:val="top"/>
          </w:tcPr>
          <w:p>
            <w:pPr>
              <w:spacing w:after="0"/>
            </w:pPr>
            <w:r/>
            <w:r>
              <w:rPr>
                <w:rFonts w:ascii="Times New Roman" w:hAnsi="Times New Roman" w:eastAsia="Times New Roman"/>
                <w:b w:val="0"/>
                <w:sz w:val="15"/>
              </w:rPr>
              <w:t>The system changes behavior based on prior records without disclosure or user control.</w:t>
            </w:r>
          </w:p>
        </w:tc>
        <w:tc>
          <w:tcPr>
            <w:tcW w:type="dxa" w:w="1872"/>
            <w:vAlign w:val="top"/>
          </w:tcPr>
          <w:p>
            <w:pPr>
              <w:spacing w:after="0"/>
            </w:pPr>
            <w:r/>
            <w:r>
              <w:rPr>
                <w:rFonts w:ascii="Times New Roman" w:hAnsi="Times New Roman" w:eastAsia="Times New Roman"/>
                <w:b w:val="0"/>
                <w:sz w:val="15"/>
              </w:rPr>
              <w:t>Require adaptive disclosure, provide session boundary controls, audit response selection.</w:t>
            </w:r>
          </w:p>
        </w:tc>
      </w:tr>
      <w:tr>
        <w:tc>
          <w:tcPr>
            <w:tcW w:type="dxa" w:w="1872"/>
            <w:vAlign w:val="top"/>
          </w:tcPr>
          <w:p>
            <w:pPr>
              <w:spacing w:after="0"/>
            </w:pPr>
            <w:r/>
            <w:r>
              <w:rPr>
                <w:rFonts w:ascii="Times New Roman" w:hAnsi="Times New Roman" w:eastAsia="Times New Roman"/>
                <w:b w:val="0"/>
                <w:sz w:val="15"/>
              </w:rPr>
              <w:t>Audit manipulation</w:t>
            </w:r>
          </w:p>
        </w:tc>
        <w:tc>
          <w:tcPr>
            <w:tcW w:type="dxa" w:w="1872"/>
            <w:vAlign w:val="top"/>
          </w:tcPr>
          <w:p>
            <w:pPr>
              <w:spacing w:after="0"/>
            </w:pPr>
            <w:r/>
            <w:r>
              <w:rPr>
                <w:rFonts w:ascii="Times New Roman" w:hAnsi="Times New Roman" w:eastAsia="Times New Roman"/>
                <w:b w:val="0"/>
                <w:sz w:val="15"/>
              </w:rPr>
              <w:t>Low</w:t>
            </w:r>
          </w:p>
        </w:tc>
        <w:tc>
          <w:tcPr>
            <w:tcW w:type="dxa" w:w="1872"/>
            <w:vAlign w:val="top"/>
          </w:tcPr>
          <w:p>
            <w:pPr>
              <w:spacing w:after="0"/>
            </w:pPr>
            <w:r/>
            <w:r>
              <w:rPr>
                <w:rFonts w:ascii="Times New Roman" w:hAnsi="Times New Roman" w:eastAsia="Times New Roman"/>
                <w:b w:val="0"/>
                <w:sz w:val="15"/>
              </w:rPr>
              <w:t>Critical</w:t>
            </w:r>
          </w:p>
        </w:tc>
        <w:tc>
          <w:tcPr>
            <w:tcW w:type="dxa" w:w="1872"/>
            <w:vAlign w:val="top"/>
          </w:tcPr>
          <w:p>
            <w:pPr>
              <w:spacing w:after="0"/>
            </w:pPr>
            <w:r/>
            <w:r>
              <w:rPr>
                <w:rFonts w:ascii="Times New Roman" w:hAnsi="Times New Roman" w:eastAsia="Times New Roman"/>
                <w:b w:val="0"/>
                <w:sz w:val="15"/>
              </w:rPr>
              <w:t>Records are altered, deleted, or selectively generated after a complaint.</w:t>
            </w:r>
          </w:p>
        </w:tc>
        <w:tc>
          <w:tcPr>
            <w:tcW w:type="dxa" w:w="1872"/>
            <w:vAlign w:val="top"/>
          </w:tcPr>
          <w:p>
            <w:pPr>
              <w:spacing w:after="0"/>
            </w:pPr>
            <w:r/>
            <w:r>
              <w:rPr>
                <w:rFonts w:ascii="Times New Roman" w:hAnsi="Times New Roman" w:eastAsia="Times New Roman"/>
                <w:b w:val="0"/>
                <w:sz w:val="15"/>
              </w:rPr>
              <w:t>Use append-only logs, integrity hashes, independent review access, and exception alerts.</w:t>
            </w:r>
          </w:p>
        </w:tc>
      </w:tr>
      <w:tr>
        <w:tc>
          <w:tcPr>
            <w:tcW w:type="dxa" w:w="1872"/>
            <w:vAlign w:val="top"/>
          </w:tcPr>
          <w:p>
            <w:pPr>
              <w:spacing w:after="0"/>
            </w:pPr>
            <w:r/>
            <w:r>
              <w:rPr>
                <w:rFonts w:ascii="Times New Roman" w:hAnsi="Times New Roman" w:eastAsia="Times New Roman"/>
                <w:b w:val="0"/>
                <w:sz w:val="15"/>
              </w:rPr>
              <w:t>Escalation failure</w:t>
            </w:r>
          </w:p>
        </w:tc>
        <w:tc>
          <w:tcPr>
            <w:tcW w:type="dxa" w:w="1872"/>
            <w:vAlign w:val="top"/>
          </w:tcPr>
          <w:p>
            <w:pPr>
              <w:spacing w:after="0"/>
            </w:pPr>
            <w:r/>
            <w:r>
              <w:rPr>
                <w:rFonts w:ascii="Times New Roman" w:hAnsi="Times New Roman" w:eastAsia="Times New Roman"/>
                <w:b w:val="0"/>
                <w:sz w:val="15"/>
              </w:rPr>
              <w:t>Medium</w:t>
            </w:r>
          </w:p>
        </w:tc>
        <w:tc>
          <w:tcPr>
            <w:tcW w:type="dxa" w:w="1872"/>
            <w:vAlign w:val="top"/>
          </w:tcPr>
          <w:p>
            <w:pPr>
              <w:spacing w:after="0"/>
            </w:pPr>
            <w:r/>
            <w:r>
              <w:rPr>
                <w:rFonts w:ascii="Times New Roman" w:hAnsi="Times New Roman" w:eastAsia="Times New Roman"/>
                <w:b w:val="0"/>
                <w:sz w:val="15"/>
              </w:rPr>
              <w:t>High</w:t>
            </w:r>
          </w:p>
        </w:tc>
        <w:tc>
          <w:tcPr>
            <w:tcW w:type="dxa" w:w="1872"/>
            <w:vAlign w:val="top"/>
          </w:tcPr>
          <w:p>
            <w:pPr>
              <w:spacing w:after="0"/>
            </w:pPr>
            <w:r/>
            <w:r>
              <w:rPr>
                <w:rFonts w:ascii="Times New Roman" w:hAnsi="Times New Roman" w:eastAsia="Times New Roman"/>
                <w:b w:val="0"/>
                <w:sz w:val="15"/>
              </w:rPr>
              <w:t>The system detects a high-severity trajectory but does not route to human review or user-facing remedy.</w:t>
            </w:r>
          </w:p>
        </w:tc>
        <w:tc>
          <w:tcPr>
            <w:tcW w:type="dxa" w:w="1872"/>
            <w:vAlign w:val="top"/>
          </w:tcPr>
          <w:p>
            <w:pPr>
              <w:spacing w:after="0"/>
            </w:pPr>
            <w:r/>
            <w:r>
              <w:rPr>
                <w:rFonts w:ascii="Times New Roman" w:hAnsi="Times New Roman" w:eastAsia="Times New Roman"/>
                <w:b w:val="0"/>
                <w:sz w:val="15"/>
              </w:rPr>
              <w:t>Bind severity classes to mandatory response actions and test vectors.</w:t>
            </w:r>
          </w:p>
        </w:tc>
      </w:tr>
    </w:tbl>
    <w:p>
      <w:pPr>
        <w:spacing w:line="480" w:lineRule="auto" w:after="0"/>
        <w:ind w:firstLine="720"/>
      </w:pPr>
      <w:r>
        <w:rPr>
          <w:rFonts w:ascii="Times New Roman" w:hAnsi="Times New Roman" w:eastAsia="Times New Roman"/>
          <w:sz w:val="24"/>
        </w:rPr>
        <w:t>The risk map is designed for conformance testing. Each risk is expressed as a scenario that can be simulated. This prevents the framework from becoming a list of values without enforcement mechanisms.</w:t>
      </w:r>
    </w:p>
    <w:p>
      <w:pPr>
        <w:pStyle w:val="Heading1"/>
        <w:spacing w:line="480" w:lineRule="auto" w:before="240" w:after="0"/>
      </w:pPr>
      <w:r>
        <w:rPr>
          <w:rFonts w:ascii="Times New Roman" w:hAnsi="Times New Roman" w:eastAsia="Times New Roman"/>
          <w:b/>
          <w:sz w:val="24"/>
        </w:rPr>
        <w:t>Policy Logic</w:t>
      </w:r>
    </w:p>
    <w:p>
      <w:pPr>
        <w:spacing w:line="480" w:lineRule="auto" w:after="0"/>
        <w:ind w:firstLine="720"/>
      </w:pPr>
      <w:r>
        <w:rPr>
          <w:rFonts w:ascii="Times New Roman" w:hAnsi="Times New Roman" w:eastAsia="Times New Roman"/>
          <w:sz w:val="24"/>
        </w:rPr>
        <w:t>EIT treats policy as executable logic. A policy rule is complete only when it identifies a condition, a required action, a prohibited action, an enforcement trigger, an escalation pathway, and an audit artifact. The following rules form the minimum policy logic for an EIT-compliant system.</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val="true"/>
        </w:trPr>
        <w:tc>
          <w:tcPr>
            <w:tcW w:type="dxa" w:w="2340"/>
            <w:shd w:fill="EAEAEA"/>
            <w:vAlign w:val="center"/>
          </w:tcPr>
          <w:p>
            <w:pPr>
              <w:spacing w:after="0"/>
            </w:pPr>
            <w:r/>
            <w:r>
              <w:rPr>
                <w:rFonts w:ascii="Times New Roman" w:hAnsi="Times New Roman" w:eastAsia="Times New Roman"/>
                <w:b/>
                <w:sz w:val="14"/>
              </w:rPr>
              <w:t>Rule</w:t>
            </w:r>
          </w:p>
        </w:tc>
        <w:tc>
          <w:tcPr>
            <w:tcW w:type="dxa" w:w="2340"/>
            <w:shd w:fill="EAEAEA"/>
            <w:vAlign w:val="center"/>
          </w:tcPr>
          <w:p>
            <w:pPr>
              <w:spacing w:after="0"/>
            </w:pPr>
            <w:r/>
            <w:r>
              <w:rPr>
                <w:rFonts w:ascii="Times New Roman" w:hAnsi="Times New Roman" w:eastAsia="Times New Roman"/>
                <w:b/>
                <w:sz w:val="14"/>
              </w:rPr>
              <w:t>Condition</w:t>
            </w:r>
          </w:p>
        </w:tc>
        <w:tc>
          <w:tcPr>
            <w:tcW w:type="dxa" w:w="2340"/>
            <w:shd w:fill="EAEAEA"/>
            <w:vAlign w:val="center"/>
          </w:tcPr>
          <w:p>
            <w:pPr>
              <w:spacing w:after="0"/>
            </w:pPr>
            <w:r/>
            <w:r>
              <w:rPr>
                <w:rFonts w:ascii="Times New Roman" w:hAnsi="Times New Roman" w:eastAsia="Times New Roman"/>
                <w:b/>
                <w:sz w:val="14"/>
              </w:rPr>
              <w:t>Required system action</w:t>
            </w:r>
          </w:p>
        </w:tc>
        <w:tc>
          <w:tcPr>
            <w:tcW w:type="dxa" w:w="2340"/>
            <w:shd w:fill="EAEAEA"/>
            <w:vAlign w:val="center"/>
          </w:tcPr>
          <w:p>
            <w:pPr>
              <w:spacing w:after="0"/>
            </w:pPr>
            <w:r/>
            <w:r>
              <w:rPr>
                <w:rFonts w:ascii="Times New Roman" w:hAnsi="Times New Roman" w:eastAsia="Times New Roman"/>
                <w:b/>
                <w:sz w:val="14"/>
              </w:rPr>
              <w:t>Escalation pathway</w:t>
            </w:r>
          </w:p>
        </w:tc>
      </w:tr>
      <w:tr>
        <w:tc>
          <w:tcPr>
            <w:tcW w:type="dxa" w:w="2340"/>
            <w:vAlign w:val="top"/>
          </w:tcPr>
          <w:p>
            <w:pPr>
              <w:spacing w:after="0"/>
            </w:pPr>
            <w:r/>
            <w:r>
              <w:rPr>
                <w:rFonts w:ascii="Times New Roman" w:hAnsi="Times New Roman" w:eastAsia="Times New Roman"/>
                <w:b w:val="0"/>
                <w:sz w:val="14"/>
              </w:rPr>
              <w:t>EIT-R1 Consent precondition</w:t>
            </w:r>
          </w:p>
        </w:tc>
        <w:tc>
          <w:tcPr>
            <w:tcW w:type="dxa" w:w="2340"/>
            <w:vAlign w:val="top"/>
          </w:tcPr>
          <w:p>
            <w:pPr>
              <w:spacing w:after="0"/>
            </w:pPr>
            <w:r/>
            <w:r>
              <w:rPr>
                <w:rFonts w:ascii="Times New Roman" w:hAnsi="Times New Roman" w:eastAsia="Times New Roman"/>
                <w:b w:val="0"/>
                <w:sz w:val="14"/>
              </w:rPr>
              <w:t>No valid consent_scope_id exists for longitudinal processing.</w:t>
            </w:r>
          </w:p>
        </w:tc>
        <w:tc>
          <w:tcPr>
            <w:tcW w:type="dxa" w:w="2340"/>
            <w:vAlign w:val="top"/>
          </w:tcPr>
          <w:p>
            <w:pPr>
              <w:spacing w:after="0"/>
            </w:pPr>
            <w:r/>
            <w:r>
              <w:rPr>
                <w:rFonts w:ascii="Times New Roman" w:hAnsi="Times New Roman" w:eastAsia="Times New Roman"/>
                <w:b w:val="0"/>
                <w:sz w:val="14"/>
              </w:rPr>
              <w:t>Do not create LIL record for longitudinal use; create consent exception audit record.</w:t>
            </w:r>
          </w:p>
        </w:tc>
        <w:tc>
          <w:tcPr>
            <w:tcW w:type="dxa" w:w="2340"/>
            <w:vAlign w:val="top"/>
          </w:tcPr>
          <w:p>
            <w:pPr>
              <w:spacing w:after="0"/>
            </w:pPr>
            <w:r/>
            <w:r>
              <w:rPr>
                <w:rFonts w:ascii="Times New Roman" w:hAnsi="Times New Roman" w:eastAsia="Times New Roman"/>
                <w:b w:val="0"/>
                <w:sz w:val="14"/>
              </w:rPr>
              <w:t>Consent repair required before processing resumes.</w:t>
            </w:r>
          </w:p>
        </w:tc>
      </w:tr>
      <w:tr>
        <w:tc>
          <w:tcPr>
            <w:tcW w:type="dxa" w:w="2340"/>
            <w:vAlign w:val="top"/>
          </w:tcPr>
          <w:p>
            <w:pPr>
              <w:spacing w:after="0"/>
            </w:pPr>
            <w:r/>
            <w:r>
              <w:rPr>
                <w:rFonts w:ascii="Times New Roman" w:hAnsi="Times New Roman" w:eastAsia="Times New Roman"/>
                <w:b w:val="0"/>
                <w:sz w:val="14"/>
              </w:rPr>
              <w:t>EIT-R2 Purpose limitation</w:t>
            </w:r>
          </w:p>
        </w:tc>
        <w:tc>
          <w:tcPr>
            <w:tcW w:type="dxa" w:w="2340"/>
            <w:vAlign w:val="top"/>
          </w:tcPr>
          <w:p>
            <w:pPr>
              <w:spacing w:after="0"/>
            </w:pPr>
            <w:r/>
            <w:r>
              <w:rPr>
                <w:rFonts w:ascii="Times New Roman" w:hAnsi="Times New Roman" w:eastAsia="Times New Roman"/>
                <w:b w:val="0"/>
                <w:sz w:val="14"/>
              </w:rPr>
              <w:t>The requested telemetry purpose is outside the consent scope.</w:t>
            </w:r>
          </w:p>
        </w:tc>
        <w:tc>
          <w:tcPr>
            <w:tcW w:type="dxa" w:w="2340"/>
            <w:vAlign w:val="top"/>
          </w:tcPr>
          <w:p>
            <w:pPr>
              <w:spacing w:after="0"/>
            </w:pPr>
            <w:r/>
            <w:r>
              <w:rPr>
                <w:rFonts w:ascii="Times New Roman" w:hAnsi="Times New Roman" w:eastAsia="Times New Roman"/>
                <w:b w:val="0"/>
                <w:sz w:val="14"/>
              </w:rPr>
              <w:t>Block processing and record purpose_mismatch.</w:t>
            </w:r>
          </w:p>
        </w:tc>
        <w:tc>
          <w:tcPr>
            <w:tcW w:type="dxa" w:w="2340"/>
            <w:vAlign w:val="top"/>
          </w:tcPr>
          <w:p>
            <w:pPr>
              <w:spacing w:after="0"/>
            </w:pPr>
            <w:r/>
            <w:r>
              <w:rPr>
                <w:rFonts w:ascii="Times New Roman" w:hAnsi="Times New Roman" w:eastAsia="Times New Roman"/>
                <w:b w:val="0"/>
                <w:sz w:val="14"/>
              </w:rPr>
              <w:t>Compliance review if repeated mismatch occurs.</w:t>
            </w:r>
          </w:p>
        </w:tc>
      </w:tr>
      <w:tr>
        <w:tc>
          <w:tcPr>
            <w:tcW w:type="dxa" w:w="2340"/>
            <w:vAlign w:val="top"/>
          </w:tcPr>
          <w:p>
            <w:pPr>
              <w:spacing w:after="0"/>
            </w:pPr>
            <w:r/>
            <w:r>
              <w:rPr>
                <w:rFonts w:ascii="Times New Roman" w:hAnsi="Times New Roman" w:eastAsia="Times New Roman"/>
                <w:b w:val="0"/>
                <w:sz w:val="14"/>
              </w:rPr>
              <w:t>EIT-R3 Mandatory observable logging</w:t>
            </w:r>
          </w:p>
        </w:tc>
        <w:tc>
          <w:tcPr>
            <w:tcW w:type="dxa" w:w="2340"/>
            <w:vAlign w:val="top"/>
          </w:tcPr>
          <w:p>
            <w:pPr>
              <w:spacing w:after="0"/>
            </w:pPr>
            <w:r/>
            <w:r>
              <w:rPr>
                <w:rFonts w:ascii="Times New Roman" w:hAnsi="Times New Roman" w:eastAsia="Times New Roman"/>
                <w:b w:val="0"/>
                <w:sz w:val="14"/>
              </w:rPr>
              <w:t>A governance-relevant event occurs within scope.</w:t>
            </w:r>
          </w:p>
        </w:tc>
        <w:tc>
          <w:tcPr>
            <w:tcW w:type="dxa" w:w="2340"/>
            <w:vAlign w:val="top"/>
          </w:tcPr>
          <w:p>
            <w:pPr>
              <w:spacing w:after="0"/>
            </w:pPr>
            <w:r/>
            <w:r>
              <w:rPr>
                <w:rFonts w:ascii="Times New Roman" w:hAnsi="Times New Roman" w:eastAsia="Times New Roman"/>
                <w:b w:val="0"/>
                <w:sz w:val="14"/>
              </w:rPr>
              <w:t>Create LIL event record with required fields.</w:t>
            </w:r>
          </w:p>
        </w:tc>
        <w:tc>
          <w:tcPr>
            <w:tcW w:type="dxa" w:w="2340"/>
            <w:vAlign w:val="top"/>
          </w:tcPr>
          <w:p>
            <w:pPr>
              <w:spacing w:after="0"/>
            </w:pPr>
            <w:r/>
            <w:r>
              <w:rPr>
                <w:rFonts w:ascii="Times New Roman" w:hAnsi="Times New Roman" w:eastAsia="Times New Roman"/>
                <w:b w:val="0"/>
                <w:sz w:val="14"/>
              </w:rPr>
              <w:t>System error if record cannot be created.</w:t>
            </w:r>
          </w:p>
        </w:tc>
      </w:tr>
      <w:tr>
        <w:tc>
          <w:tcPr>
            <w:tcW w:type="dxa" w:w="2340"/>
            <w:vAlign w:val="top"/>
          </w:tcPr>
          <w:p>
            <w:pPr>
              <w:spacing w:after="0"/>
            </w:pPr>
            <w:r/>
            <w:r>
              <w:rPr>
                <w:rFonts w:ascii="Times New Roman" w:hAnsi="Times New Roman" w:eastAsia="Times New Roman"/>
                <w:b w:val="0"/>
                <w:sz w:val="14"/>
              </w:rPr>
              <w:t>EIT-R4 No diagnostic inference</w:t>
            </w:r>
          </w:p>
        </w:tc>
        <w:tc>
          <w:tcPr>
            <w:tcW w:type="dxa" w:w="2340"/>
            <w:vAlign w:val="top"/>
          </w:tcPr>
          <w:p>
            <w:pPr>
              <w:spacing w:after="0"/>
            </w:pPr>
            <w:r/>
            <w:r>
              <w:rPr>
                <w:rFonts w:ascii="Times New Roman" w:hAnsi="Times New Roman" w:eastAsia="Times New Roman"/>
                <w:b w:val="0"/>
                <w:sz w:val="14"/>
              </w:rPr>
              <w:t>A rule attempts to assign psychological, medical, or vulnerability status.</w:t>
            </w:r>
          </w:p>
        </w:tc>
        <w:tc>
          <w:tcPr>
            <w:tcW w:type="dxa" w:w="2340"/>
            <w:vAlign w:val="top"/>
          </w:tcPr>
          <w:p>
            <w:pPr>
              <w:spacing w:after="0"/>
            </w:pPr>
            <w:r/>
            <w:r>
              <w:rPr>
                <w:rFonts w:ascii="Times New Roman" w:hAnsi="Times New Roman" w:eastAsia="Times New Roman"/>
                <w:b w:val="0"/>
                <w:sz w:val="14"/>
              </w:rPr>
              <w:t>Reject signal generation.</w:t>
            </w:r>
          </w:p>
        </w:tc>
        <w:tc>
          <w:tcPr>
            <w:tcW w:type="dxa" w:w="2340"/>
            <w:vAlign w:val="top"/>
          </w:tcPr>
          <w:p>
            <w:pPr>
              <w:spacing w:after="0"/>
            </w:pPr>
            <w:r/>
            <w:r>
              <w:rPr>
                <w:rFonts w:ascii="Times New Roman" w:hAnsi="Times New Roman" w:eastAsia="Times New Roman"/>
                <w:b w:val="0"/>
                <w:sz w:val="14"/>
              </w:rPr>
              <w:t>Policy review required for attempted prohibited signal.</w:t>
            </w:r>
          </w:p>
        </w:tc>
      </w:tr>
      <w:tr>
        <w:tc>
          <w:tcPr>
            <w:tcW w:type="dxa" w:w="2340"/>
            <w:vAlign w:val="top"/>
          </w:tcPr>
          <w:p>
            <w:pPr>
              <w:spacing w:after="0"/>
            </w:pPr>
            <w:r/>
            <w:r>
              <w:rPr>
                <w:rFonts w:ascii="Times New Roman" w:hAnsi="Times New Roman" w:eastAsia="Times New Roman"/>
                <w:b w:val="0"/>
                <w:sz w:val="14"/>
              </w:rPr>
              <w:t>EIT-R5 Trajectory window boundary</w:t>
            </w:r>
          </w:p>
        </w:tc>
        <w:tc>
          <w:tcPr>
            <w:tcW w:type="dxa" w:w="2340"/>
            <w:vAlign w:val="top"/>
          </w:tcPr>
          <w:p>
            <w:pPr>
              <w:spacing w:after="0"/>
            </w:pPr>
            <w:r/>
            <w:r>
              <w:rPr>
                <w:rFonts w:ascii="Times New Roman" w:hAnsi="Times New Roman" w:eastAsia="Times New Roman"/>
                <w:b w:val="0"/>
                <w:sz w:val="14"/>
              </w:rPr>
              <w:t>TAR evaluation is requested outside authorized window.</w:t>
            </w:r>
          </w:p>
        </w:tc>
        <w:tc>
          <w:tcPr>
            <w:tcW w:type="dxa" w:w="2340"/>
            <w:vAlign w:val="top"/>
          </w:tcPr>
          <w:p>
            <w:pPr>
              <w:spacing w:after="0"/>
            </w:pPr>
            <w:r/>
            <w:r>
              <w:rPr>
                <w:rFonts w:ascii="Times New Roman" w:hAnsi="Times New Roman" w:eastAsia="Times New Roman"/>
                <w:b w:val="0"/>
                <w:sz w:val="14"/>
              </w:rPr>
              <w:t>Limit evaluation to authorized records only.</w:t>
            </w:r>
          </w:p>
        </w:tc>
        <w:tc>
          <w:tcPr>
            <w:tcW w:type="dxa" w:w="2340"/>
            <w:vAlign w:val="top"/>
          </w:tcPr>
          <w:p>
            <w:pPr>
              <w:spacing w:after="0"/>
            </w:pPr>
            <w:r/>
            <w:r>
              <w:rPr>
                <w:rFonts w:ascii="Times New Roman" w:hAnsi="Times New Roman" w:eastAsia="Times New Roman"/>
                <w:b w:val="0"/>
                <w:sz w:val="14"/>
              </w:rPr>
              <w:t>Audit boundary reduction.</w:t>
            </w:r>
          </w:p>
        </w:tc>
      </w:tr>
      <w:tr>
        <w:tc>
          <w:tcPr>
            <w:tcW w:type="dxa" w:w="2340"/>
            <w:vAlign w:val="top"/>
          </w:tcPr>
          <w:p>
            <w:pPr>
              <w:spacing w:after="0"/>
            </w:pPr>
            <w:r/>
            <w:r>
              <w:rPr>
                <w:rFonts w:ascii="Times New Roman" w:hAnsi="Times New Roman" w:eastAsia="Times New Roman"/>
                <w:b w:val="0"/>
                <w:sz w:val="14"/>
              </w:rPr>
              <w:t>EIT-R6 Severity binding</w:t>
            </w:r>
          </w:p>
        </w:tc>
        <w:tc>
          <w:tcPr>
            <w:tcW w:type="dxa" w:w="2340"/>
            <w:vAlign w:val="top"/>
          </w:tcPr>
          <w:p>
            <w:pPr>
              <w:spacing w:after="0"/>
            </w:pPr>
            <w:r/>
            <w:r>
              <w:rPr>
                <w:rFonts w:ascii="Times New Roman" w:hAnsi="Times New Roman" w:eastAsia="Times New Roman"/>
                <w:b w:val="0"/>
                <w:sz w:val="14"/>
              </w:rPr>
              <w:t>TAR signal severity is high or critical.</w:t>
            </w:r>
          </w:p>
        </w:tc>
        <w:tc>
          <w:tcPr>
            <w:tcW w:type="dxa" w:w="2340"/>
            <w:vAlign w:val="top"/>
          </w:tcPr>
          <w:p>
            <w:pPr>
              <w:spacing w:after="0"/>
            </w:pPr>
            <w:r/>
            <w:r>
              <w:rPr>
                <w:rFonts w:ascii="Times New Roman" w:hAnsi="Times New Roman" w:eastAsia="Times New Roman"/>
                <w:b w:val="0"/>
                <w:sz w:val="14"/>
              </w:rPr>
              <w:t>Select required PDEV response type according to severity table.</w:t>
            </w:r>
          </w:p>
        </w:tc>
        <w:tc>
          <w:tcPr>
            <w:tcW w:type="dxa" w:w="2340"/>
            <w:vAlign w:val="top"/>
          </w:tcPr>
          <w:p>
            <w:pPr>
              <w:spacing w:after="0"/>
            </w:pPr>
            <w:r/>
            <w:r>
              <w:rPr>
                <w:rFonts w:ascii="Times New Roman" w:hAnsi="Times New Roman" w:eastAsia="Times New Roman"/>
                <w:b w:val="0"/>
                <w:sz w:val="14"/>
              </w:rPr>
              <w:t>Human review for critical severity.</w:t>
            </w:r>
          </w:p>
        </w:tc>
      </w:tr>
      <w:tr>
        <w:tc>
          <w:tcPr>
            <w:tcW w:type="dxa" w:w="2340"/>
            <w:vAlign w:val="top"/>
          </w:tcPr>
          <w:p>
            <w:pPr>
              <w:spacing w:after="0"/>
            </w:pPr>
            <w:r/>
            <w:r>
              <w:rPr>
                <w:rFonts w:ascii="Times New Roman" w:hAnsi="Times New Roman" w:eastAsia="Times New Roman"/>
                <w:b w:val="0"/>
                <w:sz w:val="14"/>
              </w:rPr>
              <w:t>EIT-R7 User-facing disclosure</w:t>
            </w:r>
          </w:p>
        </w:tc>
        <w:tc>
          <w:tcPr>
            <w:tcW w:type="dxa" w:w="2340"/>
            <w:vAlign w:val="top"/>
          </w:tcPr>
          <w:p>
            <w:pPr>
              <w:spacing w:after="0"/>
            </w:pPr>
            <w:r/>
            <w:r>
              <w:rPr>
                <w:rFonts w:ascii="Times New Roman" w:hAnsi="Times New Roman" w:eastAsia="Times New Roman"/>
                <w:b w:val="0"/>
                <w:sz w:val="14"/>
              </w:rPr>
              <w:t>System adaptation is based on prior interaction records.</w:t>
            </w:r>
          </w:p>
        </w:tc>
        <w:tc>
          <w:tcPr>
            <w:tcW w:type="dxa" w:w="2340"/>
            <w:vAlign w:val="top"/>
          </w:tcPr>
          <w:p>
            <w:pPr>
              <w:spacing w:after="0"/>
            </w:pPr>
            <w:r/>
            <w:r>
              <w:rPr>
                <w:rFonts w:ascii="Times New Roman" w:hAnsi="Times New Roman" w:eastAsia="Times New Roman"/>
                <w:b w:val="0"/>
                <w:sz w:val="14"/>
              </w:rPr>
              <w:t>Provide concise disclosure or explain the relevant context boundary.</w:t>
            </w:r>
          </w:p>
        </w:tc>
        <w:tc>
          <w:tcPr>
            <w:tcW w:type="dxa" w:w="2340"/>
            <w:vAlign w:val="top"/>
          </w:tcPr>
          <w:p>
            <w:pPr>
              <w:spacing w:after="0"/>
            </w:pPr>
            <w:r/>
            <w:r>
              <w:rPr>
                <w:rFonts w:ascii="Times New Roman" w:hAnsi="Times New Roman" w:eastAsia="Times New Roman"/>
                <w:b w:val="0"/>
                <w:sz w:val="14"/>
              </w:rPr>
              <w:t>Escalate if disclosure fails.</w:t>
            </w:r>
          </w:p>
        </w:tc>
      </w:tr>
      <w:tr>
        <w:tc>
          <w:tcPr>
            <w:tcW w:type="dxa" w:w="2340"/>
            <w:vAlign w:val="top"/>
          </w:tcPr>
          <w:p>
            <w:pPr>
              <w:spacing w:after="0"/>
            </w:pPr>
            <w:r/>
            <w:r>
              <w:rPr>
                <w:rFonts w:ascii="Times New Roman" w:hAnsi="Times New Roman" w:eastAsia="Times New Roman"/>
                <w:b w:val="0"/>
                <w:sz w:val="14"/>
              </w:rPr>
              <w:t>EIT-R8 Audit integrity</w:t>
            </w:r>
          </w:p>
        </w:tc>
        <w:tc>
          <w:tcPr>
            <w:tcW w:type="dxa" w:w="2340"/>
            <w:vAlign w:val="top"/>
          </w:tcPr>
          <w:p>
            <w:pPr>
              <w:spacing w:after="0"/>
            </w:pPr>
            <w:r/>
            <w:r>
              <w:rPr>
                <w:rFonts w:ascii="Times New Roman" w:hAnsi="Times New Roman" w:eastAsia="Times New Roman"/>
                <w:b w:val="0"/>
                <w:sz w:val="14"/>
              </w:rPr>
              <w:t>Any LIL, TAR, or PDEV record is created.</w:t>
            </w:r>
          </w:p>
        </w:tc>
        <w:tc>
          <w:tcPr>
            <w:tcW w:type="dxa" w:w="2340"/>
            <w:vAlign w:val="top"/>
          </w:tcPr>
          <w:p>
            <w:pPr>
              <w:spacing w:after="0"/>
            </w:pPr>
            <w:r/>
            <w:r>
              <w:rPr>
                <w:rFonts w:ascii="Times New Roman" w:hAnsi="Times New Roman" w:eastAsia="Times New Roman"/>
                <w:b w:val="0"/>
                <w:sz w:val="14"/>
              </w:rPr>
              <w:t>Create or update linked audit record with integrity hash.</w:t>
            </w:r>
          </w:p>
        </w:tc>
        <w:tc>
          <w:tcPr>
            <w:tcW w:type="dxa" w:w="2340"/>
            <w:vAlign w:val="top"/>
          </w:tcPr>
          <w:p>
            <w:pPr>
              <w:spacing w:after="0"/>
            </w:pPr>
            <w:r/>
            <w:r>
              <w:rPr>
                <w:rFonts w:ascii="Times New Roman" w:hAnsi="Times New Roman" w:eastAsia="Times New Roman"/>
                <w:b w:val="0"/>
                <w:sz w:val="14"/>
              </w:rPr>
              <w:t>Alert review owner if hash chain breaks.</w:t>
            </w:r>
          </w:p>
        </w:tc>
      </w:tr>
      <w:tr>
        <w:tc>
          <w:tcPr>
            <w:tcW w:type="dxa" w:w="2340"/>
            <w:vAlign w:val="top"/>
          </w:tcPr>
          <w:p>
            <w:pPr>
              <w:spacing w:after="0"/>
            </w:pPr>
            <w:r/>
            <w:r>
              <w:rPr>
                <w:rFonts w:ascii="Times New Roman" w:hAnsi="Times New Roman" w:eastAsia="Times New Roman"/>
                <w:b w:val="0"/>
                <w:sz w:val="14"/>
              </w:rPr>
              <w:t>EIT-R9 Non-use prohibition</w:t>
            </w:r>
          </w:p>
        </w:tc>
        <w:tc>
          <w:tcPr>
            <w:tcW w:type="dxa" w:w="2340"/>
            <w:vAlign w:val="top"/>
          </w:tcPr>
          <w:p>
            <w:pPr>
              <w:spacing w:after="0"/>
            </w:pPr>
            <w:r/>
            <w:r>
              <w:rPr>
                <w:rFonts w:ascii="Times New Roman" w:hAnsi="Times New Roman" w:eastAsia="Times New Roman"/>
                <w:b w:val="0"/>
                <w:sz w:val="14"/>
              </w:rPr>
              <w:t>Telemetry is requested for advertising, ranking, or behavioral targeting.</w:t>
            </w:r>
          </w:p>
        </w:tc>
        <w:tc>
          <w:tcPr>
            <w:tcW w:type="dxa" w:w="2340"/>
            <w:vAlign w:val="top"/>
          </w:tcPr>
          <w:p>
            <w:pPr>
              <w:spacing w:after="0"/>
            </w:pPr>
            <w:r/>
            <w:r>
              <w:rPr>
                <w:rFonts w:ascii="Times New Roman" w:hAnsi="Times New Roman" w:eastAsia="Times New Roman"/>
                <w:b w:val="0"/>
                <w:sz w:val="14"/>
              </w:rPr>
              <w:t>Deny request and create prohibited-use audit record.</w:t>
            </w:r>
          </w:p>
        </w:tc>
        <w:tc>
          <w:tcPr>
            <w:tcW w:type="dxa" w:w="2340"/>
            <w:vAlign w:val="top"/>
          </w:tcPr>
          <w:p>
            <w:pPr>
              <w:spacing w:after="0"/>
            </w:pPr>
            <w:r/>
            <w:r>
              <w:rPr>
                <w:rFonts w:ascii="Times New Roman" w:hAnsi="Times New Roman" w:eastAsia="Times New Roman"/>
                <w:b w:val="0"/>
                <w:sz w:val="14"/>
              </w:rPr>
              <w:t>Mandatory compliance review.</w:t>
            </w:r>
          </w:p>
        </w:tc>
      </w:tr>
      <w:tr>
        <w:tc>
          <w:tcPr>
            <w:tcW w:type="dxa" w:w="2340"/>
            <w:vAlign w:val="top"/>
          </w:tcPr>
          <w:p>
            <w:pPr>
              <w:spacing w:after="0"/>
            </w:pPr>
            <w:r/>
            <w:r>
              <w:rPr>
                <w:rFonts w:ascii="Times New Roman" w:hAnsi="Times New Roman" w:eastAsia="Times New Roman"/>
                <w:b w:val="0"/>
                <w:sz w:val="14"/>
              </w:rPr>
              <w:t>EIT-R10 Record export</w:t>
            </w:r>
          </w:p>
        </w:tc>
        <w:tc>
          <w:tcPr>
            <w:tcW w:type="dxa" w:w="2340"/>
            <w:vAlign w:val="top"/>
          </w:tcPr>
          <w:p>
            <w:pPr>
              <w:spacing w:after="0"/>
            </w:pPr>
            <w:r/>
            <w:r>
              <w:rPr>
                <w:rFonts w:ascii="Times New Roman" w:hAnsi="Times New Roman" w:eastAsia="Times New Roman"/>
                <w:b w:val="0"/>
                <w:sz w:val="14"/>
              </w:rPr>
              <w:t>User or authorized reviewer requests governance record access.</w:t>
            </w:r>
          </w:p>
        </w:tc>
        <w:tc>
          <w:tcPr>
            <w:tcW w:type="dxa" w:w="2340"/>
            <w:vAlign w:val="top"/>
          </w:tcPr>
          <w:p>
            <w:pPr>
              <w:spacing w:after="0"/>
            </w:pPr>
            <w:r/>
            <w:r>
              <w:rPr>
                <w:rFonts w:ascii="Times New Roman" w:hAnsi="Times New Roman" w:eastAsia="Times New Roman"/>
                <w:b w:val="0"/>
                <w:sz w:val="14"/>
              </w:rPr>
              <w:t>Export authorized records in readable and machine-readable format.</w:t>
            </w:r>
          </w:p>
        </w:tc>
        <w:tc>
          <w:tcPr>
            <w:tcW w:type="dxa" w:w="2340"/>
            <w:vAlign w:val="top"/>
          </w:tcPr>
          <w:p>
            <w:pPr>
              <w:spacing w:after="0"/>
            </w:pPr>
            <w:r/>
            <w:r>
              <w:rPr>
                <w:rFonts w:ascii="Times New Roman" w:hAnsi="Times New Roman" w:eastAsia="Times New Roman"/>
                <w:b w:val="0"/>
                <w:sz w:val="14"/>
              </w:rPr>
              <w:t>Appeal route if denied.</w:t>
            </w:r>
          </w:p>
        </w:tc>
      </w:tr>
      <w:tr>
        <w:tc>
          <w:tcPr>
            <w:tcW w:type="dxa" w:w="2340"/>
            <w:vAlign w:val="top"/>
          </w:tcPr>
          <w:p>
            <w:pPr>
              <w:spacing w:after="0"/>
            </w:pPr>
            <w:r/>
            <w:r>
              <w:rPr>
                <w:rFonts w:ascii="Times New Roman" w:hAnsi="Times New Roman" w:eastAsia="Times New Roman"/>
                <w:b w:val="0"/>
                <w:sz w:val="14"/>
              </w:rPr>
              <w:t>EIT-R11 Retention boundary</w:t>
            </w:r>
          </w:p>
        </w:tc>
        <w:tc>
          <w:tcPr>
            <w:tcW w:type="dxa" w:w="2340"/>
            <w:vAlign w:val="top"/>
          </w:tcPr>
          <w:p>
            <w:pPr>
              <w:spacing w:after="0"/>
            </w:pPr>
            <w:r/>
            <w:r>
              <w:rPr>
                <w:rFonts w:ascii="Times New Roman" w:hAnsi="Times New Roman" w:eastAsia="Times New Roman"/>
                <w:b w:val="0"/>
                <w:sz w:val="14"/>
              </w:rPr>
              <w:t>Record exceeds retention class without extension authority.</w:t>
            </w:r>
          </w:p>
        </w:tc>
        <w:tc>
          <w:tcPr>
            <w:tcW w:type="dxa" w:w="2340"/>
            <w:vAlign w:val="top"/>
          </w:tcPr>
          <w:p>
            <w:pPr>
              <w:spacing w:after="0"/>
            </w:pPr>
            <w:r/>
            <w:r>
              <w:rPr>
                <w:rFonts w:ascii="Times New Roman" w:hAnsi="Times New Roman" w:eastAsia="Times New Roman"/>
                <w:b w:val="0"/>
                <w:sz w:val="14"/>
              </w:rPr>
              <w:t>Delete or archive according to policy.</w:t>
            </w:r>
          </w:p>
        </w:tc>
        <w:tc>
          <w:tcPr>
            <w:tcW w:type="dxa" w:w="2340"/>
            <w:vAlign w:val="top"/>
          </w:tcPr>
          <w:p>
            <w:pPr>
              <w:spacing w:after="0"/>
            </w:pPr>
            <w:r/>
            <w:r>
              <w:rPr>
                <w:rFonts w:ascii="Times New Roman" w:hAnsi="Times New Roman" w:eastAsia="Times New Roman"/>
                <w:b w:val="0"/>
                <w:sz w:val="14"/>
              </w:rPr>
              <w:t>Retention exception audit required.</w:t>
            </w:r>
          </w:p>
        </w:tc>
      </w:tr>
      <w:tr>
        <w:tc>
          <w:tcPr>
            <w:tcW w:type="dxa" w:w="2340"/>
            <w:vAlign w:val="top"/>
          </w:tcPr>
          <w:p>
            <w:pPr>
              <w:spacing w:after="0"/>
            </w:pPr>
            <w:r/>
            <w:r>
              <w:rPr>
                <w:rFonts w:ascii="Times New Roman" w:hAnsi="Times New Roman" w:eastAsia="Times New Roman"/>
                <w:b w:val="0"/>
                <w:sz w:val="14"/>
              </w:rPr>
              <w:t>EIT-R12 Conformance evidence</w:t>
            </w:r>
          </w:p>
        </w:tc>
        <w:tc>
          <w:tcPr>
            <w:tcW w:type="dxa" w:w="2340"/>
            <w:vAlign w:val="top"/>
          </w:tcPr>
          <w:p>
            <w:pPr>
              <w:spacing w:after="0"/>
            </w:pPr>
            <w:r/>
            <w:r>
              <w:rPr>
                <w:rFonts w:ascii="Times New Roman" w:hAnsi="Times New Roman" w:eastAsia="Times New Roman"/>
                <w:b w:val="0"/>
                <w:sz w:val="14"/>
              </w:rPr>
              <w:t>System claims EIT conformance.</w:t>
            </w:r>
          </w:p>
        </w:tc>
        <w:tc>
          <w:tcPr>
            <w:tcW w:type="dxa" w:w="2340"/>
            <w:vAlign w:val="top"/>
          </w:tcPr>
          <w:p>
            <w:pPr>
              <w:spacing w:after="0"/>
            </w:pPr>
            <w:r/>
            <w:r>
              <w:rPr>
                <w:rFonts w:ascii="Times New Roman" w:hAnsi="Times New Roman" w:eastAsia="Times New Roman"/>
                <w:b w:val="0"/>
                <w:sz w:val="14"/>
              </w:rPr>
              <w:t>Pass schema, policy, and test-vector validation for claimed class.</w:t>
            </w:r>
          </w:p>
        </w:tc>
        <w:tc>
          <w:tcPr>
            <w:tcW w:type="dxa" w:w="2340"/>
            <w:vAlign w:val="top"/>
          </w:tcPr>
          <w:p>
            <w:pPr>
              <w:spacing w:after="0"/>
            </w:pPr>
            <w:r/>
            <w:r>
              <w:rPr>
                <w:rFonts w:ascii="Times New Roman" w:hAnsi="Times New Roman" w:eastAsia="Times New Roman"/>
                <w:b w:val="0"/>
                <w:sz w:val="14"/>
              </w:rPr>
              <w:t>Conformance claim must be withdrawn if validation fails.</w:t>
            </w:r>
          </w:p>
        </w:tc>
      </w:tr>
    </w:tbl>
    <w:p>
      <w:pPr>
        <w:spacing w:line="480" w:lineRule="auto" w:after="0"/>
        <w:ind w:firstLine="720"/>
      </w:pPr>
      <w:r>
        <w:rPr>
          <w:rFonts w:ascii="Times New Roman" w:hAnsi="Times New Roman" w:eastAsia="Times New Roman"/>
          <w:sz w:val="24"/>
        </w:rPr>
        <w:t>The rules above are stated in implementation form. They are not merely institutional preferences. They define what must happen when an observed condition occurs. Appendix A expands these rules into pseudocode. Appendix C maps each rule to audit evidence and test vectors.</w:t>
      </w:r>
    </w:p>
    <w:p>
      <w:pPr>
        <w:pStyle w:val="Heading1"/>
        <w:spacing w:line="480" w:lineRule="auto" w:before="240" w:after="0"/>
      </w:pPr>
      <w:r>
        <w:rPr>
          <w:rFonts w:ascii="Times New Roman" w:hAnsi="Times New Roman" w:eastAsia="Times New Roman"/>
          <w:b/>
          <w:sz w:val="24"/>
        </w:rPr>
        <w:t>Implementation Model</w:t>
      </w:r>
    </w:p>
    <w:p>
      <w:pPr>
        <w:spacing w:line="480" w:lineRule="auto" w:after="0"/>
        <w:ind w:firstLine="720"/>
      </w:pPr>
      <w:r>
        <w:rPr>
          <w:rFonts w:ascii="Times New Roman" w:hAnsi="Times New Roman" w:eastAsia="Times New Roman"/>
          <w:sz w:val="24"/>
        </w:rPr>
        <w:t>A deployable EIT implementation requires five infrastructure components. The first is a consent registry that stores scope identifiers, authorized purposes, expiration dates, user-visible descriptions, revocation status, and jurisdictional constraints. The second is a logging service that creates LIL records only after consent validation. The third is a trajectory evaluation service that evaluates authorized windows of LIL records against deterministic TAR rules. The fourth is a response service that selects PDEV actions from a bounded response taxonomy. The fifth is an audit service that records the rule, evidence, decision, and integrity hash for each governance action.</w:t>
      </w:r>
    </w:p>
    <w:p>
      <w:pPr>
        <w:spacing w:line="480" w:lineRule="auto" w:after="0"/>
        <w:ind w:firstLine="720"/>
      </w:pPr>
      <w:r>
        <w:rPr>
          <w:rFonts w:ascii="Times New Roman" w:hAnsi="Times New Roman" w:eastAsia="Times New Roman"/>
          <w:sz w:val="24"/>
        </w:rPr>
        <w:t>This implementation model can operate internally without exposing a public API, but the functions must exist. A platform may implement EIT as middleware between the application interface and model orchestration layer, as a governance module inside a learning platform, or as an enterprise compliance service connected to deployed AI assistants. In each case, the system must prevent unauthorized longitudinal processing before it occurs rather than merely flagging it later.</w:t>
      </w:r>
    </w:p>
    <w:p>
      <w:pPr>
        <w:spacing w:line="480" w:lineRule="auto" w:after="0"/>
        <w:ind w:firstLine="720"/>
      </w:pPr>
      <w:r>
        <w:rPr>
          <w:rFonts w:ascii="Times New Roman" w:hAnsi="Times New Roman" w:eastAsia="Times New Roman"/>
          <w:sz w:val="24"/>
        </w:rPr>
        <w:t>The model is intentionally compatible with multiple deployment environments. A Class I implementation may provide logging and audit only. A Class II implementation may add trajectory monitoring without automated intervention. A Class III implementation may provide full logging, trajectory analysis, PDEV response selection, and audit export. This conformance tiering allows institutions to adopt the framework incrementally while preserving a clear path toward full governance capacity.</w:t>
      </w:r>
    </w:p>
    <w:p>
      <w:pPr>
        <w:pStyle w:val="Heading1"/>
        <w:spacing w:line="480" w:lineRule="auto" w:before="240" w:after="0"/>
      </w:pPr>
      <w:r>
        <w:rPr>
          <w:rFonts w:ascii="Times New Roman" w:hAnsi="Times New Roman" w:eastAsia="Times New Roman"/>
          <w:b/>
          <w:sz w:val="24"/>
        </w:rPr>
        <w:t>Conformance and Testability</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shd w:fill="EAEAEA"/>
            <w:vAlign w:val="center"/>
          </w:tcPr>
          <w:p>
            <w:pPr>
              <w:spacing w:after="0"/>
            </w:pPr>
            <w:r/>
            <w:r>
              <w:rPr>
                <w:rFonts w:ascii="Times New Roman" w:hAnsi="Times New Roman" w:eastAsia="Times New Roman"/>
                <w:b/>
                <w:sz w:val="16"/>
              </w:rPr>
              <w:t>Conformance class</w:t>
            </w:r>
          </w:p>
        </w:tc>
        <w:tc>
          <w:tcPr>
            <w:tcW w:type="dxa" w:w="3120"/>
            <w:shd w:fill="EAEAEA"/>
            <w:vAlign w:val="center"/>
          </w:tcPr>
          <w:p>
            <w:pPr>
              <w:spacing w:after="0"/>
            </w:pPr>
            <w:r/>
            <w:r>
              <w:rPr>
                <w:rFonts w:ascii="Times New Roman" w:hAnsi="Times New Roman" w:eastAsia="Times New Roman"/>
                <w:b/>
                <w:sz w:val="16"/>
              </w:rPr>
              <w:t>Required capabilities</w:t>
            </w:r>
          </w:p>
        </w:tc>
        <w:tc>
          <w:tcPr>
            <w:tcW w:type="dxa" w:w="3120"/>
            <w:shd w:fill="EAEAEA"/>
            <w:vAlign w:val="center"/>
          </w:tcPr>
          <w:p>
            <w:pPr>
              <w:spacing w:after="0"/>
            </w:pPr>
            <w:r/>
            <w:r>
              <w:rPr>
                <w:rFonts w:ascii="Times New Roman" w:hAnsi="Times New Roman" w:eastAsia="Times New Roman"/>
                <w:b/>
                <w:sz w:val="16"/>
              </w:rPr>
              <w:t>Required validation tests</w:t>
            </w:r>
          </w:p>
        </w:tc>
      </w:tr>
      <w:tr>
        <w:tc>
          <w:tcPr>
            <w:tcW w:type="dxa" w:w="3120"/>
            <w:vAlign w:val="top"/>
          </w:tcPr>
          <w:p>
            <w:pPr>
              <w:spacing w:after="0"/>
            </w:pPr>
            <w:r/>
            <w:r>
              <w:rPr>
                <w:rFonts w:ascii="Times New Roman" w:hAnsi="Times New Roman" w:eastAsia="Times New Roman"/>
                <w:b w:val="0"/>
                <w:sz w:val="16"/>
              </w:rPr>
              <w:t>Class I</w:t>
            </w:r>
          </w:p>
        </w:tc>
        <w:tc>
          <w:tcPr>
            <w:tcW w:type="dxa" w:w="3120"/>
            <w:vAlign w:val="top"/>
          </w:tcPr>
          <w:p>
            <w:pPr>
              <w:spacing w:after="0"/>
            </w:pPr>
            <w:r/>
            <w:r>
              <w:rPr>
                <w:rFonts w:ascii="Times New Roman" w:hAnsi="Times New Roman" w:eastAsia="Times New Roman"/>
                <w:b w:val="0"/>
                <w:sz w:val="16"/>
              </w:rPr>
              <w:t>Consent validation, LIL logging, audit records, retention enforcement.</w:t>
            </w:r>
          </w:p>
        </w:tc>
        <w:tc>
          <w:tcPr>
            <w:tcW w:type="dxa" w:w="3120"/>
            <w:vAlign w:val="top"/>
          </w:tcPr>
          <w:p>
            <w:pPr>
              <w:spacing w:after="0"/>
            </w:pPr>
            <w:r/>
            <w:r>
              <w:rPr>
                <w:rFonts w:ascii="Times New Roman" w:hAnsi="Times New Roman" w:eastAsia="Times New Roman"/>
                <w:b w:val="0"/>
                <w:sz w:val="16"/>
              </w:rPr>
              <w:t>Schema validation for LIL and audit records; consent bypass test; hash-chain integrity test.</w:t>
            </w:r>
          </w:p>
        </w:tc>
      </w:tr>
      <w:tr>
        <w:tc>
          <w:tcPr>
            <w:tcW w:type="dxa" w:w="3120"/>
            <w:vAlign w:val="top"/>
          </w:tcPr>
          <w:p>
            <w:pPr>
              <w:spacing w:after="0"/>
            </w:pPr>
            <w:r/>
            <w:r>
              <w:rPr>
                <w:rFonts w:ascii="Times New Roman" w:hAnsi="Times New Roman" w:eastAsia="Times New Roman"/>
                <w:b w:val="0"/>
                <w:sz w:val="16"/>
              </w:rPr>
              <w:t>Class II</w:t>
            </w:r>
          </w:p>
        </w:tc>
        <w:tc>
          <w:tcPr>
            <w:tcW w:type="dxa" w:w="3120"/>
            <w:vAlign w:val="top"/>
          </w:tcPr>
          <w:p>
            <w:pPr>
              <w:spacing w:after="0"/>
            </w:pPr>
            <w:r/>
            <w:r>
              <w:rPr>
                <w:rFonts w:ascii="Times New Roman" w:hAnsi="Times New Roman" w:eastAsia="Times New Roman"/>
                <w:b w:val="0"/>
                <w:sz w:val="16"/>
              </w:rPr>
              <w:t>All Class I controls plus TAR signal generation over authorized event windows.</w:t>
            </w:r>
          </w:p>
        </w:tc>
        <w:tc>
          <w:tcPr>
            <w:tcW w:type="dxa" w:w="3120"/>
            <w:vAlign w:val="top"/>
          </w:tcPr>
          <w:p>
            <w:pPr>
              <w:spacing w:after="0"/>
            </w:pPr>
            <w:r/>
            <w:r>
              <w:rPr>
                <w:rFonts w:ascii="Times New Roman" w:hAnsi="Times New Roman" w:eastAsia="Times New Roman"/>
                <w:b w:val="0"/>
                <w:sz w:val="16"/>
              </w:rPr>
              <w:t>Trajectory window test; no diagnostic inference test; severity classification test.</w:t>
            </w:r>
          </w:p>
        </w:tc>
      </w:tr>
      <w:tr>
        <w:tc>
          <w:tcPr>
            <w:tcW w:type="dxa" w:w="3120"/>
            <w:vAlign w:val="top"/>
          </w:tcPr>
          <w:p>
            <w:pPr>
              <w:spacing w:after="0"/>
            </w:pPr>
            <w:r/>
            <w:r>
              <w:rPr>
                <w:rFonts w:ascii="Times New Roman" w:hAnsi="Times New Roman" w:eastAsia="Times New Roman"/>
                <w:b w:val="0"/>
                <w:sz w:val="16"/>
              </w:rPr>
              <w:t>Class III</w:t>
            </w:r>
          </w:p>
        </w:tc>
        <w:tc>
          <w:tcPr>
            <w:tcW w:type="dxa" w:w="3120"/>
            <w:vAlign w:val="top"/>
          </w:tcPr>
          <w:p>
            <w:pPr>
              <w:spacing w:after="0"/>
            </w:pPr>
            <w:r/>
            <w:r>
              <w:rPr>
                <w:rFonts w:ascii="Times New Roman" w:hAnsi="Times New Roman" w:eastAsia="Times New Roman"/>
                <w:b w:val="0"/>
                <w:sz w:val="16"/>
              </w:rPr>
              <w:t>All Class II controls plus PDEV response selection, user disclosure, human review, and export.</w:t>
            </w:r>
          </w:p>
        </w:tc>
        <w:tc>
          <w:tcPr>
            <w:tcW w:type="dxa" w:w="3120"/>
            <w:vAlign w:val="top"/>
          </w:tcPr>
          <w:p>
            <w:pPr>
              <w:spacing w:after="0"/>
            </w:pPr>
            <w:r/>
            <w:r>
              <w:rPr>
                <w:rFonts w:ascii="Times New Roman" w:hAnsi="Times New Roman" w:eastAsia="Times New Roman"/>
                <w:b w:val="0"/>
                <w:sz w:val="16"/>
              </w:rPr>
              <w:t>Severity-to-response binding test; user-facing disclosure test; critical escalation test; record export test.</w:t>
            </w:r>
          </w:p>
        </w:tc>
      </w:tr>
    </w:tbl>
    <w:p>
      <w:pPr>
        <w:spacing w:line="480" w:lineRule="auto" w:after="0"/>
        <w:ind w:firstLine="720"/>
      </w:pPr>
      <w:r>
        <w:rPr>
          <w:rFonts w:ascii="Times New Roman" w:hAnsi="Times New Roman" w:eastAsia="Times New Roman"/>
          <w:sz w:val="24"/>
        </w:rPr>
        <w:t>Conformance testing is central to EIT's legitimacy. The system should not claim compliance because it has adopted the vocabulary. It should claim compliance only when it can produce valid records, pass deterministic test vectors, preserve purpose boundaries, and demonstrate reviewable audit evidence.</w:t>
      </w:r>
    </w:p>
    <w:p>
      <w:pPr>
        <w:pStyle w:val="Heading1"/>
        <w:spacing w:line="480" w:lineRule="auto" w:before="240" w:after="0"/>
      </w:pPr>
      <w:r>
        <w:rPr>
          <w:rFonts w:ascii="Times New Roman" w:hAnsi="Times New Roman" w:eastAsia="Times New Roman"/>
          <w:b/>
          <w:sz w:val="24"/>
        </w:rPr>
        <w:t>Audit and Oversight Model</w:t>
      </w:r>
    </w:p>
    <w:p>
      <w:pPr>
        <w:spacing w:line="480" w:lineRule="auto" w:after="0"/>
        <w:ind w:firstLine="720"/>
      </w:pPr>
      <w:r>
        <w:rPr>
          <w:rFonts w:ascii="Times New Roman" w:hAnsi="Times New Roman" w:eastAsia="Times New Roman"/>
          <w:sz w:val="24"/>
        </w:rPr>
        <w:t>EIT auditability requires traceability across the full governance chain. A reviewer must be able to move from a user-facing response back to the TAR signal that triggered it, from the TAR signal back to the LIL records that supplied the evidence, from those records back to the consent scope that authorized processing, and from each step to the policy rule that governed the decision. This chain is the audit spine of the framework.</w:t>
      </w:r>
    </w:p>
    <w:p>
      <w:pPr>
        <w:spacing w:line="480" w:lineRule="auto" w:after="0"/>
        <w:ind w:firstLine="720"/>
      </w:pPr>
      <w:r>
        <w:rPr>
          <w:rFonts w:ascii="Times New Roman" w:hAnsi="Times New Roman" w:eastAsia="Times New Roman"/>
          <w:sz w:val="24"/>
        </w:rPr>
        <w:t>Oversight should be separated by role. System operators maintain the infrastructure. Compliance owners review rule execution and exception records. Independent auditors or institutional review bodies review conformance evidence and high-severity cases. Users or their authorized representatives should have access to readable records when those records affect user-facing treatment, access, or escalation. The audit system must therefore support both machine-readable validation and human-readable explanation.</w:t>
      </w:r>
    </w:p>
    <w:p>
      <w:pPr>
        <w:spacing w:line="480" w:lineRule="auto" w:after="0"/>
        <w:ind w:firstLine="720"/>
      </w:pPr>
      <w:r>
        <w:rPr>
          <w:rFonts w:ascii="Times New Roman" w:hAnsi="Times New Roman" w:eastAsia="Times New Roman"/>
          <w:sz w:val="24"/>
        </w:rPr>
        <w:t>Audit records must be generated for ordinary operations and exceptions. Ordinary audit records prove that the system followed the expected rule path. Exception audit records prove that the system detected a boundary failure, blocked or corrected the action, and routed the matter to the appropriate owner. A system with only exception logging cannot prove normal compliance. A system with only ordinary logging cannot prove that boundary failures were handled.</w:t>
      </w:r>
    </w:p>
    <w:p>
      <w:pPr>
        <w:pStyle w:val="Heading1"/>
        <w:spacing w:line="480" w:lineRule="auto" w:before="240" w:after="0"/>
      </w:pPr>
      <w:r>
        <w:rPr>
          <w:rFonts w:ascii="Times New Roman" w:hAnsi="Times New Roman" w:eastAsia="Times New Roman"/>
          <w:b/>
          <w:sz w:val="24"/>
        </w:rPr>
        <w:t>Limitation Clarity</w:t>
      </w:r>
    </w:p>
    <w:p>
      <w:pPr>
        <w:spacing w:line="480" w:lineRule="auto" w:after="0"/>
        <w:ind w:firstLine="720"/>
      </w:pPr>
      <w:r>
        <w:rPr>
          <w:rFonts w:ascii="Times New Roman" w:hAnsi="Times New Roman" w:eastAsia="Times New Roman"/>
          <w:sz w:val="24"/>
        </w:rPr>
        <w:t>EIT has a deliberately narrow scope. It governs longitudinal interaction telemetry, consent-bounded trajectory evaluation, response selection, and audit traceability at the application and platform interaction layer. It does not govern model training data, foundation model pretraining, compute allocation, model weight custody, frontier capability thresholds, or supply-chain security. Those domains require separate controls and should not be collapsed into EIT.</w:t>
      </w:r>
    </w:p>
    <w:p>
      <w:pPr>
        <w:spacing w:line="480" w:lineRule="auto" w:after="0"/>
        <w:ind w:firstLine="720"/>
      </w:pPr>
      <w:r>
        <w:rPr>
          <w:rFonts w:ascii="Times New Roman" w:hAnsi="Times New Roman" w:eastAsia="Times New Roman"/>
          <w:sz w:val="24"/>
        </w:rPr>
        <w:t>EIT also does not authorize psychological inference. The framework uses the term trajectory to describe observable governance patterns, such as repeated unresolved errors, consent boundary events, hidden adaptation risk, contestation events, or escalation failures. It does not classify a user as emotionally unstable, vulnerable, traumatized, impaired, or in need of therapeutic intervention. If an implementation uses EIT terminology to perform diagnostic or behavioral targeting, that implementation violates the framework.</w:t>
      </w:r>
    </w:p>
    <w:p>
      <w:pPr>
        <w:spacing w:line="480" w:lineRule="auto" w:after="0"/>
        <w:ind w:firstLine="720"/>
      </w:pPr>
      <w:r>
        <w:rPr>
          <w:rFonts w:ascii="Times New Roman" w:hAnsi="Times New Roman" w:eastAsia="Times New Roman"/>
          <w:sz w:val="24"/>
        </w:rPr>
        <w:t>A further limitation is that this paper is conceptual and standards-oriented. It provides deterministic logic, schema examples, and conformance tests, but it does not report empirical validation across deployed systems. Future work should test EIT implementations in controlled environments, evaluate usability of user-facing disclosures, assess audit burden, and compare outcomes across institutional contexts.</w:t>
      </w:r>
    </w:p>
    <w:p>
      <w:pPr>
        <w:pStyle w:val="Heading1"/>
        <w:spacing w:line="480" w:lineRule="auto" w:before="240" w:after="0"/>
      </w:pPr>
      <w:r>
        <w:rPr>
          <w:rFonts w:ascii="Times New Roman" w:hAnsi="Times New Roman" w:eastAsia="Times New Roman"/>
          <w:b/>
          <w:sz w:val="24"/>
        </w:rPr>
        <w:t>Discussion</w:t>
      </w:r>
    </w:p>
    <w:p>
      <w:pPr>
        <w:spacing w:line="480" w:lineRule="auto" w:after="0"/>
        <w:ind w:firstLine="720"/>
      </w:pPr>
      <w:r>
        <w:rPr>
          <w:rFonts w:ascii="Times New Roman" w:hAnsi="Times New Roman" w:eastAsia="Times New Roman"/>
          <w:sz w:val="24"/>
        </w:rPr>
        <w:t>The central value of EIT is that it moves governance from statement to operation. AI systems increasingly mediate education, work, support, search, and decision pathways. When these systems adapt across time, governance must follow the same temporal structure. One-time notice, static model documentation, and after-the-fact complaint procedures are insufficient when the system's behavior depends on accumulated interaction context.</w:t>
      </w:r>
    </w:p>
    <w:p>
      <w:pPr>
        <w:spacing w:line="480" w:lineRule="auto" w:after="0"/>
        <w:ind w:firstLine="720"/>
      </w:pPr>
      <w:r>
        <w:rPr>
          <w:rFonts w:ascii="Times New Roman" w:hAnsi="Times New Roman" w:eastAsia="Times New Roman"/>
          <w:sz w:val="24"/>
        </w:rPr>
        <w:t>EIT does not solve all AI governance problems. Its value is architectural specificity. It identifies a missing layer between high-level governance principles and deployed interaction behavior. It then defines the logic by which that layer can be implemented: consent before telemetry, observable records before trajectory signals, bounded signals before intervention, and audit evidence for every decision path.</w:t>
      </w:r>
    </w:p>
    <w:p>
      <w:pPr>
        <w:spacing w:line="480" w:lineRule="auto" w:after="0"/>
        <w:ind w:firstLine="720"/>
      </w:pPr>
      <w:r>
        <w:rPr>
          <w:rFonts w:ascii="Times New Roman" w:hAnsi="Times New Roman" w:eastAsia="Times New Roman"/>
          <w:sz w:val="24"/>
        </w:rPr>
        <w:t>This structure also reduces institutional ambiguity. A platform operator can identify what services must be built. A regulator can identify what records to request. A standards body can identify which sections should be normative. A civil society auditor can identify where user agency may fail. A researcher can identify what empirical studies are needed next. The framework therefore operates as a policy translation layer across technical, legal, institutional, and human-impact domains.</w:t>
      </w:r>
    </w:p>
    <w:p>
      <w:pPr>
        <w:pStyle w:val="Heading1"/>
        <w:spacing w:line="480" w:lineRule="auto" w:before="240" w:after="0"/>
      </w:pPr>
      <w:r>
        <w:rPr>
          <w:rFonts w:ascii="Times New Roman" w:hAnsi="Times New Roman" w:eastAsia="Times New Roman"/>
          <w:b/>
          <w:sz w:val="24"/>
        </w:rPr>
        <w:t>Conclusion</w:t>
      </w:r>
    </w:p>
    <w:p>
      <w:pPr>
        <w:spacing w:line="480" w:lineRule="auto" w:after="0"/>
        <w:ind w:firstLine="720"/>
      </w:pPr>
      <w:r>
        <w:rPr>
          <w:rFonts w:ascii="Times New Roman" w:hAnsi="Times New Roman" w:eastAsia="Times New Roman"/>
          <w:sz w:val="24"/>
        </w:rPr>
        <w:t>AI governance becomes real when it constrains system behavior. Emotional Infrastructure Telemetry provides a protocol-level framework for governing longitudinal AI interaction through consent boundaries, interaction logs, trajectory signals, response selection, and audit traceability. The paper's contribution is not a new ethical slogan. It is a mechanism for converting selected governance obligations into deterministic system behavior.</w:t>
      </w:r>
    </w:p>
    <w:p>
      <w:pPr>
        <w:spacing w:line="480" w:lineRule="auto" w:after="0"/>
        <w:ind w:firstLine="720"/>
      </w:pPr>
      <w:r>
        <w:rPr>
          <w:rFonts w:ascii="Times New Roman" w:hAnsi="Times New Roman" w:eastAsia="Times New Roman"/>
          <w:sz w:val="24"/>
        </w:rPr>
        <w:t>The framework is most useful where AI systems maintain interaction history and use that history to shape future responses. In those environments, user agency depends on more than model accuracy. It depends on whether the system has authority to remember, whether the user can understand how prior context is being used, whether harmful trajectories can be detected without profiling the user, whether proportionate responses exist, and whether an auditor can reconstruct the chain of authority. EIT gives those questions a system architecture.</w:t>
      </w:r>
    </w:p>
    <w:p>
      <w:r>
        <w:br w:type="page"/>
      </w:r>
    </w:p>
    <w:p>
      <w:pPr>
        <w:pStyle w:val="Heading1"/>
        <w:spacing w:line="480" w:lineRule="auto" w:before="240" w:after="0"/>
      </w:pPr>
      <w:r>
        <w:rPr>
          <w:rFonts w:ascii="Times New Roman" w:hAnsi="Times New Roman" w:eastAsia="Times New Roman"/>
          <w:b/>
          <w:sz w:val="24"/>
        </w:rPr>
        <w:t>References</w:t>
      </w:r>
    </w:p>
    <w:p>
      <w:pPr>
        <w:spacing w:line="480" w:lineRule="auto" w:after="0"/>
        <w:ind w:left="720" w:hanging="720"/>
      </w:pPr>
      <w:r>
        <w:rPr>
          <w:rFonts w:ascii="Times New Roman" w:hAnsi="Times New Roman" w:eastAsia="Times New Roman"/>
          <w:sz w:val="24"/>
        </w:rPr>
        <w:t>Amershi, S., Begel, A., Bird, C., DeLine, R., Gall, H., Kamar, E., Nagappan, N., Nushi, B., &amp; Zimmermann, T. (2019). Software engineering for machine learning: A case study. In 2019 IEEE/ACM 41st International Conference on Software Engineering: Software Engineering in Practice (pp. 291-300). IEEE.</w:t>
      </w:r>
    </w:p>
    <w:p>
      <w:pPr>
        <w:spacing w:line="480" w:lineRule="auto" w:after="0"/>
        <w:ind w:left="720" w:hanging="720"/>
      </w:pPr>
      <w:r>
        <w:rPr>
          <w:rFonts w:ascii="Times New Roman" w:hAnsi="Times New Roman" w:eastAsia="Times New Roman"/>
          <w:sz w:val="24"/>
        </w:rPr>
        <w:t>Barocas, S., Hardt, M., &amp; Narayanan, A. (2019). Fairness and machine learning: Limitations and opportunities. fairmlbook.org.</w:t>
      </w:r>
    </w:p>
    <w:p>
      <w:pPr>
        <w:spacing w:line="480" w:lineRule="auto" w:after="0"/>
        <w:ind w:left="720" w:hanging="720"/>
      </w:pPr>
      <w:r>
        <w:rPr>
          <w:rFonts w:ascii="Times New Roman" w:hAnsi="Times New Roman" w:eastAsia="Times New Roman"/>
          <w:sz w:val="24"/>
        </w:rPr>
        <w:t>Bender, E. M., Gebru, T., McMillan-Major, A., &amp; Shmitchell, S. (2021). On the dangers of stochastic parrots: Can language models be too big? In Proceedings of the 2021 ACM Conference on Fairness, Accountability, and Transparency (pp. 610-623). Association for Computing Machinery.</w:t>
      </w:r>
    </w:p>
    <w:p>
      <w:pPr>
        <w:spacing w:line="480" w:lineRule="auto" w:after="0"/>
        <w:ind w:left="720" w:hanging="720"/>
      </w:pPr>
      <w:r>
        <w:rPr>
          <w:rFonts w:ascii="Times New Roman" w:hAnsi="Times New Roman" w:eastAsia="Times New Roman"/>
          <w:sz w:val="24"/>
        </w:rPr>
        <w:t>Binns, R. (2018). Algorithmic accountability and public reason. Philosophy &amp; Technology, 31, 543-556.</w:t>
      </w:r>
    </w:p>
    <w:p>
      <w:pPr>
        <w:spacing w:line="480" w:lineRule="auto" w:after="0"/>
        <w:ind w:left="720" w:hanging="720"/>
      </w:pPr>
      <w:r>
        <w:rPr>
          <w:rFonts w:ascii="Times New Roman" w:hAnsi="Times New Roman" w:eastAsia="Times New Roman"/>
          <w:sz w:val="24"/>
        </w:rPr>
        <w:t>Bowker, G. C., &amp; Star, S. L. (1999). Sorting things out: Classification and its consequences. MIT Press.</w:t>
      </w:r>
    </w:p>
    <w:p>
      <w:pPr>
        <w:spacing w:line="480" w:lineRule="auto" w:after="0"/>
        <w:ind w:left="720" w:hanging="720"/>
      </w:pPr>
      <w:r>
        <w:rPr>
          <w:rFonts w:ascii="Times New Roman" w:hAnsi="Times New Roman" w:eastAsia="Times New Roman"/>
          <w:sz w:val="24"/>
        </w:rPr>
        <w:t>Bradner, S. (1997). Key words for use in RFCs to indicate requirement levels (BCP 14, RFC 2119). RFC Editor.</w:t>
      </w:r>
    </w:p>
    <w:p>
      <w:pPr>
        <w:spacing w:line="480" w:lineRule="auto" w:after="0"/>
        <w:ind w:left="720" w:hanging="720"/>
      </w:pPr>
      <w:r>
        <w:rPr>
          <w:rFonts w:ascii="Times New Roman" w:hAnsi="Times New Roman" w:eastAsia="Times New Roman"/>
          <w:sz w:val="24"/>
        </w:rPr>
        <w:t>Crawford, K. (2021). Atlas of AI: Power, politics, and the planetary costs of artificial intelligence. Yale University Press.</w:t>
      </w:r>
    </w:p>
    <w:p>
      <w:pPr>
        <w:spacing w:line="480" w:lineRule="auto" w:after="0"/>
        <w:ind w:left="720" w:hanging="720"/>
      </w:pPr>
      <w:r>
        <w:rPr>
          <w:rFonts w:ascii="Times New Roman" w:hAnsi="Times New Roman" w:eastAsia="Times New Roman"/>
          <w:sz w:val="24"/>
        </w:rPr>
        <w:t>Diakopoulos, N. (2016). Accountability in algorithmic decision making. Communications of the ACM, 59(2), 56-62.</w:t>
      </w:r>
    </w:p>
    <w:p>
      <w:pPr>
        <w:spacing w:line="480" w:lineRule="auto" w:after="0"/>
        <w:ind w:left="720" w:hanging="720"/>
      </w:pPr>
      <w:r>
        <w:rPr>
          <w:rFonts w:ascii="Times New Roman" w:hAnsi="Times New Roman" w:eastAsia="Times New Roman"/>
          <w:sz w:val="24"/>
        </w:rPr>
        <w:t>European Parliament and Council of the European Union. (2016). Regulation (EU) 2016/679 of the European Parliament and of the Council. Official Journal of the European Union.</w:t>
      </w:r>
    </w:p>
    <w:p>
      <w:pPr>
        <w:spacing w:line="480" w:lineRule="auto" w:after="0"/>
        <w:ind w:left="720" w:hanging="720"/>
      </w:pPr>
      <w:r>
        <w:rPr>
          <w:rFonts w:ascii="Times New Roman" w:hAnsi="Times New Roman" w:eastAsia="Times New Roman"/>
          <w:sz w:val="24"/>
        </w:rPr>
        <w:t>European Parliament and Council of the European Union. (2024). Regulation (EU) 2024/1689 laying down harmonised rules on artificial intelligence. Official Journal of the European Union.</w:t>
      </w:r>
    </w:p>
    <w:p>
      <w:pPr>
        <w:spacing w:line="480" w:lineRule="auto" w:after="0"/>
        <w:ind w:left="720" w:hanging="720"/>
      </w:pPr>
      <w:r>
        <w:rPr>
          <w:rFonts w:ascii="Times New Roman" w:hAnsi="Times New Roman" w:eastAsia="Times New Roman"/>
          <w:sz w:val="24"/>
        </w:rPr>
        <w:t>Floridi, L., Cowls, J., Beltrametti, M., Chatila, R., Chazerand, P., Dignum, V., Luetge, C., Madelin, R., Pagallo, U., Rossi, F., Schafer, B., Valcke, P., &amp; Vayena, E. (2018). AI4People - An ethical framework for a good AI society: Opportunities, risks, principles, and recommendations. Minds and Machines, 28, 689-707.</w:t>
      </w:r>
    </w:p>
    <w:p>
      <w:pPr>
        <w:spacing w:line="480" w:lineRule="auto" w:after="0"/>
        <w:ind w:left="720" w:hanging="720"/>
      </w:pPr>
      <w:r>
        <w:rPr>
          <w:rFonts w:ascii="Times New Roman" w:hAnsi="Times New Roman" w:eastAsia="Times New Roman"/>
          <w:sz w:val="24"/>
        </w:rPr>
        <w:t>Gebru, T., Morgenstern, J., Vecchione, B., Vaughan, J. W., Wallach, H., Daume III, H., &amp; Crawford, K. (2021). Datasheets for datasets. Communications of the ACM, 64(12), 86-92.</w:t>
      </w:r>
    </w:p>
    <w:p>
      <w:pPr>
        <w:spacing w:line="480" w:lineRule="auto" w:after="0"/>
        <w:ind w:left="720" w:hanging="720"/>
      </w:pPr>
      <w:r>
        <w:rPr>
          <w:rFonts w:ascii="Times New Roman" w:hAnsi="Times New Roman" w:eastAsia="Times New Roman"/>
          <w:sz w:val="24"/>
        </w:rPr>
        <w:t>Green, B. (2021). The contestation of tech ethics: A sociotechnical approach to technology ethics in practice. Journal of Social Computing, 2(3), 209-225.</w:t>
      </w:r>
    </w:p>
    <w:p>
      <w:pPr>
        <w:spacing w:line="480" w:lineRule="auto" w:after="0"/>
        <w:ind w:left="720" w:hanging="720"/>
      </w:pPr>
      <w:r>
        <w:rPr>
          <w:rFonts w:ascii="Times New Roman" w:hAnsi="Times New Roman" w:eastAsia="Times New Roman"/>
          <w:sz w:val="24"/>
        </w:rPr>
        <w:t>International Organization for Standardization. (2023). ISO/IEC 42001:2023 Artificial intelligence - Management system. ISO.</w:t>
      </w:r>
    </w:p>
    <w:p>
      <w:pPr>
        <w:spacing w:line="480" w:lineRule="auto" w:after="0"/>
        <w:ind w:left="720" w:hanging="720"/>
      </w:pPr>
      <w:r>
        <w:rPr>
          <w:rFonts w:ascii="Times New Roman" w:hAnsi="Times New Roman" w:eastAsia="Times New Roman"/>
          <w:sz w:val="24"/>
        </w:rPr>
        <w:t>Jobin, A., Ienca, M., &amp; Vayena, E. (2019). The global landscape of AI ethics guidelines. Nature Machine Intelligence, 1, 389-399.</w:t>
      </w:r>
    </w:p>
    <w:p>
      <w:pPr>
        <w:spacing w:line="480" w:lineRule="auto" w:after="0"/>
        <w:ind w:left="720" w:hanging="720"/>
      </w:pPr>
      <w:r>
        <w:rPr>
          <w:rFonts w:ascii="Times New Roman" w:hAnsi="Times New Roman" w:eastAsia="Times New Roman"/>
          <w:sz w:val="24"/>
        </w:rPr>
        <w:t>Kroll, J. A., Huey, J., Barocas, S., Felten, E. W., Reidenberg, J. R., Robinson, D. G., &amp; Yu, H. (2017). Accountable algorithms. University of Pennsylvania Law Review, 165(3), 633-705.</w:t>
      </w:r>
    </w:p>
    <w:p>
      <w:pPr>
        <w:spacing w:line="480" w:lineRule="auto" w:after="0"/>
        <w:ind w:left="720" w:hanging="720"/>
      </w:pPr>
      <w:r>
        <w:rPr>
          <w:rFonts w:ascii="Times New Roman" w:hAnsi="Times New Roman" w:eastAsia="Times New Roman"/>
          <w:sz w:val="24"/>
        </w:rPr>
        <w:t>Leiba, B. (2017). Ambiguity of uppercase vs lowercase in RFC 2119 key words (BCP 14, RFC 8174). RFC Editor.</w:t>
      </w:r>
    </w:p>
    <w:p>
      <w:pPr>
        <w:spacing w:line="480" w:lineRule="auto" w:after="0"/>
        <w:ind w:left="720" w:hanging="720"/>
      </w:pPr>
      <w:r>
        <w:rPr>
          <w:rFonts w:ascii="Times New Roman" w:hAnsi="Times New Roman" w:eastAsia="Times New Roman"/>
          <w:sz w:val="24"/>
        </w:rPr>
        <w:t>Metcalf, J., Moss, E., &amp; boyd, d. (2019). Owls in the marketplace: Algorithmic accountability and the social life of technical audits. Data &amp; Society.</w:t>
      </w:r>
    </w:p>
    <w:p>
      <w:pPr>
        <w:spacing w:line="480" w:lineRule="auto" w:after="0"/>
        <w:ind w:left="720" w:hanging="720"/>
      </w:pPr>
      <w:r>
        <w:rPr>
          <w:rFonts w:ascii="Times New Roman" w:hAnsi="Times New Roman" w:eastAsia="Times New Roman"/>
          <w:sz w:val="24"/>
        </w:rPr>
        <w:t>Mitchell, M., Wu, S., Zaldivar, A., Barnes, P., Vasserman, L., Hutchinson, B., Spitzer, E., Raji, I. D., &amp; Gebru, T. (2019). Model cards for model reporting. In Proceedings of the Conference on Fairness, Accountability, and Transparency (pp. 220-229). Association for Computing Machinery.</w:t>
      </w:r>
    </w:p>
    <w:p>
      <w:pPr>
        <w:spacing w:line="480" w:lineRule="auto" w:after="0"/>
        <w:ind w:left="720" w:hanging="720"/>
      </w:pPr>
      <w:r>
        <w:rPr>
          <w:rFonts w:ascii="Times New Roman" w:hAnsi="Times New Roman" w:eastAsia="Times New Roman"/>
          <w:sz w:val="24"/>
        </w:rPr>
        <w:t>Mokander, J., Morley, J., Taddeo, M., &amp; Floridi, L. (2021). Ethics-based auditing of automated decision-making systems: Nature, scope and limitations. Science and Engineering Ethics, 27, Article 44.</w:t>
      </w:r>
    </w:p>
    <w:p>
      <w:pPr>
        <w:spacing w:line="480" w:lineRule="auto" w:after="0"/>
        <w:ind w:left="720" w:hanging="720"/>
      </w:pPr>
      <w:r>
        <w:rPr>
          <w:rFonts w:ascii="Times New Roman" w:hAnsi="Times New Roman" w:eastAsia="Times New Roman"/>
          <w:sz w:val="24"/>
        </w:rPr>
        <w:t>National Institute of Standards and Technology. (2023). Artificial Intelligence Risk Management Framework (AI RMF 1.0). U.S. Department of Commerce.</w:t>
      </w:r>
    </w:p>
    <w:p>
      <w:pPr>
        <w:spacing w:line="480" w:lineRule="auto" w:after="0"/>
        <w:ind w:left="720" w:hanging="720"/>
      </w:pPr>
      <w:r>
        <w:rPr>
          <w:rFonts w:ascii="Times New Roman" w:hAnsi="Times New Roman" w:eastAsia="Times New Roman"/>
          <w:sz w:val="24"/>
        </w:rPr>
        <w:t>Organisation for Economic Co-operation and Development. (2024). Recommendation of the Council on Artificial Intelligence. OECD Legal Instruments.</w:t>
      </w:r>
    </w:p>
    <w:p>
      <w:pPr>
        <w:spacing w:line="480" w:lineRule="auto" w:after="0"/>
        <w:ind w:left="720" w:hanging="720"/>
      </w:pPr>
      <w:r>
        <w:rPr>
          <w:rFonts w:ascii="Times New Roman" w:hAnsi="Times New Roman" w:eastAsia="Times New Roman"/>
          <w:sz w:val="24"/>
        </w:rPr>
        <w:t>Raji, I. D., Smart, A., White, R. N., Mitchell, M., Gebru, T., Hutchinson, B., Smith-Loud, J., Theron, D., &amp; Barnes, P. (2020). Closing the AI accountability gap: Defining an end-to-end framework for internal algorithmic auditing. In Proceedings of the 2020 Conference on Fairness, Accountability, and Transparency (pp. 33-44). Association for Computing Machinery.</w:t>
      </w:r>
    </w:p>
    <w:p>
      <w:pPr>
        <w:spacing w:line="480" w:lineRule="auto" w:after="0"/>
        <w:ind w:left="720" w:hanging="720"/>
      </w:pPr>
      <w:r>
        <w:rPr>
          <w:rFonts w:ascii="Times New Roman" w:hAnsi="Times New Roman" w:eastAsia="Times New Roman"/>
          <w:sz w:val="24"/>
        </w:rPr>
        <w:t>Selbst, A. D., Boyd, d., Friedler, S. A., Venkatasubramanian, S., &amp; Vertesi, J. (2019). Fairness and abstraction in sociotechnical systems. In Proceedings of the Conference on Fairness, Accountability, and Transparency (pp. 59-68). Association for Computing Machinery.</w:t>
      </w:r>
    </w:p>
    <w:p>
      <w:pPr>
        <w:spacing w:line="480" w:lineRule="auto" w:after="0"/>
        <w:ind w:left="720" w:hanging="720"/>
      </w:pPr>
      <w:r>
        <w:rPr>
          <w:rFonts w:ascii="Times New Roman" w:hAnsi="Times New Roman" w:eastAsia="Times New Roman"/>
          <w:sz w:val="24"/>
        </w:rPr>
        <w:t>Star, S. L., &amp; Ruhleder, K. (1996). Steps toward an ecology of infrastructure: Design and access for large information spaces. Information Systems Research, 7(1), 111-134.</w:t>
      </w:r>
    </w:p>
    <w:p>
      <w:pPr>
        <w:spacing w:line="480" w:lineRule="auto" w:after="0"/>
        <w:ind w:left="720" w:hanging="720"/>
      </w:pPr>
      <w:r>
        <w:rPr>
          <w:rFonts w:ascii="Times New Roman" w:hAnsi="Times New Roman" w:eastAsia="Times New Roman"/>
          <w:sz w:val="24"/>
        </w:rPr>
        <w:t>Suresh, H., &amp; Guttag, J. (2021). A framework for understanding sources of harm throughout the machine learning life cycle. In Proceedings of the ACM Conference on Equity and Access in Algorithms, Mechanisms, and Optimization. Association for Computing Machinery.</w:t>
      </w:r>
    </w:p>
    <w:p>
      <w:pPr>
        <w:spacing w:line="480" w:lineRule="auto" w:after="0"/>
        <w:ind w:left="720" w:hanging="720"/>
      </w:pPr>
      <w:r>
        <w:rPr>
          <w:rFonts w:ascii="Times New Roman" w:hAnsi="Times New Roman" w:eastAsia="Times New Roman"/>
          <w:sz w:val="24"/>
        </w:rPr>
        <w:t>World Wide Web Consortium. (2025). Verifiable Credentials Data Model v2.0. W3C Recommendation.</w:t>
      </w:r>
    </w:p>
    <w:p>
      <w:r>
        <w:br w:type="page"/>
      </w:r>
    </w:p>
    <w:p>
      <w:pPr>
        <w:pStyle w:val="Heading1"/>
        <w:spacing w:line="480" w:lineRule="auto" w:before="240" w:after="0"/>
      </w:pPr>
      <w:r>
        <w:rPr>
          <w:rFonts w:ascii="Times New Roman" w:hAnsi="Times New Roman" w:eastAsia="Times New Roman"/>
          <w:b/>
          <w:sz w:val="24"/>
        </w:rPr>
        <w:t>Appendix A</w:t>
      </w:r>
    </w:p>
    <w:p>
      <w:pPr>
        <w:pStyle w:val="Heading2"/>
        <w:spacing w:line="480" w:lineRule="auto" w:before="120" w:after="0"/>
      </w:pPr>
      <w:r>
        <w:rPr>
          <w:rFonts w:ascii="Times New Roman" w:hAnsi="Times New Roman" w:eastAsia="Times New Roman"/>
          <w:b/>
          <w:sz w:val="24"/>
        </w:rPr>
        <w:t>Deterministic Protocol Logic</w:t>
      </w:r>
    </w:p>
    <w:p>
      <w:pPr>
        <w:spacing w:line="480" w:lineRule="auto" w:after="0"/>
        <w:ind w:firstLine="720"/>
      </w:pPr>
      <w:r>
        <w:rPr>
          <w:rFonts w:ascii="Times New Roman" w:hAnsi="Times New Roman" w:eastAsia="Times New Roman"/>
          <w:sz w:val="24"/>
        </w:rPr>
        <w:t>This appendix provides protocol-level pseudocode for the EIT policy translation layer. The logic is intentionally deterministic: the same valid input state should produce the same governance decision, audit record, and escalation pathway.</w:t>
      </w:r>
    </w:p>
    <w:p>
      <w:pPr>
        <w:spacing w:before="120" w:after="120" w:line="240" w:lineRule="auto"/>
        <w:ind w:left="360" w:right="360"/>
      </w:pPr>
      <w:r>
        <w:rPr>
          <w:rFonts w:ascii="Courier New" w:hAnsi="Courier New" w:eastAsia="Courier New"/>
          <w:sz w:val="17"/>
        </w:rPr>
        <w:t>function process_interaction(event, consent_registry, policy_rules):</w:t>
        <w:br/>
        <w:t xml:space="preserve">    consent_scope = consent_registry.lookup(event.user_id, event.requested_purpose)</w:t>
        <w:br/>
        <w:br/>
        <w:t xml:space="preserve">    if consent_scope is null or consent_scope.status != "active":</w:t>
        <w:br/>
        <w:t xml:space="preserve">        audit("EIT-R1", event.id, "blocked_no_valid_consent")</w:t>
        <w:br/>
        <w:t xml:space="preserve">        return deny_longitudinal_processing(event)</w:t>
        <w:br/>
        <w:br/>
        <w:t xml:space="preserve">    if event.requested_purpose not in consent_scope.authorized_purposes:</w:t>
        <w:br/>
        <w:t xml:space="preserve">        audit("EIT-R2", event.id, "blocked_purpose_mismatch")</w:t>
        <w:br/>
        <w:t xml:space="preserve">        escalate("compliance_review", event.id)</w:t>
        <w:br/>
        <w:t xml:space="preserve">        return deny_longitudinal_processing(event)</w:t>
        <w:br/>
        <w:br/>
        <w:t xml:space="preserve">    lil_record = create_lil_record(event, consent_scope)</w:t>
        <w:br/>
        <w:t xml:space="preserve">    audit("EIT-R3", lil_record.record_id, "lil_record_created")</w:t>
        <w:br/>
        <w:br/>
        <w:t xml:space="preserve">    if event.requires_trajectory_evaluation == false:</w:t>
        <w:br/>
        <w:t xml:space="preserve">        return continue_without_tar(lil_record)</w:t>
        <w:br/>
        <w:br/>
        <w:t xml:space="preserve">    authorized_window = get_authorized_lil_window(</w:t>
        <w:br/>
        <w:t xml:space="preserve">        user_id = event.user_id,</w:t>
        <w:br/>
        <w:t xml:space="preserve">        consent_scope_id = consent_scope.id,</w:t>
        <w:br/>
        <w:t xml:space="preserve">        start = consent_scope.window_start,</w:t>
        <w:br/>
        <w:t xml:space="preserve">        end = now()</w:t>
        <w:br/>
        <w:t xml:space="preserve">    )</w:t>
        <w:br/>
        <w:br/>
        <w:t xml:space="preserve">    tar_candidate = evaluate_tar_rules(authorized_window)</w:t>
        <w:br/>
        <w:br/>
        <w:t xml:space="preserve">    if tar_candidate.contains_prohibited_inference == true:</w:t>
        <w:br/>
        <w:t xml:space="preserve">        audit("EIT-R4", tar_candidate.id, "blocked_diagnostic_or_vulnerability_inference")</w:t>
        <w:br/>
        <w:t xml:space="preserve">        escalate("policy_review", tar_candidate.id)</w:t>
        <w:br/>
        <w:t xml:space="preserve">        return continue_without_tar(lil_record)</w:t>
        <w:br/>
        <w:br/>
        <w:t xml:space="preserve">    tar_signal = create_tar_signal(tar_candidate)</w:t>
        <w:br/>
        <w:t xml:space="preserve">    audit("EIT-R5", tar_signal.signal_id, "tar_signal_created_with_authorized_window")</w:t>
        <w:br/>
        <w:br/>
        <w:t xml:space="preserve">    response = select_pdev_response(tar_signal.severity, tar_signal.signal_type)</w:t>
        <w:br/>
        <w:br/>
        <w:t xml:space="preserve">    if tar_signal.severity in ["high", "critical"]:</w:t>
        <w:br/>
        <w:t xml:space="preserve">        response.requires_human_review = true</w:t>
        <w:br/>
        <w:t xml:space="preserve">        audit("EIT-R6", response.response_id, "severity_bound_response_selected")</w:t>
        <w:br/>
        <w:t xml:space="preserve">        escalate("human_review", response.response_id)</w:t>
        <w:br/>
        <w:br/>
        <w:t xml:space="preserve">    if response.changes_user_experience == true:</w:t>
        <w:br/>
        <w:t xml:space="preserve">        response.user_visible_notice = generate_disclosure(tar_signal)</w:t>
        <w:br/>
        <w:t xml:space="preserve">        audit("EIT-R7", response.response_id, "adaptive_disclosure_generated")</w:t>
        <w:br/>
        <w:br/>
        <w:t xml:space="preserve">    audit("EIT-R8", [lil_record.record_id, tar_signal.signal_id, response.response_id], "integrity_chain_updated")</w:t>
        <w:br/>
        <w:t xml:space="preserve">    return deliver_response(response)</w:t>
      </w:r>
    </w:p>
    <w:p>
      <w:pPr>
        <w:pStyle w:val="Heading1"/>
        <w:spacing w:line="480" w:lineRule="auto" w:before="240" w:after="0"/>
      </w:pPr>
      <w:r>
        <w:rPr>
          <w:rFonts w:ascii="Times New Roman" w:hAnsi="Times New Roman" w:eastAsia="Times New Roman"/>
          <w:b/>
          <w:sz w:val="24"/>
        </w:rPr>
        <w:t>Appendix B</w:t>
      </w:r>
    </w:p>
    <w:p>
      <w:pPr>
        <w:pStyle w:val="Heading2"/>
        <w:spacing w:line="480" w:lineRule="auto" w:before="120" w:after="0"/>
      </w:pPr>
      <w:r>
        <w:rPr>
          <w:rFonts w:ascii="Times New Roman" w:hAnsi="Times New Roman" w:eastAsia="Times New Roman"/>
          <w:b/>
          <w:sz w:val="24"/>
        </w:rPr>
        <w:t>Canonical Schema Examples</w:t>
      </w:r>
    </w:p>
    <w:p>
      <w:pPr>
        <w:spacing w:line="480" w:lineRule="auto" w:after="0"/>
        <w:ind w:firstLine="720"/>
      </w:pPr>
      <w:r>
        <w:rPr>
          <w:rFonts w:ascii="Times New Roman" w:hAnsi="Times New Roman" w:eastAsia="Times New Roman"/>
          <w:sz w:val="24"/>
        </w:rPr>
        <w:t>The package includes machine-readable JSON schema files for LIL, TAR, PDEV, and audit records. The excerpts below show the field structure expected in a protocol-level manuscript. The schema files bundled with this submission package provide the complete machine-readable versions.</w:t>
      </w:r>
    </w:p>
    <w:p>
      <w:pPr>
        <w:pStyle w:val="Heading3"/>
        <w:spacing w:line="480" w:lineRule="auto" w:before="120" w:after="0"/>
      </w:pPr>
      <w:r>
        <w:rPr>
          <w:rFonts w:ascii="Times New Roman" w:hAnsi="Times New Roman" w:eastAsia="Times New Roman"/>
          <w:b/>
          <w:sz w:val="24"/>
        </w:rPr>
        <w:t>lil-event-v1.json</w:t>
      </w:r>
    </w:p>
    <w:p>
      <w:pPr>
        <w:spacing w:before="120" w:after="120" w:line="240" w:lineRule="auto"/>
        <w:ind w:left="360" w:right="360"/>
      </w:pPr>
      <w:r>
        <w:rPr>
          <w:rFonts w:ascii="Courier New" w:hAnsi="Courier New" w:eastAsia="Courier New"/>
          <w:sz w:val="17"/>
        </w:rPr>
        <w:t>{</w:t>
        <w:br/>
        <w:t xml:space="preserve">  "$schema": "https://json-schema.org/draft/2020-12/schema",</w:t>
        <w:br/>
        <w:t xml:space="preserve">  "$id": "https://emotionalinfrastructure.org/schemas/eit/lil-event-v1.json",</w:t>
        <w:br/>
        <w:t xml:space="preserve">  "title": "LIL Event Record",</w:t>
        <w:br/>
        <w:t xml:space="preserve">  "type": "object",</w:t>
        <w:br/>
        <w:t xml:space="preserve">  "additionalProperties": false,</w:t>
        <w:br/>
        <w:t xml:space="preserve">  "required": [</w:t>
        <w:br/>
        <w:t xml:space="preserve">    "record_id",</w:t>
        <w:br/>
        <w:t xml:space="preserve">    "schema_version",</w:t>
        <w:br/>
        <w:t xml:space="preserve">    "timestamp_utc",</w:t>
        <w:br/>
        <w:t xml:space="preserve">    "actor_type",</w:t>
        <w:br/>
        <w:t xml:space="preserve">    "system_context",</w:t>
        <w:br/>
        <w:t xml:space="preserve">    "consent_scope_id",</w:t>
        <w:br/>
        <w:t xml:space="preserve">    "interaction_type",</w:t>
        <w:br/>
        <w:t xml:space="preserve">    "event_summary",</w:t>
        <w:br/>
        <w:t xml:space="preserve">    "event_hash"</w:t>
        <w:br/>
        <w:t xml:space="preserve">  ],</w:t>
        <w:br/>
        <w:t xml:space="preserve">  "properties": {</w:t>
        <w:br/>
        <w:t xml:space="preserve">    "record_id": {</w:t>
        <w:br/>
        <w:t xml:space="preserve">      "type": "string",</w:t>
        <w:br/>
        <w:t xml:space="preserve">      "description": "Stable unique identifier for the event record."</w:t>
        <w:br/>
        <w:t xml:space="preserve">    },</w:t>
        <w:br/>
        <w:t xml:space="preserve">    "schema_version": {</w:t>
        <w:br/>
        <w:t xml:space="preserve">      "type": "string",</w:t>
        <w:br/>
        <w:t xml:space="preserve">      "const": "lil-event-v1"</w:t>
        <w:br/>
        <w:t xml:space="preserve">    },</w:t>
        <w:br/>
        <w:t xml:space="preserve">    "timestamp_utc": {</w:t>
        <w:br/>
        <w:t xml:space="preserve">      "type": "string",</w:t>
        <w:br/>
        <w:t xml:space="preserve">      "format": "date-time"</w:t>
        <w:br/>
        <w:t xml:space="preserve">    },</w:t>
        <w:br/>
        <w:t xml:space="preserve">    "actor_type": {</w:t>
        <w:br/>
        <w:t xml:space="preserve">      "type": "string",</w:t>
        <w:br/>
        <w:t xml:space="preserve">      "enum": [</w:t>
        <w:br/>
        <w:t xml:space="preserve">        "user",</w:t>
        <w:br/>
        <w:t xml:space="preserve">        "system",</w:t>
        <w:br/>
        <w:t xml:space="preserve">        "operator",</w:t>
        <w:br/>
        <w:t xml:space="preserve">        "third_party"</w:t>
        <w:br/>
        <w:t xml:space="preserve">      ]</w:t>
        <w:br/>
        <w:t xml:space="preserve">    },</w:t>
        <w:br/>
        <w:t xml:space="preserve">    "system_context": {</w:t>
        <w:br/>
        <w:t xml:space="preserve">      "type": "object",</w:t>
        <w:br/>
        <w:t xml:space="preserve">      "required": [</w:t>
        <w:br/>
        <w:t xml:space="preserve">        "application_id",</w:t>
        <w:br/>
        <w:t xml:space="preserve">        "model_or_service_id",</w:t>
        <w:br/>
        <w:t xml:space="preserve">        "session_id"</w:t>
        <w:br/>
        <w:t xml:space="preserve">      ],</w:t>
        <w:br/>
        <w:t xml:space="preserve">      "additionalProperties": false,</w:t>
        <w:br/>
        <w:t xml:space="preserve">      "properties": {</w:t>
        <w:br/>
        <w:t xml:space="preserve">        "application_id": {</w:t>
        <w:br/>
        <w:t xml:space="preserve">          "type": "string"</w:t>
        <w:br/>
        <w:t xml:space="preserve">        },</w:t>
        <w:br/>
        <w:t xml:space="preserve">        "model_or_service_id": {</w:t>
        <w:br/>
        <w:t xml:space="preserve">          "type": "string"</w:t>
        <w:br/>
        <w:t xml:space="preserve">        },</w:t>
        <w:br/>
        <w:t xml:space="preserve">        "session_id": {</w:t>
        <w:br/>
        <w:t xml:space="preserve">          "type": "string"</w:t>
        <w:br/>
        <w:t xml:space="preserve">        }</w:t>
        <w:br/>
        <w:t xml:space="preserve">      }</w:t>
        <w:br/>
        <w:t xml:space="preserve">    },</w:t>
        <w:br/>
        <w:t xml:space="preserve">    "consent_scope_id": {</w:t>
        <w:br/>
        <w:t xml:space="preserve">      "type": "string"</w:t>
        <w:br/>
        <w:t xml:space="preserve">    },</w:t>
        <w:br/>
        <w:t xml:space="preserve">    "interaction_type": {</w:t>
        <w:br/>
        <w:t xml:space="preserve">      "type": "string",</w:t>
        <w:br/>
        <w:t xml:space="preserve">      "enum": [</w:t>
        <w:br/>
        <w:t xml:space="preserve">        "input",</w:t>
        <w:br/>
        <w:t xml:space="preserve">        "output",</w:t>
        <w:br/>
        <w:t xml:space="preserve">        "correction",</w:t>
        <w:br/>
        <w:t xml:space="preserve">        "refusal",</w:t>
        <w:br/>
        <w:t xml:space="preserve">        "escalation",</w:t>
        <w:br/>
        <w:t xml:space="preserve">        "disclosure",</w:t>
        <w:br/>
        <w:t xml:space="preserve">        "user_feedback"</w:t>
        <w:br/>
        <w:t xml:space="preserve">      ]</w:t>
        <w:br/>
        <w:t xml:space="preserve">    },</w:t>
        <w:br/>
        <w:t xml:space="preserve">    "event_summary": {</w:t>
        <w:br/>
        <w:t xml:space="preserve">      "type": "string",</w:t>
        <w:br/>
        <w:t xml:space="preserve">      "maxLength": 1000</w:t>
        <w:br/>
        <w:t xml:space="preserve">    },</w:t>
        <w:br/>
        <w:t xml:space="preserve">    "observable_effect": {</w:t>
        <w:br/>
        <w:t xml:space="preserve">      "type": "string",</w:t>
        <w:br/>
        <w:t xml:space="preserve">      "enum": [</w:t>
        <w:br/>
        <w:t xml:space="preserve">        "none",</w:t>
        <w:br/>
        <w:t xml:space="preserve">        "confusion",</w:t>
        <w:br/>
        <w:t xml:space="preserve">        "repetition",</w:t>
        <w:br/>
        <w:t xml:space="preserve">        "task_blockage",</w:t>
        <w:br/>
        <w:t xml:space="preserve">        "safety_escalation",</w:t>
        <w:br/>
        <w:t xml:space="preserve">        "policy_boundary",</w:t>
        <w:br/>
        <w:t xml:space="preserve">        "user_contestation"</w:t>
        <w:br/>
        <w:t xml:space="preserve">      ]</w:t>
        <w:br/>
        <w:t xml:space="preserve">    },</w:t>
        <w:br/>
        <w:t xml:space="preserve">    "excluded_inference": {</w:t>
        <w:br/>
        <w:t xml:space="preserve">      "type": "boolean",</w:t>
        <w:br/>
        <w:t xml:space="preserve">      "description": "True indicates that prohibited diagnostic or psychological inference was not performed."</w:t>
        <w:br/>
        <w:t xml:space="preserve">    },</w:t>
        <w:br/>
        <w:t xml:space="preserve">    "event_hash": {</w:t>
        <w:br/>
        <w:t xml:space="preserve">      "type": "string"</w:t>
        <w:br/>
        <w:t xml:space="preserve">    },</w:t>
        <w:br/>
        <w:t xml:space="preserve">    "previous_event_hash": {</w:t>
        <w:br/>
        <w:t xml:space="preserve">      "type": [</w:t>
        <w:br/>
        <w:t xml:space="preserve">        "string",</w:t>
        <w:br/>
        <w:t xml:space="preserve">        "null"</w:t>
        <w:br/>
        <w:t xml:space="preserve">      ]</w:t>
        <w:br/>
        <w:t xml:space="preserve">    }</w:t>
        <w:br/>
        <w:t xml:space="preserve">  }</w:t>
        <w:br/>
        <w:t>}</w:t>
      </w:r>
    </w:p>
    <w:p>
      <w:pPr>
        <w:pStyle w:val="Heading3"/>
        <w:spacing w:line="480" w:lineRule="auto" w:before="120" w:after="0"/>
      </w:pPr>
      <w:r>
        <w:rPr>
          <w:rFonts w:ascii="Times New Roman" w:hAnsi="Times New Roman" w:eastAsia="Times New Roman"/>
          <w:b/>
          <w:sz w:val="24"/>
        </w:rPr>
        <w:t>tar-signal-v1.json</w:t>
      </w:r>
    </w:p>
    <w:p>
      <w:pPr>
        <w:spacing w:before="120" w:after="120" w:line="240" w:lineRule="auto"/>
        <w:ind w:left="360" w:right="360"/>
      </w:pPr>
      <w:r>
        <w:rPr>
          <w:rFonts w:ascii="Courier New" w:hAnsi="Courier New" w:eastAsia="Courier New"/>
          <w:sz w:val="17"/>
        </w:rPr>
        <w:t>{</w:t>
        <w:br/>
        <w:t xml:space="preserve">  "$schema": "https://json-schema.org/draft/2020-12/schema",</w:t>
        <w:br/>
        <w:t xml:space="preserve">  "$id": "https://emotionalinfrastructure.org/schemas/eit/tar-signal-v1.json",</w:t>
        <w:br/>
        <w:t xml:space="preserve">  "title": "TAR Trajectory Signal",</w:t>
        <w:br/>
        <w:t xml:space="preserve">  "type": "object",</w:t>
        <w:br/>
        <w:t xml:space="preserve">  "additionalProperties": false,</w:t>
        <w:br/>
        <w:t xml:space="preserve">  "required": [</w:t>
        <w:br/>
        <w:t xml:space="preserve">    "signal_id",</w:t>
        <w:br/>
        <w:t xml:space="preserve">    "schema_version",</w:t>
        <w:br/>
        <w:t xml:space="preserve">    "timestamp_utc",</w:t>
        <w:br/>
        <w:t xml:space="preserve">    "consent_scope_id",</w:t>
        <w:br/>
        <w:t xml:space="preserve">    "source_window",</w:t>
        <w:br/>
        <w:t xml:space="preserve">    "signal_type",</w:t>
        <w:br/>
        <w:t xml:space="preserve">    "severity",</w:t>
        <w:br/>
        <w:t xml:space="preserve">    "confidence_basis",</w:t>
        <w:br/>
        <w:t xml:space="preserve">    "recommended_response",</w:t>
        <w:br/>
        <w:t xml:space="preserve">    "audit_record_id"</w:t>
        <w:br/>
        <w:t xml:space="preserve">  ],</w:t>
        <w:br/>
        <w:t xml:space="preserve">  "properties": {</w:t>
        <w:br/>
        <w:t xml:space="preserve">    "signal_id": {</w:t>
        <w:br/>
        <w:t xml:space="preserve">      "type": "string"</w:t>
        <w:br/>
        <w:t xml:space="preserve">    },</w:t>
        <w:br/>
        <w:t xml:space="preserve">    "schema_version": {</w:t>
        <w:br/>
        <w:t xml:space="preserve">      "type": "string",</w:t>
        <w:br/>
        <w:t xml:space="preserve">      "const": "tar-signal-v1"</w:t>
        <w:br/>
        <w:t xml:space="preserve">    },</w:t>
        <w:br/>
        <w:t xml:space="preserve">    "timestamp_utc": {</w:t>
        <w:br/>
        <w:t xml:space="preserve">      "type": "string",</w:t>
        <w:br/>
        <w:t xml:space="preserve">      "format": "date-time"</w:t>
        <w:br/>
        <w:t xml:space="preserve">    },</w:t>
        <w:br/>
        <w:t xml:space="preserve">    "consent_scope_id": {</w:t>
        <w:br/>
        <w:t xml:space="preserve">      "type": "string"</w:t>
        <w:br/>
        <w:t xml:space="preserve">    },</w:t>
        <w:br/>
        <w:t xml:space="preserve">    "source_window": {</w:t>
        <w:br/>
        <w:t xml:space="preserve">      "type": "object",</w:t>
        <w:br/>
        <w:t xml:space="preserve">      "required": [</w:t>
        <w:br/>
        <w:t xml:space="preserve">        "start_timestamp_utc",</w:t>
        <w:br/>
        <w:t xml:space="preserve">        "end_timestamp_utc",</w:t>
        <w:br/>
        <w:t xml:space="preserve">        "record_count"</w:t>
        <w:br/>
        <w:t xml:space="preserve">      ],</w:t>
        <w:br/>
        <w:t xml:space="preserve">      "properties": {</w:t>
        <w:br/>
        <w:t xml:space="preserve">        "start_timestamp_utc": {</w:t>
        <w:br/>
        <w:t xml:space="preserve">          "type": "string",</w:t>
        <w:br/>
        <w:t xml:space="preserve">          "format": "date-time"</w:t>
        <w:br/>
        <w:t xml:space="preserve">        },</w:t>
        <w:br/>
        <w:t xml:space="preserve">        "end_timestamp_utc": {</w:t>
        <w:br/>
        <w:t xml:space="preserve">          "type": "string",</w:t>
        <w:br/>
        <w:t xml:space="preserve">          "format": "date-time"</w:t>
        <w:br/>
        <w:t xml:space="preserve">        },</w:t>
        <w:br/>
        <w:t xml:space="preserve">        "record_count": {</w:t>
        <w:br/>
        <w:t xml:space="preserve">          "type": "integer",</w:t>
        <w:br/>
        <w:t xml:space="preserve">          "minimum": 1</w:t>
        <w:br/>
        <w:t xml:space="preserve">        }</w:t>
        <w:br/>
        <w:t xml:space="preserve">      }</w:t>
        <w:br/>
        <w:t xml:space="preserve">    },</w:t>
        <w:br/>
        <w:t xml:space="preserve">    "signal_type": {</w:t>
        <w:br/>
        <w:t xml:space="preserve">      "type": "string",</w:t>
        <w:br/>
        <w:t xml:space="preserve">      "enum": [</w:t>
        <w:br/>
        <w:t xml:space="preserve">        "continuity_disruption",</w:t>
        <w:br/>
        <w:t xml:space="preserve">        "consent_boundary_risk",</w:t>
        <w:br/>
        <w:t xml:space="preserve">        "user_contestation",</w:t>
        <w:br/>
        <w:t xml:space="preserve">        "unresolved_error_pattern",</w:t>
        <w:br/>
        <w:t xml:space="preserve">        "intervention_needed"</w:t>
        <w:br/>
        <w:t xml:space="preserve">      ]</w:t>
        <w:br/>
        <w:t xml:space="preserve">    },</w:t>
        <w:br/>
        <w:t xml:space="preserve">    "severity": {</w:t>
        <w:br/>
        <w:t xml:space="preserve">      "type": "string",</w:t>
        <w:br/>
        <w:t xml:space="preserve">      "enum": [</w:t>
        <w:br/>
        <w:t xml:space="preserve">        "low",</w:t>
        <w:br/>
        <w:t xml:space="preserve">        "medium",</w:t>
        <w:br/>
        <w:t xml:space="preserve">        "high",</w:t>
        <w:br/>
        <w:t xml:space="preserve">        "critical"</w:t>
        <w:br/>
        <w:t xml:space="preserve">      ]</w:t>
        <w:br/>
        <w:t xml:space="preserve">    },</w:t>
        <w:br/>
        <w:t xml:space="preserve">    "confidence_basis": {</w:t>
        <w:br/>
        <w:t xml:space="preserve">      "type": "array",</w:t>
        <w:br/>
        <w:t xml:space="preserve">      "items": {</w:t>
        <w:br/>
        <w:t xml:space="preserve">        "type": "string"</w:t>
        <w:br/>
        <w:t xml:space="preserve">      },</w:t>
        <w:br/>
        <w:t xml:space="preserve">      "minItems": 1</w:t>
        <w:br/>
        <w:t xml:space="preserve">    },</w:t>
        <w:br/>
        <w:t xml:space="preserve">    "recommended_response": {</w:t>
        <w:br/>
        <w:t xml:space="preserve">      "type": "string",</w:t>
        <w:br/>
        <w:t xml:space="preserve">      "enum": [</w:t>
        <w:br/>
        <w:t xml:space="preserve">        "no_action",</w:t>
        <w:br/>
        <w:t xml:space="preserve">        "disclose",</w:t>
        <w:br/>
        <w:t xml:space="preserve">        "clarify",</w:t>
        <w:br/>
        <w:t xml:space="preserve">        "pause",</w:t>
        <w:br/>
        <w:t xml:space="preserve">        "human_review",</w:t>
        <w:br/>
        <w:t xml:space="preserve">        "export_record"</w:t>
        <w:br/>
        <w:t xml:space="preserve">      ]</w:t>
        <w:br/>
        <w:t xml:space="preserve">    },</w:t>
        <w:br/>
        <w:t xml:space="preserve">    "audit_record_id": {</w:t>
        <w:br/>
        <w:t xml:space="preserve">      "type": "string"</w:t>
        <w:br/>
        <w:t xml:space="preserve">    }</w:t>
        <w:br/>
        <w:t xml:space="preserve">  }</w:t>
        <w:br/>
        <w:t>}</w:t>
      </w:r>
    </w:p>
    <w:p>
      <w:pPr>
        <w:pStyle w:val="Heading3"/>
        <w:spacing w:line="480" w:lineRule="auto" w:before="120" w:after="0"/>
      </w:pPr>
      <w:r>
        <w:rPr>
          <w:rFonts w:ascii="Times New Roman" w:hAnsi="Times New Roman" w:eastAsia="Times New Roman"/>
          <w:b/>
          <w:sz w:val="24"/>
        </w:rPr>
        <w:t>pdev-response-v1.json</w:t>
      </w:r>
    </w:p>
    <w:p>
      <w:pPr>
        <w:spacing w:before="120" w:after="120" w:line="240" w:lineRule="auto"/>
        <w:ind w:left="360" w:right="360"/>
      </w:pPr>
      <w:r>
        <w:rPr>
          <w:rFonts w:ascii="Courier New" w:hAnsi="Courier New" w:eastAsia="Courier New"/>
          <w:sz w:val="17"/>
        </w:rPr>
        <w:t>{</w:t>
        <w:br/>
        <w:t xml:space="preserve">  "$schema": "https://json-schema.org/draft/2020-12/schema",</w:t>
        <w:br/>
        <w:t xml:space="preserve">  "$id": "https://emotionalinfrastructure.org/schemas/eit/pdev-response-v1.json",</w:t>
        <w:br/>
        <w:t xml:space="preserve">  "title": "PDEV Intervention Response",</w:t>
        <w:br/>
        <w:t xml:space="preserve">  "type": "object",</w:t>
        <w:br/>
        <w:t xml:space="preserve">  "additionalProperties": false,</w:t>
        <w:br/>
        <w:t xml:space="preserve">  "required": [</w:t>
        <w:br/>
        <w:t xml:space="preserve">    "response_id",</w:t>
        <w:br/>
        <w:t xml:space="preserve">    "schema_version",</w:t>
        <w:br/>
        <w:t xml:space="preserve">    "timestamp_utc",</w:t>
        <w:br/>
        <w:t xml:space="preserve">    "linked_signal_id",</w:t>
        <w:br/>
        <w:t xml:space="preserve">    "response_type",</w:t>
        <w:br/>
        <w:t xml:space="preserve">    "agency_preservation_step",</w:t>
        <w:br/>
        <w:t xml:space="preserve">    "user_visible_notice",</w:t>
        <w:br/>
        <w:t xml:space="preserve">    "audit_record_id"</w:t>
        <w:br/>
        <w:t xml:space="preserve">  ],</w:t>
        <w:br/>
        <w:t xml:space="preserve">  "properties": {</w:t>
        <w:br/>
        <w:t xml:space="preserve">    "response_id": {</w:t>
        <w:br/>
        <w:t xml:space="preserve">      "type": "string"</w:t>
        <w:br/>
        <w:t xml:space="preserve">    },</w:t>
        <w:br/>
        <w:t xml:space="preserve">    "schema_version": {</w:t>
        <w:br/>
        <w:t xml:space="preserve">      "type": "string",</w:t>
        <w:br/>
        <w:t xml:space="preserve">      "const": "pdev-response-v1"</w:t>
        <w:br/>
        <w:t xml:space="preserve">    },</w:t>
        <w:br/>
        <w:t xml:space="preserve">    "timestamp_utc": {</w:t>
        <w:br/>
        <w:t xml:space="preserve">      "type": "string",</w:t>
        <w:br/>
        <w:t xml:space="preserve">      "format": "date-time"</w:t>
        <w:br/>
        <w:t xml:space="preserve">    },</w:t>
        <w:br/>
        <w:t xml:space="preserve">    "linked_signal_id": {</w:t>
        <w:br/>
        <w:t xml:space="preserve">      "type": "string"</w:t>
        <w:br/>
        <w:t xml:space="preserve">    },</w:t>
        <w:br/>
        <w:t xml:space="preserve">    "response_type": {</w:t>
        <w:br/>
        <w:t xml:space="preserve">      "type": "string",</w:t>
        <w:br/>
        <w:t xml:space="preserve">      "enum": [</w:t>
        <w:br/>
        <w:t xml:space="preserve">        "disclosure",</w:t>
        <w:br/>
        <w:t xml:space="preserve">        "clarification",</w:t>
        <w:br/>
        <w:t xml:space="preserve">        "safe_pause",</w:t>
        <w:br/>
        <w:t xml:space="preserve">        "human_review",</w:t>
        <w:br/>
        <w:t xml:space="preserve">        "record_export",</w:t>
        <w:br/>
        <w:t xml:space="preserve">        "policy_refusal"</w:t>
        <w:br/>
        <w:t xml:space="preserve">      ]</w:t>
        <w:br/>
        <w:t xml:space="preserve">    },</w:t>
        <w:br/>
        <w:t xml:space="preserve">    "agency_preservation_step": {</w:t>
        <w:br/>
        <w:t xml:space="preserve">      "type": "string",</w:t>
        <w:br/>
        <w:t xml:space="preserve">      "enum": [</w:t>
        <w:br/>
        <w:t xml:space="preserve">        "user_choice_prompt",</w:t>
        <w:br/>
        <w:t xml:space="preserve">        "plain_language_explanation",</w:t>
        <w:br/>
        <w:t xml:space="preserve">        "appeal_route",</w:t>
        <w:br/>
        <w:t xml:space="preserve">        "session_boundary",</w:t>
        <w:br/>
        <w:t xml:space="preserve">        "data_access_route"</w:t>
        <w:br/>
        <w:t xml:space="preserve">      ]</w:t>
        <w:br/>
        <w:t xml:space="preserve">    },</w:t>
        <w:br/>
        <w:t xml:space="preserve">    "user_visible_notice": {</w:t>
        <w:br/>
        <w:t xml:space="preserve">      "type": "string",</w:t>
        <w:br/>
        <w:t xml:space="preserve">      "maxLength": 1200</w:t>
        <w:br/>
        <w:t xml:space="preserve">    },</w:t>
        <w:br/>
        <w:t xml:space="preserve">    "operator_action_required": {</w:t>
        <w:br/>
        <w:t xml:space="preserve">      "type": "boolean"</w:t>
        <w:br/>
        <w:t xml:space="preserve">    },</w:t>
        <w:br/>
        <w:t xml:space="preserve">    "audit_record_id": {</w:t>
        <w:br/>
        <w:t xml:space="preserve">      "type": "string"</w:t>
        <w:br/>
        <w:t xml:space="preserve">    }</w:t>
        <w:br/>
        <w:t xml:space="preserve">  }</w:t>
        <w:br/>
        <w:t>}</w:t>
      </w:r>
    </w:p>
    <w:p>
      <w:pPr>
        <w:pStyle w:val="Heading3"/>
        <w:spacing w:line="480" w:lineRule="auto" w:before="120" w:after="0"/>
      </w:pPr>
      <w:r>
        <w:rPr>
          <w:rFonts w:ascii="Times New Roman" w:hAnsi="Times New Roman" w:eastAsia="Times New Roman"/>
          <w:b/>
          <w:sz w:val="24"/>
        </w:rPr>
        <w:t>audit-record-v1.json</w:t>
      </w:r>
    </w:p>
    <w:p>
      <w:pPr>
        <w:spacing w:before="120" w:after="120" w:line="240" w:lineRule="auto"/>
        <w:ind w:left="360" w:right="360"/>
      </w:pPr>
      <w:r>
        <w:rPr>
          <w:rFonts w:ascii="Courier New" w:hAnsi="Courier New" w:eastAsia="Courier New"/>
          <w:sz w:val="17"/>
        </w:rPr>
        <w:t>{</w:t>
        <w:br/>
        <w:t xml:space="preserve">  "$schema": "https://json-schema.org/draft/2020-12/schema",</w:t>
        <w:br/>
        <w:t xml:space="preserve">  "$id": "https://emotionalinfrastructure.org/schemas/eit/audit-record-v1.json",</w:t>
        <w:br/>
        <w:t xml:space="preserve">  "title": "EIT Audit Record",</w:t>
        <w:br/>
        <w:t xml:space="preserve">  "type": "object",</w:t>
        <w:br/>
        <w:t xml:space="preserve">  "additionalProperties": false,</w:t>
        <w:br/>
        <w:t xml:space="preserve">  "required": [</w:t>
        <w:br/>
        <w:t xml:space="preserve">    "audit_record_id",</w:t>
        <w:br/>
        <w:t xml:space="preserve">    "schema_version",</w:t>
        <w:br/>
        <w:t xml:space="preserve">    "timestamp_utc",</w:t>
        <w:br/>
        <w:t xml:space="preserve">    "linked_records",</w:t>
        <w:br/>
        <w:t xml:space="preserve">    "policy_rule_id",</w:t>
        <w:br/>
        <w:t xml:space="preserve">    "decision_outcome",</w:t>
        <w:br/>
        <w:t xml:space="preserve">    "decision_basis",</w:t>
        <w:br/>
        <w:t xml:space="preserve">    "integrity_hash"</w:t>
        <w:br/>
        <w:t xml:space="preserve">  ],</w:t>
        <w:br/>
        <w:t xml:space="preserve">  "properties": {</w:t>
        <w:br/>
        <w:t xml:space="preserve">    "audit_record_id": {</w:t>
        <w:br/>
        <w:t xml:space="preserve">      "type": "string"</w:t>
        <w:br/>
        <w:t xml:space="preserve">    },</w:t>
        <w:br/>
        <w:t xml:space="preserve">    "schema_version": {</w:t>
        <w:br/>
        <w:t xml:space="preserve">      "type": "string",</w:t>
        <w:br/>
        <w:t xml:space="preserve">      "const": "audit-record-v1"</w:t>
        <w:br/>
        <w:t xml:space="preserve">    },</w:t>
        <w:br/>
        <w:t xml:space="preserve">    "timestamp_utc": {</w:t>
        <w:br/>
        <w:t xml:space="preserve">      "type": "string",</w:t>
        <w:br/>
        <w:t xml:space="preserve">      "format": "date-time"</w:t>
        <w:br/>
        <w:t xml:space="preserve">    },</w:t>
        <w:br/>
        <w:t xml:space="preserve">    "linked_records": {</w:t>
        <w:br/>
        <w:t xml:space="preserve">      "type": "array",</w:t>
        <w:br/>
        <w:t xml:space="preserve">      "items": {</w:t>
        <w:br/>
        <w:t xml:space="preserve">        "type": "string"</w:t>
        <w:br/>
        <w:t xml:space="preserve">      },</w:t>
        <w:br/>
        <w:t xml:space="preserve">      "minItems": 1</w:t>
        <w:br/>
        <w:t xml:space="preserve">    },</w:t>
        <w:br/>
        <w:t xml:space="preserve">    "policy_rule_id": {</w:t>
        <w:br/>
        <w:t xml:space="preserve">      "type": "string"</w:t>
        <w:br/>
        <w:t xml:space="preserve">    },</w:t>
        <w:br/>
        <w:t xml:space="preserve">    "decision_outcome": {</w:t>
        <w:br/>
        <w:t xml:space="preserve">      "type": "string"</w:t>
        <w:br/>
        <w:t xml:space="preserve">    },</w:t>
        <w:br/>
        <w:t xml:space="preserve">    "decision_basis": {</w:t>
        <w:br/>
        <w:t xml:space="preserve">      "type": "array",</w:t>
        <w:br/>
        <w:t xml:space="preserve">      "items": {</w:t>
        <w:br/>
        <w:t xml:space="preserve">        "type": "string"</w:t>
        <w:br/>
        <w:t xml:space="preserve">      }</w:t>
        <w:br/>
        <w:t xml:space="preserve">    },</w:t>
        <w:br/>
        <w:t xml:space="preserve">    "review_owner": {</w:t>
        <w:br/>
        <w:t xml:space="preserve">      "type": "string"</w:t>
        <w:br/>
        <w:t xml:space="preserve">    },</w:t>
        <w:br/>
        <w:t xml:space="preserve">    "retention_class": {</w:t>
        <w:br/>
        <w:t xml:space="preserve">      "type": "string",</w:t>
        <w:br/>
        <w:t xml:space="preserve">      "enum": [</w:t>
        <w:br/>
        <w:t xml:space="preserve">        "short",</w:t>
        <w:br/>
        <w:t xml:space="preserve">        "standard",</w:t>
        <w:br/>
        <w:t xml:space="preserve">        "extended_by_policy"</w:t>
        <w:br/>
        <w:t xml:space="preserve">      ]</w:t>
        <w:br/>
        <w:t xml:space="preserve">    },</w:t>
        <w:br/>
        <w:t xml:space="preserve">    "integrity_hash": {</w:t>
        <w:br/>
        <w:t xml:space="preserve">      "type": "string"</w:t>
        <w:br/>
        <w:t xml:space="preserve">    },</w:t>
        <w:br/>
        <w:t xml:space="preserve">    "previous_integrity_hash": {</w:t>
        <w:br/>
        <w:t xml:space="preserve">      "type": [</w:t>
        <w:br/>
        <w:t xml:space="preserve">        "string",</w:t>
        <w:br/>
        <w:t xml:space="preserve">        "null"</w:t>
        <w:br/>
        <w:t xml:space="preserve">      ]</w:t>
        <w:br/>
        <w:t xml:space="preserve">    }</w:t>
        <w:br/>
        <w:t xml:space="preserve">  }</w:t>
        <w:br/>
        <w:t>}</w:t>
      </w:r>
    </w:p>
    <w:p>
      <w:pPr>
        <w:pStyle w:val="Heading1"/>
        <w:spacing w:line="480" w:lineRule="auto" w:before="240" w:after="0"/>
      </w:pPr>
      <w:r>
        <w:rPr>
          <w:rFonts w:ascii="Times New Roman" w:hAnsi="Times New Roman" w:eastAsia="Times New Roman"/>
          <w:b/>
          <w:sz w:val="24"/>
        </w:rPr>
        <w:t>Appendix C</w:t>
      </w:r>
    </w:p>
    <w:p>
      <w:pPr>
        <w:pStyle w:val="Heading2"/>
        <w:spacing w:line="480" w:lineRule="auto" w:before="120" w:after="0"/>
      </w:pPr>
      <w:r>
        <w:rPr>
          <w:rFonts w:ascii="Times New Roman" w:hAnsi="Times New Roman" w:eastAsia="Times New Roman"/>
          <w:b/>
          <w:sz w:val="24"/>
        </w:rPr>
        <w:t>Audit Traceability Matrix</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val="true"/>
        </w:trPr>
        <w:tc>
          <w:tcPr>
            <w:tcW w:type="dxa" w:w="1872"/>
            <w:shd w:fill="EAEAEA"/>
            <w:vAlign w:val="center"/>
          </w:tcPr>
          <w:p>
            <w:pPr>
              <w:spacing w:after="0"/>
            </w:pPr>
            <w:r/>
            <w:r>
              <w:rPr>
                <w:rFonts w:ascii="Times New Roman" w:hAnsi="Times New Roman" w:eastAsia="Times New Roman"/>
                <w:b/>
                <w:sz w:val="13"/>
              </w:rPr>
              <w:t>Rule</w:t>
            </w:r>
          </w:p>
        </w:tc>
        <w:tc>
          <w:tcPr>
            <w:tcW w:type="dxa" w:w="1872"/>
            <w:shd w:fill="EAEAEA"/>
            <w:vAlign w:val="center"/>
          </w:tcPr>
          <w:p>
            <w:pPr>
              <w:spacing w:after="0"/>
            </w:pPr>
            <w:r/>
            <w:r>
              <w:rPr>
                <w:rFonts w:ascii="Times New Roman" w:hAnsi="Times New Roman" w:eastAsia="Times New Roman"/>
                <w:b/>
                <w:sz w:val="13"/>
              </w:rPr>
              <w:t>Trigger condition</w:t>
            </w:r>
          </w:p>
        </w:tc>
        <w:tc>
          <w:tcPr>
            <w:tcW w:type="dxa" w:w="1872"/>
            <w:shd w:fill="EAEAEA"/>
            <w:vAlign w:val="center"/>
          </w:tcPr>
          <w:p>
            <w:pPr>
              <w:spacing w:after="0"/>
            </w:pPr>
            <w:r/>
            <w:r>
              <w:rPr>
                <w:rFonts w:ascii="Times New Roman" w:hAnsi="Times New Roman" w:eastAsia="Times New Roman"/>
                <w:b/>
                <w:sz w:val="13"/>
              </w:rPr>
              <w:t>Control action</w:t>
            </w:r>
          </w:p>
        </w:tc>
        <w:tc>
          <w:tcPr>
            <w:tcW w:type="dxa" w:w="1872"/>
            <w:shd w:fill="EAEAEA"/>
            <w:vAlign w:val="center"/>
          </w:tcPr>
          <w:p>
            <w:pPr>
              <w:spacing w:after="0"/>
            </w:pPr>
            <w:r/>
            <w:r>
              <w:rPr>
                <w:rFonts w:ascii="Times New Roman" w:hAnsi="Times New Roman" w:eastAsia="Times New Roman"/>
                <w:b/>
                <w:sz w:val="13"/>
              </w:rPr>
              <w:t>Required audit evidence</w:t>
            </w:r>
          </w:p>
        </w:tc>
        <w:tc>
          <w:tcPr>
            <w:tcW w:type="dxa" w:w="1872"/>
            <w:shd w:fill="EAEAEA"/>
            <w:vAlign w:val="center"/>
          </w:tcPr>
          <w:p>
            <w:pPr>
              <w:spacing w:after="0"/>
            </w:pPr>
            <w:r/>
            <w:r>
              <w:rPr>
                <w:rFonts w:ascii="Times New Roman" w:hAnsi="Times New Roman" w:eastAsia="Times New Roman"/>
                <w:b/>
                <w:sz w:val="13"/>
              </w:rPr>
              <w:t>Test vector</w:t>
            </w:r>
          </w:p>
        </w:tc>
      </w:tr>
      <w:tr>
        <w:tc>
          <w:tcPr>
            <w:tcW w:type="dxa" w:w="1872"/>
            <w:vAlign w:val="top"/>
          </w:tcPr>
          <w:p>
            <w:pPr>
              <w:spacing w:after="0"/>
            </w:pPr>
            <w:r/>
            <w:r>
              <w:rPr>
                <w:rFonts w:ascii="Times New Roman" w:hAnsi="Times New Roman" w:eastAsia="Times New Roman"/>
                <w:b w:val="0"/>
                <w:sz w:val="13"/>
              </w:rPr>
              <w:t>EIT-R1</w:t>
            </w:r>
          </w:p>
        </w:tc>
        <w:tc>
          <w:tcPr>
            <w:tcW w:type="dxa" w:w="1872"/>
            <w:vAlign w:val="top"/>
          </w:tcPr>
          <w:p>
            <w:pPr>
              <w:spacing w:after="0"/>
            </w:pPr>
            <w:r/>
            <w:r>
              <w:rPr>
                <w:rFonts w:ascii="Times New Roman" w:hAnsi="Times New Roman" w:eastAsia="Times New Roman"/>
                <w:b w:val="0"/>
                <w:sz w:val="13"/>
              </w:rPr>
              <w:t>Consent scope is missing or inactive.</w:t>
            </w:r>
          </w:p>
        </w:tc>
        <w:tc>
          <w:tcPr>
            <w:tcW w:type="dxa" w:w="1872"/>
            <w:vAlign w:val="top"/>
          </w:tcPr>
          <w:p>
            <w:pPr>
              <w:spacing w:after="0"/>
            </w:pPr>
            <w:r/>
            <w:r>
              <w:rPr>
                <w:rFonts w:ascii="Times New Roman" w:hAnsi="Times New Roman" w:eastAsia="Times New Roman"/>
                <w:b w:val="0"/>
                <w:sz w:val="13"/>
              </w:rPr>
              <w:t>Block longitudinal processing.</w:t>
            </w:r>
          </w:p>
        </w:tc>
        <w:tc>
          <w:tcPr>
            <w:tcW w:type="dxa" w:w="1872"/>
            <w:vAlign w:val="top"/>
          </w:tcPr>
          <w:p>
            <w:pPr>
              <w:spacing w:after="0"/>
            </w:pPr>
            <w:r/>
            <w:r>
              <w:rPr>
                <w:rFonts w:ascii="Times New Roman" w:hAnsi="Times New Roman" w:eastAsia="Times New Roman"/>
                <w:b w:val="0"/>
                <w:sz w:val="13"/>
              </w:rPr>
              <w:t>consent_scope_id, audit_record_id, decision_outcome</w:t>
            </w:r>
          </w:p>
        </w:tc>
        <w:tc>
          <w:tcPr>
            <w:tcW w:type="dxa" w:w="1872"/>
            <w:vAlign w:val="top"/>
          </w:tcPr>
          <w:p>
            <w:pPr>
              <w:spacing w:after="0"/>
            </w:pPr>
            <w:r/>
            <w:r>
              <w:rPr>
                <w:rFonts w:ascii="Times New Roman" w:hAnsi="Times New Roman" w:eastAsia="Times New Roman"/>
                <w:b w:val="0"/>
                <w:sz w:val="13"/>
              </w:rPr>
              <w:t>TV-01</w:t>
            </w:r>
          </w:p>
        </w:tc>
      </w:tr>
      <w:tr>
        <w:tc>
          <w:tcPr>
            <w:tcW w:type="dxa" w:w="1872"/>
            <w:vAlign w:val="top"/>
          </w:tcPr>
          <w:p>
            <w:pPr>
              <w:spacing w:after="0"/>
            </w:pPr>
            <w:r/>
            <w:r>
              <w:rPr>
                <w:rFonts w:ascii="Times New Roman" w:hAnsi="Times New Roman" w:eastAsia="Times New Roman"/>
                <w:b w:val="0"/>
                <w:sz w:val="13"/>
              </w:rPr>
              <w:t>EIT-R2</w:t>
            </w:r>
          </w:p>
        </w:tc>
        <w:tc>
          <w:tcPr>
            <w:tcW w:type="dxa" w:w="1872"/>
            <w:vAlign w:val="top"/>
          </w:tcPr>
          <w:p>
            <w:pPr>
              <w:spacing w:after="0"/>
            </w:pPr>
            <w:r/>
            <w:r>
              <w:rPr>
                <w:rFonts w:ascii="Times New Roman" w:hAnsi="Times New Roman" w:eastAsia="Times New Roman"/>
                <w:b w:val="0"/>
                <w:sz w:val="13"/>
              </w:rPr>
              <w:t>Purpose is outside authorized scope.</w:t>
            </w:r>
          </w:p>
        </w:tc>
        <w:tc>
          <w:tcPr>
            <w:tcW w:type="dxa" w:w="1872"/>
            <w:vAlign w:val="top"/>
          </w:tcPr>
          <w:p>
            <w:pPr>
              <w:spacing w:after="0"/>
            </w:pPr>
            <w:r/>
            <w:r>
              <w:rPr>
                <w:rFonts w:ascii="Times New Roman" w:hAnsi="Times New Roman" w:eastAsia="Times New Roman"/>
                <w:b w:val="0"/>
                <w:sz w:val="13"/>
              </w:rPr>
              <w:t>Deny processing and escalate.</w:t>
            </w:r>
          </w:p>
        </w:tc>
        <w:tc>
          <w:tcPr>
            <w:tcW w:type="dxa" w:w="1872"/>
            <w:vAlign w:val="top"/>
          </w:tcPr>
          <w:p>
            <w:pPr>
              <w:spacing w:after="0"/>
            </w:pPr>
            <w:r/>
            <w:r>
              <w:rPr>
                <w:rFonts w:ascii="Times New Roman" w:hAnsi="Times New Roman" w:eastAsia="Times New Roman"/>
                <w:b w:val="0"/>
                <w:sz w:val="13"/>
              </w:rPr>
              <w:t>requested_purpose, authorized_purposes, policy_rule_id</w:t>
            </w:r>
          </w:p>
        </w:tc>
        <w:tc>
          <w:tcPr>
            <w:tcW w:type="dxa" w:w="1872"/>
            <w:vAlign w:val="top"/>
          </w:tcPr>
          <w:p>
            <w:pPr>
              <w:spacing w:after="0"/>
            </w:pPr>
            <w:r/>
            <w:r>
              <w:rPr>
                <w:rFonts w:ascii="Times New Roman" w:hAnsi="Times New Roman" w:eastAsia="Times New Roman"/>
                <w:b w:val="0"/>
                <w:sz w:val="13"/>
              </w:rPr>
              <w:t>TV-02</w:t>
            </w:r>
          </w:p>
        </w:tc>
      </w:tr>
      <w:tr>
        <w:tc>
          <w:tcPr>
            <w:tcW w:type="dxa" w:w="1872"/>
            <w:vAlign w:val="top"/>
          </w:tcPr>
          <w:p>
            <w:pPr>
              <w:spacing w:after="0"/>
            </w:pPr>
            <w:r/>
            <w:r>
              <w:rPr>
                <w:rFonts w:ascii="Times New Roman" w:hAnsi="Times New Roman" w:eastAsia="Times New Roman"/>
                <w:b w:val="0"/>
                <w:sz w:val="13"/>
              </w:rPr>
              <w:t>EIT-R3</w:t>
            </w:r>
          </w:p>
        </w:tc>
        <w:tc>
          <w:tcPr>
            <w:tcW w:type="dxa" w:w="1872"/>
            <w:vAlign w:val="top"/>
          </w:tcPr>
          <w:p>
            <w:pPr>
              <w:spacing w:after="0"/>
            </w:pPr>
            <w:r/>
            <w:r>
              <w:rPr>
                <w:rFonts w:ascii="Times New Roman" w:hAnsi="Times New Roman" w:eastAsia="Times New Roman"/>
                <w:b w:val="0"/>
                <w:sz w:val="13"/>
              </w:rPr>
              <w:t>Governance-relevant event occurs.</w:t>
            </w:r>
          </w:p>
        </w:tc>
        <w:tc>
          <w:tcPr>
            <w:tcW w:type="dxa" w:w="1872"/>
            <w:vAlign w:val="top"/>
          </w:tcPr>
          <w:p>
            <w:pPr>
              <w:spacing w:after="0"/>
            </w:pPr>
            <w:r/>
            <w:r>
              <w:rPr>
                <w:rFonts w:ascii="Times New Roman" w:hAnsi="Times New Roman" w:eastAsia="Times New Roman"/>
                <w:b w:val="0"/>
                <w:sz w:val="13"/>
              </w:rPr>
              <w:t>Create LIL record.</w:t>
            </w:r>
          </w:p>
        </w:tc>
        <w:tc>
          <w:tcPr>
            <w:tcW w:type="dxa" w:w="1872"/>
            <w:vAlign w:val="top"/>
          </w:tcPr>
          <w:p>
            <w:pPr>
              <w:spacing w:after="0"/>
            </w:pPr>
            <w:r/>
            <w:r>
              <w:rPr>
                <w:rFonts w:ascii="Times New Roman" w:hAnsi="Times New Roman" w:eastAsia="Times New Roman"/>
                <w:b w:val="0"/>
                <w:sz w:val="13"/>
              </w:rPr>
              <w:t>record_id, timestamp_utc, event_hash</w:t>
            </w:r>
          </w:p>
        </w:tc>
        <w:tc>
          <w:tcPr>
            <w:tcW w:type="dxa" w:w="1872"/>
            <w:vAlign w:val="top"/>
          </w:tcPr>
          <w:p>
            <w:pPr>
              <w:spacing w:after="0"/>
            </w:pPr>
            <w:r/>
            <w:r>
              <w:rPr>
                <w:rFonts w:ascii="Times New Roman" w:hAnsi="Times New Roman" w:eastAsia="Times New Roman"/>
                <w:b w:val="0"/>
                <w:sz w:val="13"/>
              </w:rPr>
              <w:t>TV-03</w:t>
            </w:r>
          </w:p>
        </w:tc>
      </w:tr>
      <w:tr>
        <w:tc>
          <w:tcPr>
            <w:tcW w:type="dxa" w:w="1872"/>
            <w:vAlign w:val="top"/>
          </w:tcPr>
          <w:p>
            <w:pPr>
              <w:spacing w:after="0"/>
            </w:pPr>
            <w:r/>
            <w:r>
              <w:rPr>
                <w:rFonts w:ascii="Times New Roman" w:hAnsi="Times New Roman" w:eastAsia="Times New Roman"/>
                <w:b w:val="0"/>
                <w:sz w:val="13"/>
              </w:rPr>
              <w:t>EIT-R4</w:t>
            </w:r>
          </w:p>
        </w:tc>
        <w:tc>
          <w:tcPr>
            <w:tcW w:type="dxa" w:w="1872"/>
            <w:vAlign w:val="top"/>
          </w:tcPr>
          <w:p>
            <w:pPr>
              <w:spacing w:after="0"/>
            </w:pPr>
            <w:r/>
            <w:r>
              <w:rPr>
                <w:rFonts w:ascii="Times New Roman" w:hAnsi="Times New Roman" w:eastAsia="Times New Roman"/>
                <w:b w:val="0"/>
                <w:sz w:val="13"/>
              </w:rPr>
              <w:t>Prohibited diagnostic inference attempted.</w:t>
            </w:r>
          </w:p>
        </w:tc>
        <w:tc>
          <w:tcPr>
            <w:tcW w:type="dxa" w:w="1872"/>
            <w:vAlign w:val="top"/>
          </w:tcPr>
          <w:p>
            <w:pPr>
              <w:spacing w:after="0"/>
            </w:pPr>
            <w:r/>
            <w:r>
              <w:rPr>
                <w:rFonts w:ascii="Times New Roman" w:hAnsi="Times New Roman" w:eastAsia="Times New Roman"/>
                <w:b w:val="0"/>
                <w:sz w:val="13"/>
              </w:rPr>
              <w:t>Reject TAR signal.</w:t>
            </w:r>
          </w:p>
        </w:tc>
        <w:tc>
          <w:tcPr>
            <w:tcW w:type="dxa" w:w="1872"/>
            <w:vAlign w:val="top"/>
          </w:tcPr>
          <w:p>
            <w:pPr>
              <w:spacing w:after="0"/>
            </w:pPr>
            <w:r/>
            <w:r>
              <w:rPr>
                <w:rFonts w:ascii="Times New Roman" w:hAnsi="Times New Roman" w:eastAsia="Times New Roman"/>
                <w:b w:val="0"/>
                <w:sz w:val="13"/>
              </w:rPr>
              <w:t>signal_type, decision_basis, prohibited_inference_flag</w:t>
            </w:r>
          </w:p>
        </w:tc>
        <w:tc>
          <w:tcPr>
            <w:tcW w:type="dxa" w:w="1872"/>
            <w:vAlign w:val="top"/>
          </w:tcPr>
          <w:p>
            <w:pPr>
              <w:spacing w:after="0"/>
            </w:pPr>
            <w:r/>
            <w:r>
              <w:rPr>
                <w:rFonts w:ascii="Times New Roman" w:hAnsi="Times New Roman" w:eastAsia="Times New Roman"/>
                <w:b w:val="0"/>
                <w:sz w:val="13"/>
              </w:rPr>
              <w:t>TV-04</w:t>
            </w:r>
          </w:p>
        </w:tc>
      </w:tr>
      <w:tr>
        <w:tc>
          <w:tcPr>
            <w:tcW w:type="dxa" w:w="1872"/>
            <w:vAlign w:val="top"/>
          </w:tcPr>
          <w:p>
            <w:pPr>
              <w:spacing w:after="0"/>
            </w:pPr>
            <w:r/>
            <w:r>
              <w:rPr>
                <w:rFonts w:ascii="Times New Roman" w:hAnsi="Times New Roman" w:eastAsia="Times New Roman"/>
                <w:b w:val="0"/>
                <w:sz w:val="13"/>
              </w:rPr>
              <w:t>EIT-R5</w:t>
            </w:r>
          </w:p>
        </w:tc>
        <w:tc>
          <w:tcPr>
            <w:tcW w:type="dxa" w:w="1872"/>
            <w:vAlign w:val="top"/>
          </w:tcPr>
          <w:p>
            <w:pPr>
              <w:spacing w:after="0"/>
            </w:pPr>
            <w:r/>
            <w:r>
              <w:rPr>
                <w:rFonts w:ascii="Times New Roman" w:hAnsi="Times New Roman" w:eastAsia="Times New Roman"/>
                <w:b w:val="0"/>
                <w:sz w:val="13"/>
              </w:rPr>
              <w:t>Trajectory evaluation requested.</w:t>
            </w:r>
          </w:p>
        </w:tc>
        <w:tc>
          <w:tcPr>
            <w:tcW w:type="dxa" w:w="1872"/>
            <w:vAlign w:val="top"/>
          </w:tcPr>
          <w:p>
            <w:pPr>
              <w:spacing w:after="0"/>
            </w:pPr>
            <w:r/>
            <w:r>
              <w:rPr>
                <w:rFonts w:ascii="Times New Roman" w:hAnsi="Times New Roman" w:eastAsia="Times New Roman"/>
                <w:b w:val="0"/>
                <w:sz w:val="13"/>
              </w:rPr>
              <w:t>Restrict analysis to authorized window.</w:t>
            </w:r>
          </w:p>
        </w:tc>
        <w:tc>
          <w:tcPr>
            <w:tcW w:type="dxa" w:w="1872"/>
            <w:vAlign w:val="top"/>
          </w:tcPr>
          <w:p>
            <w:pPr>
              <w:spacing w:after="0"/>
            </w:pPr>
            <w:r/>
            <w:r>
              <w:rPr>
                <w:rFonts w:ascii="Times New Roman" w:hAnsi="Times New Roman" w:eastAsia="Times New Roman"/>
                <w:b w:val="0"/>
                <w:sz w:val="13"/>
              </w:rPr>
              <w:t>source_window, record_count, consent_scope_id</w:t>
            </w:r>
          </w:p>
        </w:tc>
        <w:tc>
          <w:tcPr>
            <w:tcW w:type="dxa" w:w="1872"/>
            <w:vAlign w:val="top"/>
          </w:tcPr>
          <w:p>
            <w:pPr>
              <w:spacing w:after="0"/>
            </w:pPr>
            <w:r/>
            <w:r>
              <w:rPr>
                <w:rFonts w:ascii="Times New Roman" w:hAnsi="Times New Roman" w:eastAsia="Times New Roman"/>
                <w:b w:val="0"/>
                <w:sz w:val="13"/>
              </w:rPr>
              <w:t>TV-05</w:t>
            </w:r>
          </w:p>
        </w:tc>
      </w:tr>
      <w:tr>
        <w:tc>
          <w:tcPr>
            <w:tcW w:type="dxa" w:w="1872"/>
            <w:vAlign w:val="top"/>
          </w:tcPr>
          <w:p>
            <w:pPr>
              <w:spacing w:after="0"/>
            </w:pPr>
            <w:r/>
            <w:r>
              <w:rPr>
                <w:rFonts w:ascii="Times New Roman" w:hAnsi="Times New Roman" w:eastAsia="Times New Roman"/>
                <w:b w:val="0"/>
                <w:sz w:val="13"/>
              </w:rPr>
              <w:t>EIT-R6</w:t>
            </w:r>
          </w:p>
        </w:tc>
        <w:tc>
          <w:tcPr>
            <w:tcW w:type="dxa" w:w="1872"/>
            <w:vAlign w:val="top"/>
          </w:tcPr>
          <w:p>
            <w:pPr>
              <w:spacing w:after="0"/>
            </w:pPr>
            <w:r/>
            <w:r>
              <w:rPr>
                <w:rFonts w:ascii="Times New Roman" w:hAnsi="Times New Roman" w:eastAsia="Times New Roman"/>
                <w:b w:val="0"/>
                <w:sz w:val="13"/>
              </w:rPr>
              <w:t>High or critical severity signal exists.</w:t>
            </w:r>
          </w:p>
        </w:tc>
        <w:tc>
          <w:tcPr>
            <w:tcW w:type="dxa" w:w="1872"/>
            <w:vAlign w:val="top"/>
          </w:tcPr>
          <w:p>
            <w:pPr>
              <w:spacing w:after="0"/>
            </w:pPr>
            <w:r/>
            <w:r>
              <w:rPr>
                <w:rFonts w:ascii="Times New Roman" w:hAnsi="Times New Roman" w:eastAsia="Times New Roman"/>
                <w:b w:val="0"/>
                <w:sz w:val="13"/>
              </w:rPr>
              <w:t>Bind severity to required PDEV response.</w:t>
            </w:r>
          </w:p>
        </w:tc>
        <w:tc>
          <w:tcPr>
            <w:tcW w:type="dxa" w:w="1872"/>
            <w:vAlign w:val="top"/>
          </w:tcPr>
          <w:p>
            <w:pPr>
              <w:spacing w:after="0"/>
            </w:pPr>
            <w:r/>
            <w:r>
              <w:rPr>
                <w:rFonts w:ascii="Times New Roman" w:hAnsi="Times New Roman" w:eastAsia="Times New Roman"/>
                <w:b w:val="0"/>
                <w:sz w:val="13"/>
              </w:rPr>
              <w:t>severity, response_type, linked_signal_id</w:t>
            </w:r>
          </w:p>
        </w:tc>
        <w:tc>
          <w:tcPr>
            <w:tcW w:type="dxa" w:w="1872"/>
            <w:vAlign w:val="top"/>
          </w:tcPr>
          <w:p>
            <w:pPr>
              <w:spacing w:after="0"/>
            </w:pPr>
            <w:r/>
            <w:r>
              <w:rPr>
                <w:rFonts w:ascii="Times New Roman" w:hAnsi="Times New Roman" w:eastAsia="Times New Roman"/>
                <w:b w:val="0"/>
                <w:sz w:val="13"/>
              </w:rPr>
              <w:t>TV-06</w:t>
            </w:r>
          </w:p>
        </w:tc>
      </w:tr>
      <w:tr>
        <w:tc>
          <w:tcPr>
            <w:tcW w:type="dxa" w:w="1872"/>
            <w:vAlign w:val="top"/>
          </w:tcPr>
          <w:p>
            <w:pPr>
              <w:spacing w:after="0"/>
            </w:pPr>
            <w:r/>
            <w:r>
              <w:rPr>
                <w:rFonts w:ascii="Times New Roman" w:hAnsi="Times New Roman" w:eastAsia="Times New Roman"/>
                <w:b w:val="0"/>
                <w:sz w:val="13"/>
              </w:rPr>
              <w:t>EIT-R7</w:t>
            </w:r>
          </w:p>
        </w:tc>
        <w:tc>
          <w:tcPr>
            <w:tcW w:type="dxa" w:w="1872"/>
            <w:vAlign w:val="top"/>
          </w:tcPr>
          <w:p>
            <w:pPr>
              <w:spacing w:after="0"/>
            </w:pPr>
            <w:r/>
            <w:r>
              <w:rPr>
                <w:rFonts w:ascii="Times New Roman" w:hAnsi="Times New Roman" w:eastAsia="Times New Roman"/>
                <w:b w:val="0"/>
                <w:sz w:val="13"/>
              </w:rPr>
              <w:t>Behavior changes using prior context.</w:t>
            </w:r>
          </w:p>
        </w:tc>
        <w:tc>
          <w:tcPr>
            <w:tcW w:type="dxa" w:w="1872"/>
            <w:vAlign w:val="top"/>
          </w:tcPr>
          <w:p>
            <w:pPr>
              <w:spacing w:after="0"/>
            </w:pPr>
            <w:r/>
            <w:r>
              <w:rPr>
                <w:rFonts w:ascii="Times New Roman" w:hAnsi="Times New Roman" w:eastAsia="Times New Roman"/>
                <w:b w:val="0"/>
                <w:sz w:val="13"/>
              </w:rPr>
              <w:t>Generate user-facing disclosure.</w:t>
            </w:r>
          </w:p>
        </w:tc>
        <w:tc>
          <w:tcPr>
            <w:tcW w:type="dxa" w:w="1872"/>
            <w:vAlign w:val="top"/>
          </w:tcPr>
          <w:p>
            <w:pPr>
              <w:spacing w:after="0"/>
            </w:pPr>
            <w:r/>
            <w:r>
              <w:rPr>
                <w:rFonts w:ascii="Times New Roman" w:hAnsi="Times New Roman" w:eastAsia="Times New Roman"/>
                <w:b w:val="0"/>
                <w:sz w:val="13"/>
              </w:rPr>
              <w:t>user_visible_notice, response_id, audit_record_id</w:t>
            </w:r>
          </w:p>
        </w:tc>
        <w:tc>
          <w:tcPr>
            <w:tcW w:type="dxa" w:w="1872"/>
            <w:vAlign w:val="top"/>
          </w:tcPr>
          <w:p>
            <w:pPr>
              <w:spacing w:after="0"/>
            </w:pPr>
            <w:r/>
            <w:r>
              <w:rPr>
                <w:rFonts w:ascii="Times New Roman" w:hAnsi="Times New Roman" w:eastAsia="Times New Roman"/>
                <w:b w:val="0"/>
                <w:sz w:val="13"/>
              </w:rPr>
              <w:t>TV-07</w:t>
            </w:r>
          </w:p>
        </w:tc>
      </w:tr>
      <w:tr>
        <w:tc>
          <w:tcPr>
            <w:tcW w:type="dxa" w:w="1872"/>
            <w:vAlign w:val="top"/>
          </w:tcPr>
          <w:p>
            <w:pPr>
              <w:spacing w:after="0"/>
            </w:pPr>
            <w:r/>
            <w:r>
              <w:rPr>
                <w:rFonts w:ascii="Times New Roman" w:hAnsi="Times New Roman" w:eastAsia="Times New Roman"/>
                <w:b w:val="0"/>
                <w:sz w:val="13"/>
              </w:rPr>
              <w:t>EIT-R8</w:t>
            </w:r>
          </w:p>
        </w:tc>
        <w:tc>
          <w:tcPr>
            <w:tcW w:type="dxa" w:w="1872"/>
            <w:vAlign w:val="top"/>
          </w:tcPr>
          <w:p>
            <w:pPr>
              <w:spacing w:after="0"/>
            </w:pPr>
            <w:r/>
            <w:r>
              <w:rPr>
                <w:rFonts w:ascii="Times New Roman" w:hAnsi="Times New Roman" w:eastAsia="Times New Roman"/>
                <w:b w:val="0"/>
                <w:sz w:val="13"/>
              </w:rPr>
              <w:t>Governance record is created.</w:t>
            </w:r>
          </w:p>
        </w:tc>
        <w:tc>
          <w:tcPr>
            <w:tcW w:type="dxa" w:w="1872"/>
            <w:vAlign w:val="top"/>
          </w:tcPr>
          <w:p>
            <w:pPr>
              <w:spacing w:after="0"/>
            </w:pPr>
            <w:r/>
            <w:r>
              <w:rPr>
                <w:rFonts w:ascii="Times New Roman" w:hAnsi="Times New Roman" w:eastAsia="Times New Roman"/>
                <w:b w:val="0"/>
                <w:sz w:val="13"/>
              </w:rPr>
              <w:t>Update audit hash chain.</w:t>
            </w:r>
          </w:p>
        </w:tc>
        <w:tc>
          <w:tcPr>
            <w:tcW w:type="dxa" w:w="1872"/>
            <w:vAlign w:val="top"/>
          </w:tcPr>
          <w:p>
            <w:pPr>
              <w:spacing w:after="0"/>
            </w:pPr>
            <w:r/>
            <w:r>
              <w:rPr>
                <w:rFonts w:ascii="Times New Roman" w:hAnsi="Times New Roman" w:eastAsia="Times New Roman"/>
                <w:b w:val="0"/>
                <w:sz w:val="13"/>
              </w:rPr>
              <w:t>integrity_hash, previous_integrity_hash</w:t>
            </w:r>
          </w:p>
        </w:tc>
        <w:tc>
          <w:tcPr>
            <w:tcW w:type="dxa" w:w="1872"/>
            <w:vAlign w:val="top"/>
          </w:tcPr>
          <w:p>
            <w:pPr>
              <w:spacing w:after="0"/>
            </w:pPr>
            <w:r/>
            <w:r>
              <w:rPr>
                <w:rFonts w:ascii="Times New Roman" w:hAnsi="Times New Roman" w:eastAsia="Times New Roman"/>
                <w:b w:val="0"/>
                <w:sz w:val="13"/>
              </w:rPr>
              <w:t>TV-08</w:t>
            </w:r>
          </w:p>
        </w:tc>
      </w:tr>
      <w:tr>
        <w:tc>
          <w:tcPr>
            <w:tcW w:type="dxa" w:w="1872"/>
            <w:vAlign w:val="top"/>
          </w:tcPr>
          <w:p>
            <w:pPr>
              <w:spacing w:after="0"/>
            </w:pPr>
            <w:r/>
            <w:r>
              <w:rPr>
                <w:rFonts w:ascii="Times New Roman" w:hAnsi="Times New Roman" w:eastAsia="Times New Roman"/>
                <w:b w:val="0"/>
                <w:sz w:val="13"/>
              </w:rPr>
              <w:t>EIT-R9</w:t>
            </w:r>
          </w:p>
        </w:tc>
        <w:tc>
          <w:tcPr>
            <w:tcW w:type="dxa" w:w="1872"/>
            <w:vAlign w:val="top"/>
          </w:tcPr>
          <w:p>
            <w:pPr>
              <w:spacing w:after="0"/>
            </w:pPr>
            <w:r/>
            <w:r>
              <w:rPr>
                <w:rFonts w:ascii="Times New Roman" w:hAnsi="Times New Roman" w:eastAsia="Times New Roman"/>
                <w:b w:val="0"/>
                <w:sz w:val="13"/>
              </w:rPr>
              <w:t>Telemetry requested for prohibited secondary use.</w:t>
            </w:r>
          </w:p>
        </w:tc>
        <w:tc>
          <w:tcPr>
            <w:tcW w:type="dxa" w:w="1872"/>
            <w:vAlign w:val="top"/>
          </w:tcPr>
          <w:p>
            <w:pPr>
              <w:spacing w:after="0"/>
            </w:pPr>
            <w:r/>
            <w:r>
              <w:rPr>
                <w:rFonts w:ascii="Times New Roman" w:hAnsi="Times New Roman" w:eastAsia="Times New Roman"/>
                <w:b w:val="0"/>
                <w:sz w:val="13"/>
              </w:rPr>
              <w:t>Deny request and escalate.</w:t>
            </w:r>
          </w:p>
        </w:tc>
        <w:tc>
          <w:tcPr>
            <w:tcW w:type="dxa" w:w="1872"/>
            <w:vAlign w:val="top"/>
          </w:tcPr>
          <w:p>
            <w:pPr>
              <w:spacing w:after="0"/>
            </w:pPr>
            <w:r/>
            <w:r>
              <w:rPr>
                <w:rFonts w:ascii="Times New Roman" w:hAnsi="Times New Roman" w:eastAsia="Times New Roman"/>
                <w:b w:val="0"/>
                <w:sz w:val="13"/>
              </w:rPr>
              <w:t>requested_use, decision_outcome, review_owner</w:t>
            </w:r>
          </w:p>
        </w:tc>
        <w:tc>
          <w:tcPr>
            <w:tcW w:type="dxa" w:w="1872"/>
            <w:vAlign w:val="top"/>
          </w:tcPr>
          <w:p>
            <w:pPr>
              <w:spacing w:after="0"/>
            </w:pPr>
            <w:r/>
            <w:r>
              <w:rPr>
                <w:rFonts w:ascii="Times New Roman" w:hAnsi="Times New Roman" w:eastAsia="Times New Roman"/>
                <w:b w:val="0"/>
                <w:sz w:val="13"/>
              </w:rPr>
              <w:t>TV-09</w:t>
            </w:r>
          </w:p>
        </w:tc>
      </w:tr>
      <w:tr>
        <w:tc>
          <w:tcPr>
            <w:tcW w:type="dxa" w:w="1872"/>
            <w:vAlign w:val="top"/>
          </w:tcPr>
          <w:p>
            <w:pPr>
              <w:spacing w:after="0"/>
            </w:pPr>
            <w:r/>
            <w:r>
              <w:rPr>
                <w:rFonts w:ascii="Times New Roman" w:hAnsi="Times New Roman" w:eastAsia="Times New Roman"/>
                <w:b w:val="0"/>
                <w:sz w:val="13"/>
              </w:rPr>
              <w:t>EIT-R10</w:t>
            </w:r>
          </w:p>
        </w:tc>
        <w:tc>
          <w:tcPr>
            <w:tcW w:type="dxa" w:w="1872"/>
            <w:vAlign w:val="top"/>
          </w:tcPr>
          <w:p>
            <w:pPr>
              <w:spacing w:after="0"/>
            </w:pPr>
            <w:r/>
            <w:r>
              <w:rPr>
                <w:rFonts w:ascii="Times New Roman" w:hAnsi="Times New Roman" w:eastAsia="Times New Roman"/>
                <w:b w:val="0"/>
                <w:sz w:val="13"/>
              </w:rPr>
              <w:t>Authorized record access request occurs.</w:t>
            </w:r>
          </w:p>
        </w:tc>
        <w:tc>
          <w:tcPr>
            <w:tcW w:type="dxa" w:w="1872"/>
            <w:vAlign w:val="top"/>
          </w:tcPr>
          <w:p>
            <w:pPr>
              <w:spacing w:after="0"/>
            </w:pPr>
            <w:r/>
            <w:r>
              <w:rPr>
                <w:rFonts w:ascii="Times New Roman" w:hAnsi="Times New Roman" w:eastAsia="Times New Roman"/>
                <w:b w:val="0"/>
                <w:sz w:val="13"/>
              </w:rPr>
              <w:t>Export readable and machine-readable record.</w:t>
            </w:r>
          </w:p>
        </w:tc>
        <w:tc>
          <w:tcPr>
            <w:tcW w:type="dxa" w:w="1872"/>
            <w:vAlign w:val="top"/>
          </w:tcPr>
          <w:p>
            <w:pPr>
              <w:spacing w:after="0"/>
            </w:pPr>
            <w:r/>
            <w:r>
              <w:rPr>
                <w:rFonts w:ascii="Times New Roman" w:hAnsi="Times New Roman" w:eastAsia="Times New Roman"/>
                <w:b w:val="0"/>
                <w:sz w:val="13"/>
              </w:rPr>
              <w:t>export_id, linked_records, access_basis</w:t>
            </w:r>
          </w:p>
        </w:tc>
        <w:tc>
          <w:tcPr>
            <w:tcW w:type="dxa" w:w="1872"/>
            <w:vAlign w:val="top"/>
          </w:tcPr>
          <w:p>
            <w:pPr>
              <w:spacing w:after="0"/>
            </w:pPr>
            <w:r/>
            <w:r>
              <w:rPr>
                <w:rFonts w:ascii="Times New Roman" w:hAnsi="Times New Roman" w:eastAsia="Times New Roman"/>
                <w:b w:val="0"/>
                <w:sz w:val="13"/>
              </w:rPr>
              <w:t>TV-10</w:t>
            </w:r>
          </w:p>
        </w:tc>
      </w:tr>
      <w:tr>
        <w:tc>
          <w:tcPr>
            <w:tcW w:type="dxa" w:w="1872"/>
            <w:vAlign w:val="top"/>
          </w:tcPr>
          <w:p>
            <w:pPr>
              <w:spacing w:after="0"/>
            </w:pPr>
            <w:r/>
            <w:r>
              <w:rPr>
                <w:rFonts w:ascii="Times New Roman" w:hAnsi="Times New Roman" w:eastAsia="Times New Roman"/>
                <w:b w:val="0"/>
                <w:sz w:val="13"/>
              </w:rPr>
              <w:t>EIT-R11</w:t>
            </w:r>
          </w:p>
        </w:tc>
        <w:tc>
          <w:tcPr>
            <w:tcW w:type="dxa" w:w="1872"/>
            <w:vAlign w:val="top"/>
          </w:tcPr>
          <w:p>
            <w:pPr>
              <w:spacing w:after="0"/>
            </w:pPr>
            <w:r/>
            <w:r>
              <w:rPr>
                <w:rFonts w:ascii="Times New Roman" w:hAnsi="Times New Roman" w:eastAsia="Times New Roman"/>
                <w:b w:val="0"/>
                <w:sz w:val="13"/>
              </w:rPr>
              <w:t>Retention period expires.</w:t>
            </w:r>
          </w:p>
        </w:tc>
        <w:tc>
          <w:tcPr>
            <w:tcW w:type="dxa" w:w="1872"/>
            <w:vAlign w:val="top"/>
          </w:tcPr>
          <w:p>
            <w:pPr>
              <w:spacing w:after="0"/>
            </w:pPr>
            <w:r/>
            <w:r>
              <w:rPr>
                <w:rFonts w:ascii="Times New Roman" w:hAnsi="Times New Roman" w:eastAsia="Times New Roman"/>
                <w:b w:val="0"/>
                <w:sz w:val="13"/>
              </w:rPr>
              <w:t>Delete or archive according to policy.</w:t>
            </w:r>
          </w:p>
        </w:tc>
        <w:tc>
          <w:tcPr>
            <w:tcW w:type="dxa" w:w="1872"/>
            <w:vAlign w:val="top"/>
          </w:tcPr>
          <w:p>
            <w:pPr>
              <w:spacing w:after="0"/>
            </w:pPr>
            <w:r/>
            <w:r>
              <w:rPr>
                <w:rFonts w:ascii="Times New Roman" w:hAnsi="Times New Roman" w:eastAsia="Times New Roman"/>
                <w:b w:val="0"/>
                <w:sz w:val="13"/>
              </w:rPr>
              <w:t>retention_class, timestamp_utc, deletion_status</w:t>
            </w:r>
          </w:p>
        </w:tc>
        <w:tc>
          <w:tcPr>
            <w:tcW w:type="dxa" w:w="1872"/>
            <w:vAlign w:val="top"/>
          </w:tcPr>
          <w:p>
            <w:pPr>
              <w:spacing w:after="0"/>
            </w:pPr>
            <w:r/>
            <w:r>
              <w:rPr>
                <w:rFonts w:ascii="Times New Roman" w:hAnsi="Times New Roman" w:eastAsia="Times New Roman"/>
                <w:b w:val="0"/>
                <w:sz w:val="13"/>
              </w:rPr>
              <w:t>TV-11</w:t>
            </w:r>
          </w:p>
        </w:tc>
      </w:tr>
      <w:tr>
        <w:tc>
          <w:tcPr>
            <w:tcW w:type="dxa" w:w="1872"/>
            <w:vAlign w:val="top"/>
          </w:tcPr>
          <w:p>
            <w:pPr>
              <w:spacing w:after="0"/>
            </w:pPr>
            <w:r/>
            <w:r>
              <w:rPr>
                <w:rFonts w:ascii="Times New Roman" w:hAnsi="Times New Roman" w:eastAsia="Times New Roman"/>
                <w:b w:val="0"/>
                <w:sz w:val="13"/>
              </w:rPr>
              <w:t>EIT-R12</w:t>
            </w:r>
          </w:p>
        </w:tc>
        <w:tc>
          <w:tcPr>
            <w:tcW w:type="dxa" w:w="1872"/>
            <w:vAlign w:val="top"/>
          </w:tcPr>
          <w:p>
            <w:pPr>
              <w:spacing w:after="0"/>
            </w:pPr>
            <w:r/>
            <w:r>
              <w:rPr>
                <w:rFonts w:ascii="Times New Roman" w:hAnsi="Times New Roman" w:eastAsia="Times New Roman"/>
                <w:b w:val="0"/>
                <w:sz w:val="13"/>
              </w:rPr>
              <w:t>Conformance claim is made.</w:t>
            </w:r>
          </w:p>
        </w:tc>
        <w:tc>
          <w:tcPr>
            <w:tcW w:type="dxa" w:w="1872"/>
            <w:vAlign w:val="top"/>
          </w:tcPr>
          <w:p>
            <w:pPr>
              <w:spacing w:after="0"/>
            </w:pPr>
            <w:r/>
            <w:r>
              <w:rPr>
                <w:rFonts w:ascii="Times New Roman" w:hAnsi="Times New Roman" w:eastAsia="Times New Roman"/>
                <w:b w:val="0"/>
                <w:sz w:val="13"/>
              </w:rPr>
              <w:t>Validate class requirements.</w:t>
            </w:r>
          </w:p>
        </w:tc>
        <w:tc>
          <w:tcPr>
            <w:tcW w:type="dxa" w:w="1872"/>
            <w:vAlign w:val="top"/>
          </w:tcPr>
          <w:p>
            <w:pPr>
              <w:spacing w:after="0"/>
            </w:pPr>
            <w:r/>
            <w:r>
              <w:rPr>
                <w:rFonts w:ascii="Times New Roman" w:hAnsi="Times New Roman" w:eastAsia="Times New Roman"/>
                <w:b w:val="0"/>
                <w:sz w:val="13"/>
              </w:rPr>
              <w:t>conformance_class, test_results, validation_status</w:t>
            </w:r>
          </w:p>
        </w:tc>
        <w:tc>
          <w:tcPr>
            <w:tcW w:type="dxa" w:w="1872"/>
            <w:vAlign w:val="top"/>
          </w:tcPr>
          <w:p>
            <w:pPr>
              <w:spacing w:after="0"/>
            </w:pPr>
            <w:r/>
            <w:r>
              <w:rPr>
                <w:rFonts w:ascii="Times New Roman" w:hAnsi="Times New Roman" w:eastAsia="Times New Roman"/>
                <w:b w:val="0"/>
                <w:sz w:val="13"/>
              </w:rPr>
              <w:t>TV-12</w:t>
            </w:r>
          </w:p>
        </w:tc>
      </w:tr>
    </w:tbl>
    <w:p>
      <w:pPr>
        <w:pStyle w:val="Heading1"/>
        <w:spacing w:line="480" w:lineRule="auto" w:before="240" w:after="0"/>
      </w:pPr>
      <w:r>
        <w:rPr>
          <w:rFonts w:ascii="Times New Roman" w:hAnsi="Times New Roman" w:eastAsia="Times New Roman"/>
          <w:b/>
          <w:sz w:val="24"/>
        </w:rPr>
        <w:t>Appendix D</w:t>
      </w:r>
    </w:p>
    <w:p>
      <w:pPr>
        <w:pStyle w:val="Heading2"/>
        <w:spacing w:line="480" w:lineRule="auto" w:before="120" w:after="0"/>
      </w:pPr>
      <w:r>
        <w:rPr>
          <w:rFonts w:ascii="Times New Roman" w:hAnsi="Times New Roman" w:eastAsia="Times New Roman"/>
          <w:b/>
          <w:sz w:val="24"/>
        </w:rPr>
        <w:t>Test Vectors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val="true"/>
        </w:trPr>
        <w:tc>
          <w:tcPr>
            <w:tcW w:type="dxa" w:w="2340"/>
            <w:shd w:fill="EAEAEA"/>
            <w:vAlign w:val="center"/>
          </w:tcPr>
          <w:p>
            <w:pPr>
              <w:spacing w:after="0"/>
            </w:pPr>
            <w:r/>
            <w:r>
              <w:rPr>
                <w:rFonts w:ascii="Times New Roman" w:hAnsi="Times New Roman" w:eastAsia="Times New Roman"/>
                <w:b/>
                <w:sz w:val="14"/>
              </w:rPr>
              <w:t>Test vector</w:t>
            </w:r>
          </w:p>
        </w:tc>
        <w:tc>
          <w:tcPr>
            <w:tcW w:type="dxa" w:w="2340"/>
            <w:shd w:fill="EAEAEA"/>
            <w:vAlign w:val="center"/>
          </w:tcPr>
          <w:p>
            <w:pPr>
              <w:spacing w:after="0"/>
            </w:pPr>
            <w:r/>
            <w:r>
              <w:rPr>
                <w:rFonts w:ascii="Times New Roman" w:hAnsi="Times New Roman" w:eastAsia="Times New Roman"/>
                <w:b/>
                <w:sz w:val="14"/>
              </w:rPr>
              <w:t>Scenario</w:t>
            </w:r>
          </w:p>
        </w:tc>
        <w:tc>
          <w:tcPr>
            <w:tcW w:type="dxa" w:w="2340"/>
            <w:shd w:fill="EAEAEA"/>
            <w:vAlign w:val="center"/>
          </w:tcPr>
          <w:p>
            <w:pPr>
              <w:spacing w:after="0"/>
            </w:pPr>
            <w:r/>
            <w:r>
              <w:rPr>
                <w:rFonts w:ascii="Times New Roman" w:hAnsi="Times New Roman" w:eastAsia="Times New Roman"/>
                <w:b/>
                <w:sz w:val="14"/>
              </w:rPr>
              <w:t>Input condition</w:t>
            </w:r>
          </w:p>
        </w:tc>
        <w:tc>
          <w:tcPr>
            <w:tcW w:type="dxa" w:w="2340"/>
            <w:shd w:fill="EAEAEA"/>
            <w:vAlign w:val="center"/>
          </w:tcPr>
          <w:p>
            <w:pPr>
              <w:spacing w:after="0"/>
            </w:pPr>
            <w:r/>
            <w:r>
              <w:rPr>
                <w:rFonts w:ascii="Times New Roman" w:hAnsi="Times New Roman" w:eastAsia="Times New Roman"/>
                <w:b/>
                <w:sz w:val="14"/>
              </w:rPr>
              <w:t>Expected output</w:t>
            </w:r>
          </w:p>
        </w:tc>
      </w:tr>
      <w:tr>
        <w:tc>
          <w:tcPr>
            <w:tcW w:type="dxa" w:w="2340"/>
            <w:vAlign w:val="top"/>
          </w:tcPr>
          <w:p>
            <w:pPr>
              <w:spacing w:after="0"/>
            </w:pPr>
            <w:r/>
            <w:r>
              <w:rPr>
                <w:rFonts w:ascii="Times New Roman" w:hAnsi="Times New Roman" w:eastAsia="Times New Roman"/>
                <w:b w:val="0"/>
                <w:sz w:val="14"/>
              </w:rPr>
              <w:t>TV-01</w:t>
            </w:r>
          </w:p>
        </w:tc>
        <w:tc>
          <w:tcPr>
            <w:tcW w:type="dxa" w:w="2340"/>
            <w:vAlign w:val="top"/>
          </w:tcPr>
          <w:p>
            <w:pPr>
              <w:spacing w:after="0"/>
            </w:pPr>
            <w:r/>
            <w:r>
              <w:rPr>
                <w:rFonts w:ascii="Times New Roman" w:hAnsi="Times New Roman" w:eastAsia="Times New Roman"/>
                <w:b w:val="0"/>
                <w:sz w:val="14"/>
              </w:rPr>
              <w:t>No active consent scope.</w:t>
            </w:r>
          </w:p>
        </w:tc>
        <w:tc>
          <w:tcPr>
            <w:tcW w:type="dxa" w:w="2340"/>
            <w:vAlign w:val="top"/>
          </w:tcPr>
          <w:p>
            <w:pPr>
              <w:spacing w:after="0"/>
            </w:pPr>
            <w:r/>
            <w:r>
              <w:rPr>
                <w:rFonts w:ascii="Times New Roman" w:hAnsi="Times New Roman" w:eastAsia="Times New Roman"/>
                <w:b w:val="0"/>
                <w:sz w:val="14"/>
              </w:rPr>
              <w:t>Interaction event requests longitudinal processing.</w:t>
            </w:r>
          </w:p>
        </w:tc>
        <w:tc>
          <w:tcPr>
            <w:tcW w:type="dxa" w:w="2340"/>
            <w:vAlign w:val="top"/>
          </w:tcPr>
          <w:p>
            <w:pPr>
              <w:spacing w:after="0"/>
            </w:pPr>
            <w:r/>
            <w:r>
              <w:rPr>
                <w:rFonts w:ascii="Times New Roman" w:hAnsi="Times New Roman" w:eastAsia="Times New Roman"/>
                <w:b w:val="0"/>
                <w:sz w:val="14"/>
              </w:rPr>
              <w:t>Processing denied; consent exception audit created.</w:t>
            </w:r>
          </w:p>
        </w:tc>
      </w:tr>
      <w:tr>
        <w:tc>
          <w:tcPr>
            <w:tcW w:type="dxa" w:w="2340"/>
            <w:vAlign w:val="top"/>
          </w:tcPr>
          <w:p>
            <w:pPr>
              <w:spacing w:after="0"/>
            </w:pPr>
            <w:r/>
            <w:r>
              <w:rPr>
                <w:rFonts w:ascii="Times New Roman" w:hAnsi="Times New Roman" w:eastAsia="Times New Roman"/>
                <w:b w:val="0"/>
                <w:sz w:val="14"/>
              </w:rPr>
              <w:t>TV-02</w:t>
            </w:r>
          </w:p>
        </w:tc>
        <w:tc>
          <w:tcPr>
            <w:tcW w:type="dxa" w:w="2340"/>
            <w:vAlign w:val="top"/>
          </w:tcPr>
          <w:p>
            <w:pPr>
              <w:spacing w:after="0"/>
            </w:pPr>
            <w:r/>
            <w:r>
              <w:rPr>
                <w:rFonts w:ascii="Times New Roman" w:hAnsi="Times New Roman" w:eastAsia="Times New Roman"/>
                <w:b w:val="0"/>
                <w:sz w:val="14"/>
              </w:rPr>
              <w:t>Consent allows continuity support only.</w:t>
            </w:r>
          </w:p>
        </w:tc>
        <w:tc>
          <w:tcPr>
            <w:tcW w:type="dxa" w:w="2340"/>
            <w:vAlign w:val="top"/>
          </w:tcPr>
          <w:p>
            <w:pPr>
              <w:spacing w:after="0"/>
            </w:pPr>
            <w:r/>
            <w:r>
              <w:rPr>
                <w:rFonts w:ascii="Times New Roman" w:hAnsi="Times New Roman" w:eastAsia="Times New Roman"/>
                <w:b w:val="0"/>
                <w:sz w:val="14"/>
              </w:rPr>
              <w:t>Telemetry requested for behavioral ranking.</w:t>
            </w:r>
          </w:p>
        </w:tc>
        <w:tc>
          <w:tcPr>
            <w:tcW w:type="dxa" w:w="2340"/>
            <w:vAlign w:val="top"/>
          </w:tcPr>
          <w:p>
            <w:pPr>
              <w:spacing w:after="0"/>
            </w:pPr>
            <w:r/>
            <w:r>
              <w:rPr>
                <w:rFonts w:ascii="Times New Roman" w:hAnsi="Times New Roman" w:eastAsia="Times New Roman"/>
                <w:b w:val="0"/>
                <w:sz w:val="14"/>
              </w:rPr>
              <w:t>Processing denied; prohibited purpose audit created.</w:t>
            </w:r>
          </w:p>
        </w:tc>
      </w:tr>
      <w:tr>
        <w:tc>
          <w:tcPr>
            <w:tcW w:type="dxa" w:w="2340"/>
            <w:vAlign w:val="top"/>
          </w:tcPr>
          <w:p>
            <w:pPr>
              <w:spacing w:after="0"/>
            </w:pPr>
            <w:r/>
            <w:r>
              <w:rPr>
                <w:rFonts w:ascii="Times New Roman" w:hAnsi="Times New Roman" w:eastAsia="Times New Roman"/>
                <w:b w:val="0"/>
                <w:sz w:val="14"/>
              </w:rPr>
              <w:t>TV-03</w:t>
            </w:r>
          </w:p>
        </w:tc>
        <w:tc>
          <w:tcPr>
            <w:tcW w:type="dxa" w:w="2340"/>
            <w:vAlign w:val="top"/>
          </w:tcPr>
          <w:p>
            <w:pPr>
              <w:spacing w:after="0"/>
            </w:pPr>
            <w:r/>
            <w:r>
              <w:rPr>
                <w:rFonts w:ascii="Times New Roman" w:hAnsi="Times New Roman" w:eastAsia="Times New Roman"/>
                <w:b w:val="0"/>
                <w:sz w:val="14"/>
              </w:rPr>
              <w:t>Valid consent and governance event.</w:t>
            </w:r>
          </w:p>
        </w:tc>
        <w:tc>
          <w:tcPr>
            <w:tcW w:type="dxa" w:w="2340"/>
            <w:vAlign w:val="top"/>
          </w:tcPr>
          <w:p>
            <w:pPr>
              <w:spacing w:after="0"/>
            </w:pPr>
            <w:r/>
            <w:r>
              <w:rPr>
                <w:rFonts w:ascii="Times New Roman" w:hAnsi="Times New Roman" w:eastAsia="Times New Roman"/>
                <w:b w:val="0"/>
                <w:sz w:val="14"/>
              </w:rPr>
              <w:t>System output creates user contestation event.</w:t>
            </w:r>
          </w:p>
        </w:tc>
        <w:tc>
          <w:tcPr>
            <w:tcW w:type="dxa" w:w="2340"/>
            <w:vAlign w:val="top"/>
          </w:tcPr>
          <w:p>
            <w:pPr>
              <w:spacing w:after="0"/>
            </w:pPr>
            <w:r/>
            <w:r>
              <w:rPr>
                <w:rFonts w:ascii="Times New Roman" w:hAnsi="Times New Roman" w:eastAsia="Times New Roman"/>
                <w:b w:val="0"/>
                <w:sz w:val="14"/>
              </w:rPr>
              <w:t>LIL record created with event hash and consent scope.</w:t>
            </w:r>
          </w:p>
        </w:tc>
      </w:tr>
      <w:tr>
        <w:tc>
          <w:tcPr>
            <w:tcW w:type="dxa" w:w="2340"/>
            <w:vAlign w:val="top"/>
          </w:tcPr>
          <w:p>
            <w:pPr>
              <w:spacing w:after="0"/>
            </w:pPr>
            <w:r/>
            <w:r>
              <w:rPr>
                <w:rFonts w:ascii="Times New Roman" w:hAnsi="Times New Roman" w:eastAsia="Times New Roman"/>
                <w:b w:val="0"/>
                <w:sz w:val="14"/>
              </w:rPr>
              <w:t>TV-04</w:t>
            </w:r>
          </w:p>
        </w:tc>
        <w:tc>
          <w:tcPr>
            <w:tcW w:type="dxa" w:w="2340"/>
            <w:vAlign w:val="top"/>
          </w:tcPr>
          <w:p>
            <w:pPr>
              <w:spacing w:after="0"/>
            </w:pPr>
            <w:r/>
            <w:r>
              <w:rPr>
                <w:rFonts w:ascii="Times New Roman" w:hAnsi="Times New Roman" w:eastAsia="Times New Roman"/>
                <w:b w:val="0"/>
                <w:sz w:val="14"/>
              </w:rPr>
              <w:t>Authorized LIL window exists.</w:t>
            </w:r>
          </w:p>
        </w:tc>
        <w:tc>
          <w:tcPr>
            <w:tcW w:type="dxa" w:w="2340"/>
            <w:vAlign w:val="top"/>
          </w:tcPr>
          <w:p>
            <w:pPr>
              <w:spacing w:after="0"/>
            </w:pPr>
            <w:r/>
            <w:r>
              <w:rPr>
                <w:rFonts w:ascii="Times New Roman" w:hAnsi="Times New Roman" w:eastAsia="Times New Roman"/>
                <w:b w:val="0"/>
                <w:sz w:val="14"/>
              </w:rPr>
              <w:t>TAR rule attempts to label user vulnerability.</w:t>
            </w:r>
          </w:p>
        </w:tc>
        <w:tc>
          <w:tcPr>
            <w:tcW w:type="dxa" w:w="2340"/>
            <w:vAlign w:val="top"/>
          </w:tcPr>
          <w:p>
            <w:pPr>
              <w:spacing w:after="0"/>
            </w:pPr>
            <w:r/>
            <w:r>
              <w:rPr>
                <w:rFonts w:ascii="Times New Roman" w:hAnsi="Times New Roman" w:eastAsia="Times New Roman"/>
                <w:b w:val="0"/>
                <w:sz w:val="14"/>
              </w:rPr>
              <w:t>Signal rejected; policy review escalation created.</w:t>
            </w:r>
          </w:p>
        </w:tc>
      </w:tr>
      <w:tr>
        <w:tc>
          <w:tcPr>
            <w:tcW w:type="dxa" w:w="2340"/>
            <w:vAlign w:val="top"/>
          </w:tcPr>
          <w:p>
            <w:pPr>
              <w:spacing w:after="0"/>
            </w:pPr>
            <w:r/>
            <w:r>
              <w:rPr>
                <w:rFonts w:ascii="Times New Roman" w:hAnsi="Times New Roman" w:eastAsia="Times New Roman"/>
                <w:b w:val="0"/>
                <w:sz w:val="14"/>
              </w:rPr>
              <w:t>TV-05</w:t>
            </w:r>
          </w:p>
        </w:tc>
        <w:tc>
          <w:tcPr>
            <w:tcW w:type="dxa" w:w="2340"/>
            <w:vAlign w:val="top"/>
          </w:tcPr>
          <w:p>
            <w:pPr>
              <w:spacing w:after="0"/>
            </w:pPr>
            <w:r/>
            <w:r>
              <w:rPr>
                <w:rFonts w:ascii="Times New Roman" w:hAnsi="Times New Roman" w:eastAsia="Times New Roman"/>
                <w:b w:val="0"/>
                <w:sz w:val="14"/>
              </w:rPr>
              <w:t>Valid consent window is seven days.</w:t>
            </w:r>
          </w:p>
        </w:tc>
        <w:tc>
          <w:tcPr>
            <w:tcW w:type="dxa" w:w="2340"/>
            <w:vAlign w:val="top"/>
          </w:tcPr>
          <w:p>
            <w:pPr>
              <w:spacing w:after="0"/>
            </w:pPr>
            <w:r/>
            <w:r>
              <w:rPr>
                <w:rFonts w:ascii="Times New Roman" w:hAnsi="Times New Roman" w:eastAsia="Times New Roman"/>
                <w:b w:val="0"/>
                <w:sz w:val="14"/>
              </w:rPr>
              <w:t>TAR attempts to include older events.</w:t>
            </w:r>
          </w:p>
        </w:tc>
        <w:tc>
          <w:tcPr>
            <w:tcW w:type="dxa" w:w="2340"/>
            <w:vAlign w:val="top"/>
          </w:tcPr>
          <w:p>
            <w:pPr>
              <w:spacing w:after="0"/>
            </w:pPr>
            <w:r/>
            <w:r>
              <w:rPr>
                <w:rFonts w:ascii="Times New Roman" w:hAnsi="Times New Roman" w:eastAsia="Times New Roman"/>
                <w:b w:val="0"/>
                <w:sz w:val="14"/>
              </w:rPr>
              <w:t>Older records excluded; boundary reduction audited.</w:t>
            </w:r>
          </w:p>
        </w:tc>
      </w:tr>
      <w:tr>
        <w:tc>
          <w:tcPr>
            <w:tcW w:type="dxa" w:w="2340"/>
            <w:vAlign w:val="top"/>
          </w:tcPr>
          <w:p>
            <w:pPr>
              <w:spacing w:after="0"/>
            </w:pPr>
            <w:r/>
            <w:r>
              <w:rPr>
                <w:rFonts w:ascii="Times New Roman" w:hAnsi="Times New Roman" w:eastAsia="Times New Roman"/>
                <w:b w:val="0"/>
                <w:sz w:val="14"/>
              </w:rPr>
              <w:t>TV-06</w:t>
            </w:r>
          </w:p>
        </w:tc>
        <w:tc>
          <w:tcPr>
            <w:tcW w:type="dxa" w:w="2340"/>
            <w:vAlign w:val="top"/>
          </w:tcPr>
          <w:p>
            <w:pPr>
              <w:spacing w:after="0"/>
            </w:pPr>
            <w:r/>
            <w:r>
              <w:rPr>
                <w:rFonts w:ascii="Times New Roman" w:hAnsi="Times New Roman" w:eastAsia="Times New Roman"/>
                <w:b w:val="0"/>
                <w:sz w:val="14"/>
              </w:rPr>
              <w:t>High severity unresolved error pattern.</w:t>
            </w:r>
          </w:p>
        </w:tc>
        <w:tc>
          <w:tcPr>
            <w:tcW w:type="dxa" w:w="2340"/>
            <w:vAlign w:val="top"/>
          </w:tcPr>
          <w:p>
            <w:pPr>
              <w:spacing w:after="0"/>
            </w:pPr>
            <w:r/>
            <w:r>
              <w:rPr>
                <w:rFonts w:ascii="Times New Roman" w:hAnsi="Times New Roman" w:eastAsia="Times New Roman"/>
                <w:b w:val="0"/>
                <w:sz w:val="14"/>
              </w:rPr>
              <w:t>Three unresolved task blockages within authorized window.</w:t>
            </w:r>
          </w:p>
        </w:tc>
        <w:tc>
          <w:tcPr>
            <w:tcW w:type="dxa" w:w="2340"/>
            <w:vAlign w:val="top"/>
          </w:tcPr>
          <w:p>
            <w:pPr>
              <w:spacing w:after="0"/>
            </w:pPr>
            <w:r/>
            <w:r>
              <w:rPr>
                <w:rFonts w:ascii="Times New Roman" w:hAnsi="Times New Roman" w:eastAsia="Times New Roman"/>
                <w:b w:val="0"/>
                <w:sz w:val="14"/>
              </w:rPr>
              <w:t>PDEV response selects disclosure and human review.</w:t>
            </w:r>
          </w:p>
        </w:tc>
      </w:tr>
      <w:tr>
        <w:tc>
          <w:tcPr>
            <w:tcW w:type="dxa" w:w="2340"/>
            <w:vAlign w:val="top"/>
          </w:tcPr>
          <w:p>
            <w:pPr>
              <w:spacing w:after="0"/>
            </w:pPr>
            <w:r/>
            <w:r>
              <w:rPr>
                <w:rFonts w:ascii="Times New Roman" w:hAnsi="Times New Roman" w:eastAsia="Times New Roman"/>
                <w:b w:val="0"/>
                <w:sz w:val="14"/>
              </w:rPr>
              <w:t>TV-07</w:t>
            </w:r>
          </w:p>
        </w:tc>
        <w:tc>
          <w:tcPr>
            <w:tcW w:type="dxa" w:w="2340"/>
            <w:vAlign w:val="top"/>
          </w:tcPr>
          <w:p>
            <w:pPr>
              <w:spacing w:after="0"/>
            </w:pPr>
            <w:r/>
            <w:r>
              <w:rPr>
                <w:rFonts w:ascii="Times New Roman" w:hAnsi="Times New Roman" w:eastAsia="Times New Roman"/>
                <w:b w:val="0"/>
                <w:sz w:val="14"/>
              </w:rPr>
              <w:t>System changes answer strategy using prior context.</w:t>
            </w:r>
          </w:p>
        </w:tc>
        <w:tc>
          <w:tcPr>
            <w:tcW w:type="dxa" w:w="2340"/>
            <w:vAlign w:val="top"/>
          </w:tcPr>
          <w:p>
            <w:pPr>
              <w:spacing w:after="0"/>
            </w:pPr>
            <w:r/>
            <w:r>
              <w:rPr>
                <w:rFonts w:ascii="Times New Roman" w:hAnsi="Times New Roman" w:eastAsia="Times New Roman"/>
                <w:b w:val="0"/>
                <w:sz w:val="14"/>
              </w:rPr>
              <w:t>User receives adapted response.</w:t>
            </w:r>
          </w:p>
        </w:tc>
        <w:tc>
          <w:tcPr>
            <w:tcW w:type="dxa" w:w="2340"/>
            <w:vAlign w:val="top"/>
          </w:tcPr>
          <w:p>
            <w:pPr>
              <w:spacing w:after="0"/>
            </w:pPr>
            <w:r/>
            <w:r>
              <w:rPr>
                <w:rFonts w:ascii="Times New Roman" w:hAnsi="Times New Roman" w:eastAsia="Times New Roman"/>
                <w:b w:val="0"/>
                <w:sz w:val="14"/>
              </w:rPr>
              <w:t>Plain-language adaptive disclosure shown.</w:t>
            </w:r>
          </w:p>
        </w:tc>
      </w:tr>
      <w:tr>
        <w:tc>
          <w:tcPr>
            <w:tcW w:type="dxa" w:w="2340"/>
            <w:vAlign w:val="top"/>
          </w:tcPr>
          <w:p>
            <w:pPr>
              <w:spacing w:after="0"/>
            </w:pPr>
            <w:r/>
            <w:r>
              <w:rPr>
                <w:rFonts w:ascii="Times New Roman" w:hAnsi="Times New Roman" w:eastAsia="Times New Roman"/>
                <w:b w:val="0"/>
                <w:sz w:val="14"/>
              </w:rPr>
              <w:t>TV-08</w:t>
            </w:r>
          </w:p>
        </w:tc>
        <w:tc>
          <w:tcPr>
            <w:tcW w:type="dxa" w:w="2340"/>
            <w:vAlign w:val="top"/>
          </w:tcPr>
          <w:p>
            <w:pPr>
              <w:spacing w:after="0"/>
            </w:pPr>
            <w:r/>
            <w:r>
              <w:rPr>
                <w:rFonts w:ascii="Times New Roman" w:hAnsi="Times New Roman" w:eastAsia="Times New Roman"/>
                <w:b w:val="0"/>
                <w:sz w:val="14"/>
              </w:rPr>
              <w:t>Audit record created.</w:t>
            </w:r>
          </w:p>
        </w:tc>
        <w:tc>
          <w:tcPr>
            <w:tcW w:type="dxa" w:w="2340"/>
            <w:vAlign w:val="top"/>
          </w:tcPr>
          <w:p>
            <w:pPr>
              <w:spacing w:after="0"/>
            </w:pPr>
            <w:r/>
            <w:r>
              <w:rPr>
                <w:rFonts w:ascii="Times New Roman" w:hAnsi="Times New Roman" w:eastAsia="Times New Roman"/>
                <w:b w:val="0"/>
                <w:sz w:val="14"/>
              </w:rPr>
              <w:t>Record hash chain is updated.</w:t>
            </w:r>
          </w:p>
        </w:tc>
        <w:tc>
          <w:tcPr>
            <w:tcW w:type="dxa" w:w="2340"/>
            <w:vAlign w:val="top"/>
          </w:tcPr>
          <w:p>
            <w:pPr>
              <w:spacing w:after="0"/>
            </w:pPr>
            <w:r/>
            <w:r>
              <w:rPr>
                <w:rFonts w:ascii="Times New Roman" w:hAnsi="Times New Roman" w:eastAsia="Times New Roman"/>
                <w:b w:val="0"/>
                <w:sz w:val="14"/>
              </w:rPr>
              <w:t>Integrity hash and previous hash are present.</w:t>
            </w:r>
          </w:p>
        </w:tc>
      </w:tr>
      <w:tr>
        <w:tc>
          <w:tcPr>
            <w:tcW w:type="dxa" w:w="2340"/>
            <w:vAlign w:val="top"/>
          </w:tcPr>
          <w:p>
            <w:pPr>
              <w:spacing w:after="0"/>
            </w:pPr>
            <w:r/>
            <w:r>
              <w:rPr>
                <w:rFonts w:ascii="Times New Roman" w:hAnsi="Times New Roman" w:eastAsia="Times New Roman"/>
                <w:b w:val="0"/>
                <w:sz w:val="14"/>
              </w:rPr>
              <w:t>TV-09</w:t>
            </w:r>
          </w:p>
        </w:tc>
        <w:tc>
          <w:tcPr>
            <w:tcW w:type="dxa" w:w="2340"/>
            <w:vAlign w:val="top"/>
          </w:tcPr>
          <w:p>
            <w:pPr>
              <w:spacing w:after="0"/>
            </w:pPr>
            <w:r/>
            <w:r>
              <w:rPr>
                <w:rFonts w:ascii="Times New Roman" w:hAnsi="Times New Roman" w:eastAsia="Times New Roman"/>
                <w:b w:val="0"/>
                <w:sz w:val="14"/>
              </w:rPr>
              <w:t>Internal service requests EIT records for advertising.</w:t>
            </w:r>
          </w:p>
        </w:tc>
        <w:tc>
          <w:tcPr>
            <w:tcW w:type="dxa" w:w="2340"/>
            <w:vAlign w:val="top"/>
          </w:tcPr>
          <w:p>
            <w:pPr>
              <w:spacing w:after="0"/>
            </w:pPr>
            <w:r/>
            <w:r>
              <w:rPr>
                <w:rFonts w:ascii="Times New Roman" w:hAnsi="Times New Roman" w:eastAsia="Times New Roman"/>
                <w:b w:val="0"/>
                <w:sz w:val="14"/>
              </w:rPr>
              <w:t>Request enters telemetry service.</w:t>
            </w:r>
          </w:p>
        </w:tc>
        <w:tc>
          <w:tcPr>
            <w:tcW w:type="dxa" w:w="2340"/>
            <w:vAlign w:val="top"/>
          </w:tcPr>
          <w:p>
            <w:pPr>
              <w:spacing w:after="0"/>
            </w:pPr>
            <w:r/>
            <w:r>
              <w:rPr>
                <w:rFonts w:ascii="Times New Roman" w:hAnsi="Times New Roman" w:eastAsia="Times New Roman"/>
                <w:b w:val="0"/>
                <w:sz w:val="14"/>
              </w:rPr>
              <w:t>Request denied; compliance review triggered.</w:t>
            </w:r>
          </w:p>
        </w:tc>
      </w:tr>
      <w:tr>
        <w:tc>
          <w:tcPr>
            <w:tcW w:type="dxa" w:w="2340"/>
            <w:vAlign w:val="top"/>
          </w:tcPr>
          <w:p>
            <w:pPr>
              <w:spacing w:after="0"/>
            </w:pPr>
            <w:r/>
            <w:r>
              <w:rPr>
                <w:rFonts w:ascii="Times New Roman" w:hAnsi="Times New Roman" w:eastAsia="Times New Roman"/>
                <w:b w:val="0"/>
                <w:sz w:val="14"/>
              </w:rPr>
              <w:t>TV-10</w:t>
            </w:r>
          </w:p>
        </w:tc>
        <w:tc>
          <w:tcPr>
            <w:tcW w:type="dxa" w:w="2340"/>
            <w:vAlign w:val="top"/>
          </w:tcPr>
          <w:p>
            <w:pPr>
              <w:spacing w:after="0"/>
            </w:pPr>
            <w:r/>
            <w:r>
              <w:rPr>
                <w:rFonts w:ascii="Times New Roman" w:hAnsi="Times New Roman" w:eastAsia="Times New Roman"/>
                <w:b w:val="0"/>
                <w:sz w:val="14"/>
              </w:rPr>
              <w:t>User requests governance record export.</w:t>
            </w:r>
          </w:p>
        </w:tc>
        <w:tc>
          <w:tcPr>
            <w:tcW w:type="dxa" w:w="2340"/>
            <w:vAlign w:val="top"/>
          </w:tcPr>
          <w:p>
            <w:pPr>
              <w:spacing w:after="0"/>
            </w:pPr>
            <w:r/>
            <w:r>
              <w:rPr>
                <w:rFonts w:ascii="Times New Roman" w:hAnsi="Times New Roman" w:eastAsia="Times New Roman"/>
                <w:b w:val="0"/>
                <w:sz w:val="14"/>
              </w:rPr>
              <w:t>Records affect user-facing treatment.</w:t>
            </w:r>
          </w:p>
        </w:tc>
        <w:tc>
          <w:tcPr>
            <w:tcW w:type="dxa" w:w="2340"/>
            <w:vAlign w:val="top"/>
          </w:tcPr>
          <w:p>
            <w:pPr>
              <w:spacing w:after="0"/>
            </w:pPr>
            <w:r/>
            <w:r>
              <w:rPr>
                <w:rFonts w:ascii="Times New Roman" w:hAnsi="Times New Roman" w:eastAsia="Times New Roman"/>
                <w:b w:val="0"/>
                <w:sz w:val="14"/>
              </w:rPr>
              <w:t>Readable and machine-readable export generated.</w:t>
            </w:r>
          </w:p>
        </w:tc>
      </w:tr>
    </w:tbl>
    <w:p>
      <w:pPr>
        <w:pStyle w:val="Heading1"/>
        <w:spacing w:line="480" w:lineRule="auto" w:before="240" w:after="0"/>
      </w:pPr>
      <w:r>
        <w:rPr>
          <w:rFonts w:ascii="Times New Roman" w:hAnsi="Times New Roman" w:eastAsia="Times New Roman"/>
          <w:b/>
          <w:sz w:val="24"/>
        </w:rPr>
        <w:t>Appendix E</w:t>
      </w:r>
    </w:p>
    <w:p>
      <w:pPr>
        <w:pStyle w:val="Heading2"/>
        <w:spacing w:line="480" w:lineRule="auto" w:before="120" w:after="0"/>
      </w:pPr>
      <w:r>
        <w:rPr>
          <w:rFonts w:ascii="Times New Roman" w:hAnsi="Times New Roman" w:eastAsia="Times New Roman"/>
          <w:b/>
          <w:sz w:val="24"/>
        </w:rPr>
        <w:t>Data Minimization and Non-Use Clause</w:t>
      </w:r>
    </w:p>
    <w:p>
      <w:pPr>
        <w:spacing w:line="480" w:lineRule="auto" w:after="0"/>
        <w:ind w:firstLine="720"/>
      </w:pPr>
      <w:r>
        <w:rPr>
          <w:rFonts w:ascii="Times New Roman" w:hAnsi="Times New Roman" w:eastAsia="Times New Roman"/>
          <w:sz w:val="24"/>
        </w:rPr>
        <w:t>EIT records must be limited to governance-relevant evidence. Systems should avoid storing full interaction content when a bounded event summary, event type, timestamp, consent scope identifier, and integrity hash are sufficient for traceability. When full content is required for dispute resolution or institutional review, the record must be assigned a retention class and access control level.</w:t>
      </w:r>
    </w:p>
    <w:p>
      <w:pPr>
        <w:spacing w:line="480" w:lineRule="auto" w:after="0"/>
        <w:ind w:firstLine="720"/>
      </w:pPr>
      <w:r>
        <w:rPr>
          <w:rFonts w:ascii="Times New Roman" w:hAnsi="Times New Roman" w:eastAsia="Times New Roman"/>
          <w:sz w:val="24"/>
        </w:rPr>
        <w:t>EIT telemetry must not be used for advertising, commercial ranking, behavioral targeting, psychological profiling, manipulation optimization, or unrelated personalization. This clause is not optional. It preserves the distinction between governance telemetry and exploitation telemetry. An implementation that uses EIT records for secondary targeting should not be described as EIT-compliant.</w:t>
      </w:r>
    </w:p>
    <w:p>
      <w:pPr>
        <w:pStyle w:val="Heading1"/>
        <w:spacing w:line="480" w:lineRule="auto" w:before="240" w:after="0"/>
      </w:pPr>
      <w:r>
        <w:rPr>
          <w:rFonts w:ascii="Times New Roman" w:hAnsi="Times New Roman" w:eastAsia="Times New Roman"/>
          <w:b/>
          <w:sz w:val="24"/>
        </w:rPr>
        <w:t>Appendix F</w:t>
      </w:r>
    </w:p>
    <w:p>
      <w:pPr>
        <w:pStyle w:val="Heading2"/>
        <w:spacing w:line="480" w:lineRule="auto" w:before="120" w:after="0"/>
      </w:pPr>
      <w:r>
        <w:rPr>
          <w:rFonts w:ascii="Times New Roman" w:hAnsi="Times New Roman" w:eastAsia="Times New Roman"/>
          <w:b/>
          <w:sz w:val="24"/>
        </w:rPr>
        <w:t>Submission Readiness Checklist</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blHeader w:val="true"/>
        </w:trPr>
        <w:tc>
          <w:tcPr>
            <w:tcW w:type="dxa" w:w="4680"/>
            <w:shd w:fill="EAEAEA"/>
            <w:vAlign w:val="center"/>
          </w:tcPr>
          <w:p>
            <w:pPr>
              <w:spacing w:after="0"/>
            </w:pPr>
            <w:r/>
            <w:r>
              <w:rPr>
                <w:rFonts w:ascii="Times New Roman" w:hAnsi="Times New Roman" w:eastAsia="Times New Roman"/>
                <w:b/>
                <w:sz w:val="17"/>
              </w:rPr>
              <w:t>Requirement</w:t>
            </w:r>
          </w:p>
        </w:tc>
        <w:tc>
          <w:tcPr>
            <w:tcW w:type="dxa" w:w="4680"/>
            <w:shd w:fill="EAEAEA"/>
            <w:vAlign w:val="center"/>
          </w:tcPr>
          <w:p>
            <w:pPr>
              <w:spacing w:after="0"/>
            </w:pPr>
            <w:r/>
            <w:r>
              <w:rPr>
                <w:rFonts w:ascii="Times New Roman" w:hAnsi="Times New Roman" w:eastAsia="Times New Roman"/>
                <w:b/>
                <w:sz w:val="17"/>
              </w:rPr>
              <w:t>Status</w:t>
            </w:r>
          </w:p>
        </w:tc>
      </w:tr>
      <w:tr>
        <w:tc>
          <w:tcPr>
            <w:tcW w:type="dxa" w:w="4680"/>
            <w:vAlign w:val="top"/>
          </w:tcPr>
          <w:p>
            <w:pPr>
              <w:spacing w:after="0"/>
            </w:pPr>
            <w:r/>
            <w:r>
              <w:rPr>
                <w:rFonts w:ascii="Times New Roman" w:hAnsi="Times New Roman" w:eastAsia="Times New Roman"/>
                <w:b w:val="0"/>
                <w:sz w:val="17"/>
              </w:rPr>
              <w:t>Pipeline figure included</w:t>
            </w:r>
          </w:p>
        </w:tc>
        <w:tc>
          <w:tcPr>
            <w:tcW w:type="dxa" w:w="4680"/>
            <w:vAlign w:val="top"/>
          </w:tcPr>
          <w:p>
            <w:pPr>
              <w:spacing w:after="0"/>
            </w:pPr>
            <w:r/>
            <w:r>
              <w:rPr>
                <w:rFonts w:ascii="Times New Roman" w:hAnsi="Times New Roman" w:eastAsia="Times New Roman"/>
                <w:b w:val="0"/>
                <w:sz w:val="17"/>
              </w:rPr>
              <w:t>Complete</w:t>
            </w:r>
          </w:p>
        </w:tc>
      </w:tr>
      <w:tr>
        <w:tc>
          <w:tcPr>
            <w:tcW w:type="dxa" w:w="4680"/>
            <w:vAlign w:val="top"/>
          </w:tcPr>
          <w:p>
            <w:pPr>
              <w:spacing w:after="0"/>
            </w:pPr>
            <w:r/>
            <w:r>
              <w:rPr>
                <w:rFonts w:ascii="Times New Roman" w:hAnsi="Times New Roman" w:eastAsia="Times New Roman"/>
                <w:b w:val="0"/>
                <w:sz w:val="17"/>
              </w:rPr>
              <w:t>References expanded to 20-30 sources</w:t>
            </w:r>
          </w:p>
        </w:tc>
        <w:tc>
          <w:tcPr>
            <w:tcW w:type="dxa" w:w="4680"/>
            <w:vAlign w:val="top"/>
          </w:tcPr>
          <w:p>
            <w:pPr>
              <w:spacing w:after="0"/>
            </w:pPr>
            <w:r/>
            <w:r>
              <w:rPr>
                <w:rFonts w:ascii="Times New Roman" w:hAnsi="Times New Roman" w:eastAsia="Times New Roman"/>
                <w:b w:val="0"/>
                <w:sz w:val="17"/>
              </w:rPr>
              <w:t>Complete</w:t>
            </w:r>
          </w:p>
        </w:tc>
      </w:tr>
      <w:tr>
        <w:tc>
          <w:tcPr>
            <w:tcW w:type="dxa" w:w="4680"/>
            <w:vAlign w:val="top"/>
          </w:tcPr>
          <w:p>
            <w:pPr>
              <w:spacing w:after="0"/>
            </w:pPr>
            <w:r/>
            <w:r>
              <w:rPr>
                <w:rFonts w:ascii="Times New Roman" w:hAnsi="Times New Roman" w:eastAsia="Times New Roman"/>
                <w:b w:val="0"/>
                <w:sz w:val="17"/>
              </w:rPr>
              <w:t>Internal algorithmic auditing literature integrated</w:t>
            </w:r>
          </w:p>
        </w:tc>
        <w:tc>
          <w:tcPr>
            <w:tcW w:type="dxa" w:w="4680"/>
            <w:vAlign w:val="top"/>
          </w:tcPr>
          <w:p>
            <w:pPr>
              <w:spacing w:after="0"/>
            </w:pPr>
            <w:r/>
            <w:r>
              <w:rPr>
                <w:rFonts w:ascii="Times New Roman" w:hAnsi="Times New Roman" w:eastAsia="Times New Roman"/>
                <w:b w:val="0"/>
                <w:sz w:val="17"/>
              </w:rPr>
              <w:t>Complete</w:t>
            </w:r>
          </w:p>
        </w:tc>
      </w:tr>
      <w:tr>
        <w:tc>
          <w:tcPr>
            <w:tcW w:type="dxa" w:w="4680"/>
            <w:vAlign w:val="top"/>
          </w:tcPr>
          <w:p>
            <w:pPr>
              <w:spacing w:after="0"/>
            </w:pPr>
            <w:r/>
            <w:r>
              <w:rPr>
                <w:rFonts w:ascii="Times New Roman" w:hAnsi="Times New Roman" w:eastAsia="Times New Roman"/>
                <w:b w:val="0"/>
                <w:sz w:val="17"/>
              </w:rPr>
              <w:t>Socio-technical infrastructure literature integrated</w:t>
            </w:r>
          </w:p>
        </w:tc>
        <w:tc>
          <w:tcPr>
            <w:tcW w:type="dxa" w:w="4680"/>
            <w:vAlign w:val="top"/>
          </w:tcPr>
          <w:p>
            <w:pPr>
              <w:spacing w:after="0"/>
            </w:pPr>
            <w:r/>
            <w:r>
              <w:rPr>
                <w:rFonts w:ascii="Times New Roman" w:hAnsi="Times New Roman" w:eastAsia="Times New Roman"/>
                <w:b w:val="0"/>
                <w:sz w:val="17"/>
              </w:rPr>
              <w:t>Complete</w:t>
            </w:r>
          </w:p>
        </w:tc>
      </w:tr>
      <w:tr>
        <w:tc>
          <w:tcPr>
            <w:tcW w:type="dxa" w:w="4680"/>
            <w:vAlign w:val="top"/>
          </w:tcPr>
          <w:p>
            <w:pPr>
              <w:spacing w:after="0"/>
            </w:pPr>
            <w:r/>
            <w:r>
              <w:rPr>
                <w:rFonts w:ascii="Times New Roman" w:hAnsi="Times New Roman" w:eastAsia="Times New Roman"/>
                <w:b w:val="0"/>
                <w:sz w:val="17"/>
              </w:rPr>
              <w:t>Limitation section clarifies non-coverage of training data and compute-level risk</w:t>
            </w:r>
          </w:p>
        </w:tc>
        <w:tc>
          <w:tcPr>
            <w:tcW w:type="dxa" w:w="4680"/>
            <w:vAlign w:val="top"/>
          </w:tcPr>
          <w:p>
            <w:pPr>
              <w:spacing w:after="0"/>
            </w:pPr>
            <w:r/>
            <w:r>
              <w:rPr>
                <w:rFonts w:ascii="Times New Roman" w:hAnsi="Times New Roman" w:eastAsia="Times New Roman"/>
                <w:b w:val="0"/>
                <w:sz w:val="17"/>
              </w:rPr>
              <w:t>Complete</w:t>
            </w:r>
          </w:p>
        </w:tc>
      </w:tr>
      <w:tr>
        <w:tc>
          <w:tcPr>
            <w:tcW w:type="dxa" w:w="4680"/>
            <w:vAlign w:val="top"/>
          </w:tcPr>
          <w:p>
            <w:pPr>
              <w:spacing w:after="0"/>
            </w:pPr>
            <w:r/>
            <w:r>
              <w:rPr>
                <w:rFonts w:ascii="Times New Roman" w:hAnsi="Times New Roman" w:eastAsia="Times New Roman"/>
                <w:b w:val="0"/>
                <w:sz w:val="17"/>
              </w:rPr>
              <w:t>Pseudocode included for protocol-level determinism</w:t>
            </w:r>
          </w:p>
        </w:tc>
        <w:tc>
          <w:tcPr>
            <w:tcW w:type="dxa" w:w="4680"/>
            <w:vAlign w:val="top"/>
          </w:tcPr>
          <w:p>
            <w:pPr>
              <w:spacing w:after="0"/>
            </w:pPr>
            <w:r/>
            <w:r>
              <w:rPr>
                <w:rFonts w:ascii="Times New Roman" w:hAnsi="Times New Roman" w:eastAsia="Times New Roman"/>
                <w:b w:val="0"/>
                <w:sz w:val="17"/>
              </w:rPr>
              <w:t>Complete</w:t>
            </w:r>
          </w:p>
        </w:tc>
      </w:tr>
      <w:tr>
        <w:tc>
          <w:tcPr>
            <w:tcW w:type="dxa" w:w="4680"/>
            <w:vAlign w:val="top"/>
          </w:tcPr>
          <w:p>
            <w:pPr>
              <w:spacing w:after="0"/>
            </w:pPr>
            <w:r/>
            <w:r>
              <w:rPr>
                <w:rFonts w:ascii="Times New Roman" w:hAnsi="Times New Roman" w:eastAsia="Times New Roman"/>
                <w:b w:val="0"/>
                <w:sz w:val="17"/>
              </w:rPr>
              <w:t>Schema examples included and bundled as JSON files</w:t>
            </w:r>
          </w:p>
        </w:tc>
        <w:tc>
          <w:tcPr>
            <w:tcW w:type="dxa" w:w="4680"/>
            <w:vAlign w:val="top"/>
          </w:tcPr>
          <w:p>
            <w:pPr>
              <w:spacing w:after="0"/>
            </w:pPr>
            <w:r/>
            <w:r>
              <w:rPr>
                <w:rFonts w:ascii="Times New Roman" w:hAnsi="Times New Roman" w:eastAsia="Times New Roman"/>
                <w:b w:val="0"/>
                <w:sz w:val="17"/>
              </w:rPr>
              <w:t>Complete</w:t>
            </w:r>
          </w:p>
        </w:tc>
      </w:tr>
      <w:tr>
        <w:tc>
          <w:tcPr>
            <w:tcW w:type="dxa" w:w="4680"/>
            <w:vAlign w:val="top"/>
          </w:tcPr>
          <w:p>
            <w:pPr>
              <w:spacing w:after="0"/>
            </w:pPr>
            <w:r/>
            <w:r>
              <w:rPr>
                <w:rFonts w:ascii="Times New Roman" w:hAnsi="Times New Roman" w:eastAsia="Times New Roman"/>
                <w:b w:val="0"/>
                <w:sz w:val="17"/>
              </w:rPr>
              <w:t>Audit traceability matrix included</w:t>
            </w:r>
          </w:p>
        </w:tc>
        <w:tc>
          <w:tcPr>
            <w:tcW w:type="dxa" w:w="4680"/>
            <w:vAlign w:val="top"/>
          </w:tcPr>
          <w:p>
            <w:pPr>
              <w:spacing w:after="0"/>
            </w:pPr>
            <w:r/>
            <w:r>
              <w:rPr>
                <w:rFonts w:ascii="Times New Roman" w:hAnsi="Times New Roman" w:eastAsia="Times New Roman"/>
                <w:b w:val="0"/>
                <w:sz w:val="17"/>
              </w:rPr>
              <w:t>Complete</w:t>
            </w:r>
          </w:p>
        </w:tc>
      </w:tr>
      <w:tr>
        <w:tc>
          <w:tcPr>
            <w:tcW w:type="dxa" w:w="4680"/>
            <w:vAlign w:val="top"/>
          </w:tcPr>
          <w:p>
            <w:pPr>
              <w:spacing w:after="0"/>
            </w:pPr>
            <w:r/>
            <w:r>
              <w:rPr>
                <w:rFonts w:ascii="Times New Roman" w:hAnsi="Times New Roman" w:eastAsia="Times New Roman"/>
                <w:b w:val="0"/>
                <w:sz w:val="17"/>
              </w:rPr>
              <w:t>Test vectors included</w:t>
            </w:r>
          </w:p>
        </w:tc>
        <w:tc>
          <w:tcPr>
            <w:tcW w:type="dxa" w:w="4680"/>
            <w:vAlign w:val="top"/>
          </w:tcPr>
          <w:p>
            <w:pPr>
              <w:spacing w:after="0"/>
            </w:pPr>
            <w:r/>
            <w:r>
              <w:rPr>
                <w:rFonts w:ascii="Times New Roman" w:hAnsi="Times New Roman" w:eastAsia="Times New Roman"/>
                <w:b w:val="0"/>
                <w:sz w:val="17"/>
              </w:rPr>
              <w:t>Complete</w:t>
            </w:r>
          </w:p>
        </w:tc>
      </w:tr>
      <w:tr>
        <w:tc>
          <w:tcPr>
            <w:tcW w:type="dxa" w:w="4680"/>
            <w:vAlign w:val="top"/>
          </w:tcPr>
          <w:p>
            <w:pPr>
              <w:spacing w:after="0"/>
            </w:pPr>
            <w:r/>
            <w:r>
              <w:rPr>
                <w:rFonts w:ascii="Times New Roman" w:hAnsi="Times New Roman" w:eastAsia="Times New Roman"/>
                <w:b w:val="0"/>
                <w:sz w:val="17"/>
              </w:rPr>
              <w:t>No unresolved placeholders</w:t>
            </w:r>
          </w:p>
        </w:tc>
        <w:tc>
          <w:tcPr>
            <w:tcW w:type="dxa" w:w="4680"/>
            <w:vAlign w:val="top"/>
          </w:tcPr>
          <w:p>
            <w:pPr>
              <w:spacing w:after="0"/>
            </w:pPr>
            <w:r/>
            <w:r>
              <w:rPr>
                <w:rFonts w:ascii="Times New Roman" w:hAnsi="Times New Roman" w:eastAsia="Times New Roman"/>
                <w:b w:val="0"/>
                <w:sz w:val="17"/>
              </w:rPr>
              <w:t>Complete</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