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720" w:after="480"/>
        <w:jc w:val="center"/>
      </w:pPr>
      <w:r>
        <w:rPr>
          <w:rFonts w:ascii="Times New Roman" w:hAnsi="Times New Roman"/>
          <w:b/>
          <w:sz w:val="28"/>
        </w:rPr>
        <w:t>DEVELOPMENT OF A TRUST-DRIVEN LOCAL ON-DEMAND ARTISAN AND SERVICE MARKETPLACE FOR GHANA (FIX IT MARKETPLACE)</w:t>
      </w:r>
    </w:p>
    <w:p>
      <w:pPr>
        <w:spacing w:line="276" w:lineRule="auto" w:before="800" w:after="240"/>
        <w:jc w:val="center"/>
      </w:pPr>
      <w:r>
        <w:rPr>
          <w:rFonts w:ascii="Times New Roman" w:hAnsi="Times New Roman"/>
          <w:b/>
          <w:sz w:val="24"/>
        </w:rPr>
        <w:t>BY</w:t>
        <w:br/>
        <w:br/>
        <w:t>EMMANUEL OPOKU NYAME</w:t>
        <w:br/>
        <w:t>(BSc. Computer Science)</w:t>
      </w:r>
    </w:p>
    <w:p>
      <w:pPr>
        <w:spacing w:line="276" w:lineRule="auto" w:before="1200" w:after="240"/>
        <w:jc w:val="center"/>
      </w:pPr>
      <w:r>
        <w:rPr>
          <w:rFonts w:ascii="Times New Roman" w:hAnsi="Times New Roman"/>
          <w:sz w:val="24"/>
        </w:rPr>
        <w:t>A Thesis Submitted to the Department of Computer Science,</w:t>
        <w:br/>
        <w:t>Faculty of Physical and Computational Sciences, College of Science</w:t>
        <w:br/>
        <w:t>in Partial Fulfilment of the Requirements for the Award of the Degree of</w:t>
        <w:br/>
        <w:br/>
        <w:t>BACHELOR OF SCIENCE IN COMPUTER SCIENCE</w:t>
      </w:r>
    </w:p>
    <w:p>
      <w:pPr>
        <w:spacing w:line="276" w:lineRule="auto" w:before="1400" w:after="0"/>
        <w:jc w:val="center"/>
      </w:pPr>
      <w:r>
        <w:rPr>
          <w:rFonts w:ascii="Times New Roman" w:hAnsi="Times New Roman"/>
          <w:b/>
          <w:sz w:val="24"/>
        </w:rPr>
        <w:t>KWAME NKRUMAH UNIVERSITY OF SCIENCE AND TECHNOLOGY, KUMASI</w:t>
        <w:br/>
        <w:br/>
        <w:t>SEPTEMBER, 2026</w:t>
      </w:r>
    </w:p>
    <w:p>
      <w:pPr>
        <w:sectPr>
          <w:pgSz w:w="11906" w:h="16838"/>
          <w:pgMar w:top="1417" w:right="1417" w:bottom="1417" w:left="2268" w:header="720" w:footer="720" w:gutter="0"/>
          <w:cols w:space="720"/>
          <w:titlePg/>
          <w:docGrid w:linePitch="360"/>
          <w:pgNumType w:fmt="lowerRoman" w:start="1"/>
        </w:sectPr>
      </w:pPr>
    </w:p>
    <w:p>
      <w:pPr>
        <w:spacing w:line="276" w:lineRule="auto" w:before="360" w:after="240"/>
        <w:jc w:val="center"/>
      </w:pPr>
      <w:r>
        <w:rPr>
          <w:rFonts w:ascii="Times New Roman" w:hAnsi="Times New Roman"/>
          <w:b/>
          <w:sz w:val="28"/>
        </w:rPr>
        <w:t>DECLARATION</w:t>
      </w:r>
    </w:p>
    <w:p>
      <w:pPr>
        <w:spacing w:line="480" w:lineRule="auto" w:before="0" w:after="0"/>
      </w:pPr>
    </w:p>
    <w:p>
      <w:pPr>
        <w:spacing w:line="480" w:lineRule="auto" w:before="0" w:after="240"/>
        <w:ind w:firstLine="0"/>
        <w:jc w:val="both"/>
      </w:pPr>
      <w:r>
        <w:rPr>
          <w:rFonts w:ascii="Times New Roman" w:hAnsi="Times New Roman"/>
          <w:sz w:val="24"/>
        </w:rPr>
        <w:t>I hereby declare that this submission is my own work towards the award of the Bachelor of Science degree in Computer Science, and that, to the best of my knowledge, it contains no material previously published by another person nor material which has been accepted for the award of any other degree of the University or any other institution, except where due acknowledgment has been made in the text.</w:t>
      </w:r>
    </w:p>
    <w:p>
      <w:pPr>
        <w:spacing w:line="480" w:lineRule="auto" w:before="0" w:after="240"/>
        <w:ind w:firstLine="0"/>
        <w:jc w:val="both"/>
      </w:pPr>
      <w:r>
        <w:rPr>
          <w:rFonts w:ascii="Times New Roman" w:hAnsi="Times New Roman"/>
          <w:sz w:val="24"/>
        </w:rPr>
        <w:t>Student Name &amp; ID: Emmanuel Opoku Nyame (ID: 20220912)</w:t>
        <w:br/>
        <w:t>Signature: ______________________                  Date: September 10, 2026</w:t>
      </w:r>
    </w:p>
    <w:p>
      <w:pPr>
        <w:spacing w:line="480" w:lineRule="auto" w:before="0" w:after="240"/>
        <w:ind w:firstLine="0"/>
        <w:jc w:val="both"/>
      </w:pPr>
      <w:r>
        <w:rPr>
          <w:rFonts w:ascii="Times New Roman" w:hAnsi="Times New Roman"/>
          <w:sz w:val="24"/>
        </w:rPr>
        <w:t>Certified by Supervisor:</w:t>
        <w:br/>
        <w:t>Name: Dr. K. A. Boateng</w:t>
        <w:br/>
        <w:t>Signature: ______________________                  Date: September 10, 2026</w:t>
      </w:r>
    </w:p>
    <w:p>
      <w:pPr>
        <w:spacing w:line="480" w:lineRule="auto" w:before="0" w:after="240"/>
        <w:ind w:firstLine="0"/>
        <w:jc w:val="both"/>
      </w:pPr>
      <w:r>
        <w:rPr>
          <w:rFonts w:ascii="Times New Roman" w:hAnsi="Times New Roman"/>
          <w:sz w:val="24"/>
        </w:rPr>
        <w:t>Certified by Head of Department:</w:t>
        <w:br/>
        <w:t>Name: Prof. J. K. Panford</w:t>
        <w:br/>
        <w:t>Signature: ______________________                  Date: September 10, 2026</w:t>
      </w:r>
    </w:p>
    <w:p>
      <w:r>
        <w:br w:type="page"/>
      </w:r>
    </w:p>
    <w:p>
      <w:pPr>
        <w:spacing w:line="276" w:lineRule="auto" w:before="360" w:after="240"/>
        <w:jc w:val="center"/>
      </w:pPr>
      <w:r>
        <w:rPr>
          <w:rFonts w:ascii="Times New Roman" w:hAnsi="Times New Roman"/>
          <w:b/>
          <w:sz w:val="28"/>
        </w:rPr>
        <w:t>APPROVAL SHEET</w:t>
      </w:r>
    </w:p>
    <w:p>
      <w:pPr>
        <w:spacing w:line="480" w:lineRule="auto" w:before="0" w:after="0"/>
      </w:pPr>
    </w:p>
    <w:p>
      <w:pPr>
        <w:spacing w:line="480" w:lineRule="auto" w:before="0" w:after="240"/>
        <w:ind w:firstLine="0"/>
        <w:jc w:val="both"/>
      </w:pPr>
      <w:r>
        <w:rPr>
          <w:rFonts w:ascii="Times New Roman" w:hAnsi="Times New Roman"/>
          <w:sz w:val="24"/>
        </w:rPr>
        <w:t>This undergraduate thesis entitled 'DEVELOPMENT OF A TRUST-DRIVEN LOCAL ON-DEMAND ARTISAN AND SERVICE MARKETPLACE FOR GHANA (FIX IT MARKETPLACE)' by Emmanuel Opoku Nyame meets the departmental regulations and academic standards governing the award of the Bachelor of Science degree in Computer Science by Kwame Nkrumah University of Science and Technology, Kumasi.</w:t>
      </w:r>
    </w:p>
    <w:p>
      <w:pPr>
        <w:spacing w:line="480" w:lineRule="auto" w:before="0" w:after="240"/>
        <w:ind w:firstLine="0"/>
        <w:jc w:val="both"/>
      </w:pPr>
      <w:r>
        <w:rPr>
          <w:rFonts w:ascii="Times New Roman" w:hAnsi="Times New Roman"/>
          <w:sz w:val="24"/>
        </w:rPr>
        <w:t>Supervisor's Signature: ___________________________        Date: _____________________</w:t>
        <w:br/>
        <w:br/>
        <w:t>Head of Department's Signature: ___________________        Date: _____________________</w:t>
        <w:br/>
        <w:br/>
        <w:t>Internal Examiner's Signature: ____________________        Date: _____________________</w:t>
        <w:br/>
        <w:br/>
        <w:t>External Examiner's Signature: ____________________        Date: _____________________</w:t>
      </w:r>
    </w:p>
    <w:p>
      <w:r>
        <w:br w:type="page"/>
      </w:r>
    </w:p>
    <w:p>
      <w:pPr>
        <w:spacing w:line="276" w:lineRule="auto" w:before="360" w:after="240"/>
        <w:jc w:val="center"/>
      </w:pPr>
      <w:r>
        <w:rPr>
          <w:rFonts w:ascii="Times New Roman" w:hAnsi="Times New Roman"/>
          <w:b/>
          <w:sz w:val="28"/>
        </w:rPr>
        <w:t>DEDICATION</w:t>
      </w:r>
    </w:p>
    <w:p>
      <w:pPr>
        <w:spacing w:line="480" w:lineRule="auto" w:before="0" w:after="0"/>
      </w:pPr>
    </w:p>
    <w:p>
      <w:pPr>
        <w:spacing w:line="480" w:lineRule="auto" w:before="0" w:after="240"/>
        <w:ind w:firstLine="0"/>
        <w:jc w:val="both"/>
      </w:pPr>
      <w:r>
        <w:rPr>
          <w:rFonts w:ascii="Times New Roman" w:hAnsi="Times New Roman"/>
          <w:sz w:val="24"/>
        </w:rPr>
        <w:t>This academic dissertation is humbly dedicated to the Almighty God for His unfailing grace, wisdom, and sustenance throughout this rigorous academic pursuit.</w:t>
      </w:r>
    </w:p>
    <w:p>
      <w:pPr>
        <w:spacing w:line="480" w:lineRule="auto" w:before="0" w:after="240"/>
        <w:ind w:firstLine="0"/>
        <w:jc w:val="both"/>
      </w:pPr>
      <w:r>
        <w:rPr>
          <w:rFonts w:ascii="Times New Roman" w:hAnsi="Times New Roman"/>
          <w:sz w:val="24"/>
        </w:rPr>
        <w:t>To my beloved parents and family, whose unconditional love, financial sacrifices, and continuous prayers laid the foundation for my academic journey; and to the diligent informal artisans across Ghana whose industrious labor inspires this technological innovation.</w:t>
      </w:r>
    </w:p>
    <w:p>
      <w:r>
        <w:br w:type="page"/>
      </w:r>
    </w:p>
    <w:p>
      <w:pPr>
        <w:spacing w:line="276" w:lineRule="auto" w:before="360" w:after="240"/>
        <w:jc w:val="center"/>
      </w:pPr>
      <w:r>
        <w:rPr>
          <w:rFonts w:ascii="Times New Roman" w:hAnsi="Times New Roman"/>
          <w:b/>
          <w:sz w:val="28"/>
        </w:rPr>
        <w:t>ACKNOWLEDGEMENTS</w:t>
      </w:r>
    </w:p>
    <w:p>
      <w:pPr>
        <w:spacing w:line="480" w:lineRule="auto" w:before="0" w:after="0"/>
      </w:pPr>
    </w:p>
    <w:p>
      <w:pPr>
        <w:spacing w:line="480" w:lineRule="auto" w:before="0" w:after="240"/>
        <w:ind w:firstLine="0"/>
        <w:jc w:val="both"/>
      </w:pPr>
      <w:r>
        <w:rPr>
          <w:rFonts w:ascii="Times New Roman" w:hAnsi="Times New Roman"/>
          <w:sz w:val="24"/>
        </w:rPr>
        <w:t>I express my profound gratitude to my project supervisor, Dr. K. A. Boateng, whose intellectual guidance, critical critique, and unwavering encouragement significantly shaped the conceptualization, software engineering rigor, and execution of this work.</w:t>
      </w:r>
    </w:p>
    <w:p>
      <w:pPr>
        <w:spacing w:line="480" w:lineRule="auto" w:before="0" w:after="240"/>
        <w:ind w:firstLine="0"/>
        <w:jc w:val="both"/>
      </w:pPr>
      <w:r>
        <w:rPr>
          <w:rFonts w:ascii="Times New Roman" w:hAnsi="Times New Roman"/>
          <w:sz w:val="24"/>
        </w:rPr>
        <w:t>Special appreciation is extended to the academic faculty and technical staff of the Department of Computer Science, KNUST, for cultivating an inspiring environment of research excellence and practical innovation.</w:t>
      </w:r>
    </w:p>
    <w:p>
      <w:pPr>
        <w:spacing w:line="480" w:lineRule="auto" w:before="0" w:after="240"/>
        <w:ind w:firstLine="0"/>
        <w:jc w:val="both"/>
      </w:pPr>
      <w:r>
        <w:rPr>
          <w:rFonts w:ascii="Times New Roman" w:hAnsi="Times New Roman"/>
          <w:sz w:val="24"/>
        </w:rPr>
        <w:t>I also wish to thank the thirty local artisans and homeowners across the Greater Accra and Ashanti Regions who generously participated in the empirical user interviews, usability testing sessions, and field validation evaluations.</w:t>
      </w:r>
    </w:p>
    <w:p>
      <w:r>
        <w:br w:type="page"/>
      </w:r>
    </w:p>
    <w:p>
      <w:pPr>
        <w:spacing w:line="276" w:lineRule="auto" w:before="360" w:after="240"/>
        <w:jc w:val="center"/>
      </w:pPr>
      <w:r>
        <w:rPr>
          <w:rFonts w:ascii="Times New Roman" w:hAnsi="Times New Roman"/>
          <w:b/>
          <w:sz w:val="28"/>
        </w:rPr>
        <w:t>ABSTRACT</w:t>
      </w:r>
    </w:p>
    <w:p>
      <w:pPr>
        <w:spacing w:line="480" w:lineRule="auto" w:before="0" w:after="0"/>
      </w:pPr>
    </w:p>
    <w:p>
      <w:pPr>
        <w:spacing w:line="480" w:lineRule="auto" w:before="0" w:after="240"/>
        <w:ind w:firstLine="0"/>
        <w:jc w:val="both"/>
      </w:pPr>
      <w:r>
        <w:rPr>
          <w:rFonts w:ascii="Times New Roman" w:hAnsi="Times New Roman"/>
          <w:sz w:val="24"/>
        </w:rPr>
        <w:t>In developing urban economies such as Ghana, the informal artisan and home maintenance sector represents over seventy percent of the non-agricultural labor force. However, transactions within this critical ecosystem remain severely constrained by acute information asymmetry, arbitrary pricing structures, lack of verified credentials, and high transaction friction. Conventional sourcing reliance on localized word-of-mouth networks frequently results in financial loss, poor service execution, and personal safety concerns for domestic consumers, while honest, skilled tradespersons suffer from erratic referral pipelines and stagnant commercial growth.</w:t>
      </w:r>
    </w:p>
    <w:p>
      <w:pPr>
        <w:spacing w:line="480" w:lineRule="auto" w:before="0" w:after="240"/>
        <w:ind w:firstLine="0"/>
        <w:jc w:val="both"/>
      </w:pPr>
      <w:r>
        <w:rPr>
          <w:rFonts w:ascii="Times New Roman" w:hAnsi="Times New Roman"/>
          <w:sz w:val="24"/>
        </w:rPr>
        <w:t>To resolve these structural bottlenecks, this thesis presents the design, engineering, and empirical evaluation of Fix it Marketplace, a high-performance, cloud-native on-demand service ecosystem tailored specifically to the socio-technical dynamics of Ghana. The platform is engineered using a decoupled, reactive architecture comprising Next.js 16 (React 19 App Router), TypeScript, and Tailwind CSS on the presentation tier; Clerk Identity Infrastructure with custom metadata role synchronization on the security tier; and Sanity Headless CMS serving as a distributed real-time Content Lake on the data tier. Operational transactions and stateful booking lifecycles are persisted within a high-concurrency PostgreSQL relational ledger. A distinctive architectural contribution of the system is its hybrid communication bridge, which marries automated web booking lifecycle tracking with instant, internationalized WhatsApp Universal Deep-Linking (+233), directly reflecting local communication habits.</w:t>
      </w:r>
    </w:p>
    <w:p>
      <w:pPr>
        <w:spacing w:line="480" w:lineRule="auto" w:before="0" w:after="240"/>
        <w:ind w:firstLine="0"/>
        <w:jc w:val="both"/>
      </w:pPr>
      <w:r>
        <w:rPr>
          <w:rFonts w:ascii="Times New Roman" w:hAnsi="Times New Roman"/>
          <w:sz w:val="24"/>
        </w:rPr>
        <w:t>Empirical system evaluation conducted across desktop and mobile clients demonstrated exceptional operational responsiveness, achieving a Google Lighthouse Performance score of 98/100, an Accessibility score of 100/100, and sub-1.2-second Largest Contentful Paint (LCP) under constrained 3G/4G network simulations. Furthermore, a formal System Usability Scale (SUS) study conducted with 30 representative Ghanaian participants (15 domestic consumers and 15 independent artisans) yielded a mean usability score of 86.4 (Grade A), signifying superior ease of use, systemic transparency, and mutual trust. Fix it Marketplace establishes a scalable, reproducible technical blueprint for formalizing informal trades across Sub-Saharan Africa.</w:t>
      </w:r>
    </w:p>
    <w:p>
      <w:r>
        <w:br w:type="page"/>
      </w:r>
    </w:p>
    <w:p>
      <w:pPr>
        <w:spacing w:line="276" w:lineRule="auto" w:before="360" w:after="240"/>
        <w:jc w:val="center"/>
      </w:pPr>
      <w:r>
        <w:rPr>
          <w:rFonts w:ascii="Times New Roman" w:hAnsi="Times New Roman"/>
          <w:b/>
          <w:sz w:val="28"/>
        </w:rPr>
        <w:t>TABLE OF CONTENTS</w:t>
      </w:r>
    </w:p>
    <w:p>
      <w:pPr>
        <w:spacing w:line="480" w:lineRule="auto" w:before="0" w:after="0"/>
      </w:pPr>
    </w:p>
    <w:p>
      <w:pPr>
        <w:spacing w:line="276" w:lineRule="auto" w:after="120"/>
      </w:pPr>
      <w:r>
        <w:rPr>
          <w:b/>
        </w:rPr>
        <w:t>Item ......................................................................................................................................... Page</w:t>
      </w:r>
    </w:p>
    <w:p>
      <w:pPr>
        <w:spacing w:line="276" w:lineRule="auto" w:before="20" w:after="40"/>
      </w:pPr>
      <w:r>
        <w:rPr>
          <w:rFonts w:ascii="Times New Roman" w:hAnsi="Times New Roman"/>
          <w:sz w:val="22"/>
        </w:rPr>
        <w:t>Title Page .......................................................................... i</w:t>
      </w:r>
    </w:p>
    <w:p>
      <w:pPr>
        <w:spacing w:line="276" w:lineRule="auto" w:before="20" w:after="40"/>
      </w:pPr>
      <w:r>
        <w:rPr>
          <w:rFonts w:ascii="Times New Roman" w:hAnsi="Times New Roman"/>
          <w:sz w:val="22"/>
        </w:rPr>
        <w:t>Declaration ........................................................................ ii</w:t>
      </w:r>
    </w:p>
    <w:p>
      <w:pPr>
        <w:spacing w:line="276" w:lineRule="auto" w:before="20" w:after="40"/>
      </w:pPr>
      <w:r>
        <w:rPr>
          <w:rFonts w:ascii="Times New Roman" w:hAnsi="Times New Roman"/>
          <w:sz w:val="22"/>
        </w:rPr>
        <w:t>Approval Sheet .................................................................... iii</w:t>
      </w:r>
    </w:p>
    <w:p>
      <w:pPr>
        <w:spacing w:line="276" w:lineRule="auto" w:before="20" w:after="40"/>
      </w:pPr>
      <w:r>
        <w:rPr>
          <w:rFonts w:ascii="Times New Roman" w:hAnsi="Times New Roman"/>
          <w:sz w:val="22"/>
        </w:rPr>
        <w:t>Dedication ......................................................................... iv</w:t>
      </w:r>
    </w:p>
    <w:p>
      <w:pPr>
        <w:spacing w:line="276" w:lineRule="auto" w:before="20" w:after="40"/>
      </w:pPr>
      <w:r>
        <w:rPr>
          <w:rFonts w:ascii="Times New Roman" w:hAnsi="Times New Roman"/>
          <w:sz w:val="22"/>
        </w:rPr>
        <w:t>Acknowledgements .................................................................... v</w:t>
      </w:r>
    </w:p>
    <w:p>
      <w:pPr>
        <w:spacing w:line="276" w:lineRule="auto" w:before="20" w:after="40"/>
      </w:pPr>
      <w:r>
        <w:rPr>
          <w:rFonts w:ascii="Times New Roman" w:hAnsi="Times New Roman"/>
          <w:sz w:val="22"/>
        </w:rPr>
        <w:t>Abstract ........................................................................... vi</w:t>
      </w:r>
    </w:p>
    <w:p>
      <w:pPr>
        <w:spacing w:line="276" w:lineRule="auto" w:before="20" w:after="40"/>
      </w:pPr>
      <w:r>
        <w:rPr>
          <w:rFonts w:ascii="Times New Roman" w:hAnsi="Times New Roman"/>
          <w:sz w:val="22"/>
        </w:rPr>
        <w:t>Table of Contents ................................................................. vii</w:t>
      </w:r>
    </w:p>
    <w:p>
      <w:pPr>
        <w:spacing w:line="276" w:lineRule="auto" w:before="20" w:after="40"/>
      </w:pPr>
      <w:r>
        <w:rPr>
          <w:rFonts w:ascii="Times New Roman" w:hAnsi="Times New Roman"/>
          <w:sz w:val="22"/>
        </w:rPr>
        <w:t>List of Tables ..................................................................... ix</w:t>
      </w:r>
    </w:p>
    <w:p>
      <w:pPr>
        <w:spacing w:line="276" w:lineRule="auto" w:before="20" w:after="40"/>
      </w:pPr>
      <w:r>
        <w:rPr>
          <w:rFonts w:ascii="Times New Roman" w:hAnsi="Times New Roman"/>
          <w:sz w:val="22"/>
        </w:rPr>
        <w:t>List of Figures ..................................................................... x</w:t>
      </w:r>
    </w:p>
    <w:p>
      <w:pPr>
        <w:spacing w:line="276" w:lineRule="auto" w:before="20" w:after="40"/>
      </w:pPr>
      <w:r>
        <w:rPr>
          <w:rFonts w:ascii="Times New Roman" w:hAnsi="Times New Roman"/>
          <w:sz w:val="22"/>
        </w:rPr>
        <w:t>CHAPTER I: INTRODUCTION ............................................................. 1</w:t>
      </w:r>
    </w:p>
    <w:p>
      <w:pPr>
        <w:spacing w:line="276" w:lineRule="auto" w:before="20" w:after="40"/>
      </w:pPr>
      <w:r>
        <w:rPr>
          <w:rFonts w:ascii="Times New Roman" w:hAnsi="Times New Roman"/>
          <w:sz w:val="22"/>
        </w:rPr>
        <w:t xml:space="preserve">  1.1 Background of the Study ....................................................... 1</w:t>
      </w:r>
    </w:p>
    <w:p>
      <w:pPr>
        <w:spacing w:line="276" w:lineRule="auto" w:before="20" w:after="40"/>
      </w:pPr>
      <w:r>
        <w:rPr>
          <w:rFonts w:ascii="Times New Roman" w:hAnsi="Times New Roman"/>
          <w:sz w:val="22"/>
        </w:rPr>
        <w:t xml:space="preserve">  1.2 Problem Statement &amp; Root Cause Analysis ....................................... 3</w:t>
      </w:r>
    </w:p>
    <w:p>
      <w:pPr>
        <w:spacing w:line="276" w:lineRule="auto" w:before="20" w:after="40"/>
      </w:pPr>
      <w:r>
        <w:rPr>
          <w:rFonts w:ascii="Times New Roman" w:hAnsi="Times New Roman"/>
          <w:sz w:val="22"/>
        </w:rPr>
        <w:t xml:space="preserve">  1.3 Research Questions &amp; Hypotheses ............................................... 4</w:t>
      </w:r>
    </w:p>
    <w:p>
      <w:pPr>
        <w:spacing w:line="276" w:lineRule="auto" w:before="20" w:after="40"/>
      </w:pPr>
      <w:r>
        <w:rPr>
          <w:rFonts w:ascii="Times New Roman" w:hAnsi="Times New Roman"/>
          <w:sz w:val="22"/>
        </w:rPr>
        <w:t xml:space="preserve">  1.4 Objectives of the Study ....................................................... 5</w:t>
      </w:r>
    </w:p>
    <w:p>
      <w:pPr>
        <w:spacing w:line="276" w:lineRule="auto" w:before="20" w:after="40"/>
      </w:pPr>
      <w:r>
        <w:rPr>
          <w:rFonts w:ascii="Times New Roman" w:hAnsi="Times New Roman"/>
          <w:sz w:val="22"/>
        </w:rPr>
        <w:t xml:space="preserve">  1.5 Significance &amp; Contributions of the Study ..................................... 6</w:t>
      </w:r>
    </w:p>
    <w:p>
      <w:pPr>
        <w:spacing w:line="276" w:lineRule="auto" w:before="20" w:after="40"/>
      </w:pPr>
      <w:r>
        <w:rPr>
          <w:rFonts w:ascii="Times New Roman" w:hAnsi="Times New Roman"/>
          <w:sz w:val="22"/>
        </w:rPr>
        <w:t xml:space="preserve">  1.6 Scope &amp; Delimitation of Work .................................................. 7</w:t>
      </w:r>
    </w:p>
    <w:p>
      <w:pPr>
        <w:spacing w:line="276" w:lineRule="auto" w:before="20" w:after="40"/>
      </w:pPr>
      <w:r>
        <w:rPr>
          <w:rFonts w:ascii="Times New Roman" w:hAnsi="Times New Roman"/>
          <w:sz w:val="22"/>
        </w:rPr>
        <w:t xml:space="preserve">  1.7 Thesis Organization ........................................................... 8</w:t>
      </w:r>
    </w:p>
    <w:p>
      <w:pPr>
        <w:spacing w:line="276" w:lineRule="auto" w:before="20" w:after="40"/>
      </w:pPr>
      <w:r>
        <w:rPr>
          <w:rFonts w:ascii="Times New Roman" w:hAnsi="Times New Roman"/>
          <w:sz w:val="22"/>
        </w:rPr>
        <w:t>CHAPTER II: LITERATURE REVIEW ....................................................... 9</w:t>
      </w:r>
    </w:p>
    <w:p>
      <w:pPr>
        <w:spacing w:line="276" w:lineRule="auto" w:before="20" w:after="40"/>
      </w:pPr>
      <w:r>
        <w:rPr>
          <w:rFonts w:ascii="Times New Roman" w:hAnsi="Times New Roman"/>
          <w:sz w:val="22"/>
        </w:rPr>
        <w:t xml:space="preserve">  2.1 Theoretical Foundations of Two-Sided Marketplaces ............................. 9</w:t>
      </w:r>
    </w:p>
    <w:p>
      <w:pPr>
        <w:spacing w:line="276" w:lineRule="auto" w:before="20" w:after="40"/>
      </w:pPr>
      <w:r>
        <w:rPr>
          <w:rFonts w:ascii="Times New Roman" w:hAnsi="Times New Roman"/>
          <w:sz w:val="22"/>
        </w:rPr>
        <w:t xml:space="preserve">  2.2 Information Asymmetry, Signaling &amp; Institutional Trust ....................... 11</w:t>
      </w:r>
    </w:p>
    <w:p>
      <w:pPr>
        <w:spacing w:line="276" w:lineRule="auto" w:before="20" w:after="40"/>
      </w:pPr>
      <w:r>
        <w:rPr>
          <w:rFonts w:ascii="Times New Roman" w:hAnsi="Times New Roman"/>
          <w:sz w:val="22"/>
        </w:rPr>
        <w:t xml:space="preserve">  2.3 Technology Acceptance in Emerging African Markets ............................ 13</w:t>
      </w:r>
    </w:p>
    <w:p>
      <w:pPr>
        <w:spacing w:line="276" w:lineRule="auto" w:before="20" w:after="40"/>
      </w:pPr>
      <w:r>
        <w:rPr>
          <w:rFonts w:ascii="Times New Roman" w:hAnsi="Times New Roman"/>
          <w:sz w:val="22"/>
        </w:rPr>
        <w:t xml:space="preserve">  2.4 Comparative Analysis of Global &amp; Regional Service Platforms .................. 14</w:t>
      </w:r>
    </w:p>
    <w:p>
      <w:pPr>
        <w:spacing w:line="276" w:lineRule="auto" w:before="20" w:after="40"/>
      </w:pPr>
      <w:r>
        <w:rPr>
          <w:rFonts w:ascii="Times New Roman" w:hAnsi="Times New Roman"/>
          <w:sz w:val="22"/>
        </w:rPr>
        <w:t xml:space="preserve">  2.5 Architectural Evolution: Jamstack vs Monolithic MVC .......................... 16</w:t>
      </w:r>
    </w:p>
    <w:p>
      <w:pPr>
        <w:spacing w:line="276" w:lineRule="auto" w:before="20" w:after="40"/>
      </w:pPr>
      <w:r>
        <w:rPr>
          <w:rFonts w:ascii="Times New Roman" w:hAnsi="Times New Roman"/>
          <w:sz w:val="22"/>
        </w:rPr>
        <w:t xml:space="preserve">  2.6 The African Technical &amp; Usability Gap ........................................ 17</w:t>
      </w:r>
    </w:p>
    <w:p>
      <w:pPr>
        <w:spacing w:line="276" w:lineRule="auto" w:before="20" w:after="40"/>
      </w:pPr>
      <w:r>
        <w:rPr>
          <w:rFonts w:ascii="Times New Roman" w:hAnsi="Times New Roman"/>
          <w:sz w:val="22"/>
        </w:rPr>
        <w:t>CHAPTER III: SYSTEM METHODOLOGY &amp; ARCHITECTURE ..................................... 18</w:t>
      </w:r>
    </w:p>
    <w:p>
      <w:pPr>
        <w:spacing w:line="276" w:lineRule="auto" w:before="20" w:after="40"/>
      </w:pPr>
      <w:r>
        <w:rPr>
          <w:rFonts w:ascii="Times New Roman" w:hAnsi="Times New Roman"/>
          <w:sz w:val="22"/>
        </w:rPr>
        <w:t xml:space="preserve">  3.1 Software Engineering Methodology ............................................. 18</w:t>
      </w:r>
    </w:p>
    <w:p>
      <w:pPr>
        <w:spacing w:line="276" w:lineRule="auto" w:before="20" w:after="40"/>
      </w:pPr>
      <w:r>
        <w:rPr>
          <w:rFonts w:ascii="Times New Roman" w:hAnsi="Times New Roman"/>
          <w:sz w:val="22"/>
        </w:rPr>
        <w:t xml:space="preserve">  3.2 Comprehensive System Requirements Specification .............................. 19</w:t>
      </w:r>
    </w:p>
    <w:p>
      <w:pPr>
        <w:spacing w:line="276" w:lineRule="auto" w:before="20" w:after="40"/>
      </w:pPr>
      <w:r>
        <w:rPr>
          <w:rFonts w:ascii="Times New Roman" w:hAnsi="Times New Roman"/>
          <w:sz w:val="22"/>
        </w:rPr>
        <w:t xml:space="preserve">  3.3 Multi-Tier Distributed System Architecture ................................... 21</w:t>
      </w:r>
    </w:p>
    <w:p>
      <w:pPr>
        <w:spacing w:line="276" w:lineRule="auto" w:before="20" w:after="40"/>
      </w:pPr>
      <w:r>
        <w:rPr>
          <w:rFonts w:ascii="Times New Roman" w:hAnsi="Times New Roman"/>
          <w:sz w:val="22"/>
        </w:rPr>
        <w:t xml:space="preserve">  3.4 Data Modeling &amp; Schema Design ................................................ 23</w:t>
      </w:r>
    </w:p>
    <w:p>
      <w:pPr>
        <w:spacing w:line="276" w:lineRule="auto" w:before="20" w:after="40"/>
      </w:pPr>
      <w:r>
        <w:rPr>
          <w:rFonts w:ascii="Times New Roman" w:hAnsi="Times New Roman"/>
          <w:sz w:val="22"/>
        </w:rPr>
        <w:t xml:space="preserve">  3.5 Identity, Role-Based Access Control &amp; Security Architecture .................. 24</w:t>
      </w:r>
    </w:p>
    <w:p>
      <w:pPr>
        <w:spacing w:line="276" w:lineRule="auto" w:before="20" w:after="40"/>
      </w:pPr>
      <w:r>
        <w:rPr>
          <w:rFonts w:ascii="Times New Roman" w:hAnsi="Times New Roman"/>
          <w:sz w:val="22"/>
        </w:rPr>
        <w:t xml:space="preserve">  3.6 Provider Matching &amp; Search Ranking Formulations .............................. 25</w:t>
      </w:r>
    </w:p>
    <w:p>
      <w:pPr>
        <w:spacing w:line="276" w:lineRule="auto" w:before="20" w:after="40"/>
      </w:pPr>
      <w:r>
        <w:rPr>
          <w:rFonts w:ascii="Times New Roman" w:hAnsi="Times New Roman"/>
          <w:sz w:val="22"/>
        </w:rPr>
        <w:t xml:space="preserve">  3.7 High-Fidelity Design System &amp; Component Hierarchy ............................ 26</w:t>
      </w:r>
    </w:p>
    <w:p>
      <w:pPr>
        <w:spacing w:line="276" w:lineRule="auto" w:before="20" w:after="40"/>
      </w:pPr>
      <w:r>
        <w:rPr>
          <w:rFonts w:ascii="Times New Roman" w:hAnsi="Times New Roman"/>
          <w:sz w:val="22"/>
        </w:rPr>
        <w:t>CHAPTER IV: IMPLEMENTATION, CONSTRUCTION &amp; DEMONSTRATION ........................... 27</w:t>
      </w:r>
    </w:p>
    <w:p>
      <w:pPr>
        <w:spacing w:line="276" w:lineRule="auto" w:before="20" w:after="40"/>
      </w:pPr>
      <w:r>
        <w:rPr>
          <w:rFonts w:ascii="Times New Roman" w:hAnsi="Times New Roman"/>
          <w:sz w:val="22"/>
        </w:rPr>
        <w:t xml:space="preserve">  4.1 Development Toolchain &amp; Runtime Environment .................................. 27</w:t>
      </w:r>
    </w:p>
    <w:p>
      <w:pPr>
        <w:spacing w:line="276" w:lineRule="auto" w:before="20" w:after="40"/>
      </w:pPr>
      <w:r>
        <w:rPr>
          <w:rFonts w:ascii="Times New Roman" w:hAnsi="Times New Roman"/>
          <w:sz w:val="22"/>
        </w:rPr>
        <w:t xml:space="preserve">  4.2 Client Service Discovery &amp; Booking Construction .............................. 28</w:t>
      </w:r>
    </w:p>
    <w:p>
      <w:pPr>
        <w:spacing w:line="276" w:lineRule="auto" w:before="20" w:after="40"/>
      </w:pPr>
      <w:r>
        <w:rPr>
          <w:rFonts w:ascii="Times New Roman" w:hAnsi="Times New Roman"/>
          <w:sz w:val="22"/>
        </w:rPr>
        <w:t xml:space="preserve">  4.3 Artisan Onboarding &amp; Operational Dashboard Construction ...................... 31</w:t>
      </w:r>
    </w:p>
    <w:p>
      <w:pPr>
        <w:spacing w:line="276" w:lineRule="auto" w:before="20" w:after="40"/>
      </w:pPr>
      <w:r>
        <w:rPr>
          <w:rFonts w:ascii="Times New Roman" w:hAnsi="Times New Roman"/>
          <w:sz w:val="22"/>
        </w:rPr>
        <w:t xml:space="preserve">  4.4 Real-Time WhatsApp Direct Communication Integration .......................... 32</w:t>
      </w:r>
    </w:p>
    <w:p>
      <w:pPr>
        <w:spacing w:line="276" w:lineRule="auto" w:before="20" w:after="40"/>
      </w:pPr>
      <w:r>
        <w:rPr>
          <w:rFonts w:ascii="Times New Roman" w:hAnsi="Times New Roman"/>
          <w:sz w:val="22"/>
        </w:rPr>
        <w:t xml:space="preserve">  4.5 Multi-Stage Quality Assurance &amp; Verification Testing ......................... 33</w:t>
      </w:r>
    </w:p>
    <w:p>
      <w:pPr>
        <w:spacing w:line="276" w:lineRule="auto" w:before="20" w:after="40"/>
      </w:pPr>
      <w:r>
        <w:rPr>
          <w:rFonts w:ascii="Times New Roman" w:hAnsi="Times New Roman"/>
          <w:sz w:val="22"/>
        </w:rPr>
        <w:t xml:space="preserve">  4.6 Security Audits &amp; Vulnerability Mitigations .................................. 34</w:t>
      </w:r>
    </w:p>
    <w:p>
      <w:pPr>
        <w:spacing w:line="276" w:lineRule="auto" w:before="20" w:after="40"/>
      </w:pPr>
      <w:r>
        <w:rPr>
          <w:rFonts w:ascii="Times New Roman" w:hAnsi="Times New Roman"/>
          <w:sz w:val="22"/>
        </w:rPr>
        <w:t>CHAPTER V: EVALUATION, CONCLUSION &amp; RECOMMENDATIONS ................................ 35</w:t>
      </w:r>
    </w:p>
    <w:p>
      <w:pPr>
        <w:spacing w:line="276" w:lineRule="auto" w:before="20" w:after="40"/>
      </w:pPr>
      <w:r>
        <w:rPr>
          <w:rFonts w:ascii="Times New Roman" w:hAnsi="Times New Roman"/>
          <w:sz w:val="22"/>
        </w:rPr>
        <w:t xml:space="preserve">  5.1 Empirical System Performance Benchmarks ...................................... 35</w:t>
      </w:r>
    </w:p>
    <w:p>
      <w:pPr>
        <w:spacing w:line="276" w:lineRule="auto" w:before="20" w:after="40"/>
      </w:pPr>
      <w:r>
        <w:rPr>
          <w:rFonts w:ascii="Times New Roman" w:hAnsi="Times New Roman"/>
          <w:sz w:val="22"/>
        </w:rPr>
        <w:t xml:space="preserve">  5.2 User Experience &amp; Usability Evaluation (SUS Study) ........................... 35</w:t>
      </w:r>
    </w:p>
    <w:p>
      <w:pPr>
        <w:spacing w:line="276" w:lineRule="auto" w:before="20" w:after="40"/>
      </w:pPr>
      <w:r>
        <w:rPr>
          <w:rFonts w:ascii="Times New Roman" w:hAnsi="Times New Roman"/>
          <w:sz w:val="22"/>
        </w:rPr>
        <w:t xml:space="preserve">  5.3 Critical Discussion &amp; Research Synthesis ..................................... 35</w:t>
      </w:r>
    </w:p>
    <w:p>
      <w:pPr>
        <w:spacing w:line="276" w:lineRule="auto" w:before="20" w:after="40"/>
      </w:pPr>
      <w:r>
        <w:rPr>
          <w:rFonts w:ascii="Times New Roman" w:hAnsi="Times New Roman"/>
          <w:sz w:val="22"/>
        </w:rPr>
        <w:t xml:space="preserve">  5.4 Limitations &amp; Technical Debt ................................................. 35</w:t>
      </w:r>
    </w:p>
    <w:p>
      <w:pPr>
        <w:spacing w:line="276" w:lineRule="auto" w:before="20" w:after="40"/>
      </w:pPr>
      <w:r>
        <w:rPr>
          <w:rFonts w:ascii="Times New Roman" w:hAnsi="Times New Roman"/>
          <w:sz w:val="22"/>
        </w:rPr>
        <w:t xml:space="preserve">  5.5 Strategic Recommendations &amp; Future Roadmap ................................... 35</w:t>
      </w:r>
    </w:p>
    <w:p>
      <w:pPr>
        <w:spacing w:line="276" w:lineRule="auto" w:before="20" w:after="40"/>
      </w:pPr>
      <w:r>
        <w:rPr>
          <w:rFonts w:ascii="Times New Roman" w:hAnsi="Times New Roman"/>
          <w:sz w:val="22"/>
        </w:rPr>
        <w:t xml:space="preserve">  5.6 Concluding Summary ........................................................... 35</w:t>
      </w:r>
    </w:p>
    <w:p>
      <w:pPr>
        <w:spacing w:line="276" w:lineRule="auto" w:before="20" w:after="40"/>
      </w:pPr>
      <w:r>
        <w:rPr>
          <w:rFonts w:ascii="Times New Roman" w:hAnsi="Times New Roman"/>
          <w:sz w:val="22"/>
        </w:rPr>
        <w:t>REFERENCES ......................................................................... 36</w:t>
      </w:r>
    </w:p>
    <w:p>
      <w:pPr>
        <w:spacing w:line="276" w:lineRule="auto" w:before="20" w:after="40"/>
      </w:pPr>
      <w:r>
        <w:rPr>
          <w:rFonts w:ascii="Times New Roman" w:hAnsi="Times New Roman"/>
          <w:sz w:val="22"/>
        </w:rPr>
        <w:t>APPENDIX A: Core Source Code Listings &amp; Reproducibility Guide ...................... 38</w:t>
      </w:r>
    </w:p>
    <w:p>
      <w:r>
        <w:br w:type="page"/>
      </w:r>
    </w:p>
    <w:p>
      <w:pPr>
        <w:spacing w:line="276" w:lineRule="auto" w:before="360" w:after="240"/>
        <w:jc w:val="center"/>
      </w:pPr>
      <w:r>
        <w:rPr>
          <w:rFonts w:ascii="Times New Roman" w:hAnsi="Times New Roman"/>
          <w:b/>
          <w:sz w:val="28"/>
        </w:rPr>
        <w:t>LIST OF TABLES</w:t>
      </w:r>
    </w:p>
    <w:p>
      <w:pPr>
        <w:spacing w:line="480" w:lineRule="auto" w:before="0" w:after="0"/>
      </w:pPr>
    </w:p>
    <w:p>
      <w:pPr>
        <w:spacing w:line="276" w:lineRule="auto" w:after="80"/>
      </w:pPr>
      <w:r>
        <w:rPr>
          <w:rFonts w:ascii="Times New Roman" w:hAnsi="Times New Roman"/>
          <w:sz w:val="22"/>
        </w:rPr>
        <w:t>Table 1-1: Key Challenges in Conventional Artisan Hiring in Ghana ................... 3</w:t>
      </w:r>
    </w:p>
    <w:p>
      <w:pPr>
        <w:spacing w:line="276" w:lineRule="auto" w:after="80"/>
      </w:pPr>
      <w:r>
        <w:rPr>
          <w:rFonts w:ascii="Times New Roman" w:hAnsi="Times New Roman"/>
          <w:sz w:val="22"/>
        </w:rPr>
        <w:t>Table 2-1: Comparative Feature Matrix of Global and Regional Service Platforms ..... 15</w:t>
      </w:r>
    </w:p>
    <w:p>
      <w:pPr>
        <w:spacing w:line="276" w:lineRule="auto" w:after="80"/>
      </w:pPr>
      <w:r>
        <w:rPr>
          <w:rFonts w:ascii="Times New Roman" w:hAnsi="Times New Roman"/>
          <w:sz w:val="22"/>
        </w:rPr>
        <w:t>Table 3-1: System Functional Requirements Matrix (FR-01 to FR-12) .................. 20</w:t>
      </w:r>
    </w:p>
    <w:p>
      <w:pPr>
        <w:spacing w:line="276" w:lineRule="auto" w:after="80"/>
      </w:pPr>
      <w:r>
        <w:rPr>
          <w:rFonts w:ascii="Times New Roman" w:hAnsi="Times New Roman"/>
          <w:sz w:val="22"/>
        </w:rPr>
        <w:t>Table 3-2: System Non-Functional Requirements Specification (NFR-01 to NFR-08) ..... 21</w:t>
      </w:r>
    </w:p>
    <w:p>
      <w:pPr>
        <w:spacing w:line="276" w:lineRule="auto" w:after="80"/>
      </w:pPr>
      <w:r>
        <w:rPr>
          <w:rFonts w:ascii="Times New Roman" w:hAnsi="Times New Roman"/>
          <w:sz w:val="22"/>
        </w:rPr>
        <w:t>Table 4-1: Software Technology Stack and Production Dependencies ................... 27</w:t>
      </w:r>
    </w:p>
    <w:p>
      <w:pPr>
        <w:spacing w:line="276" w:lineRule="auto" w:after="80"/>
      </w:pPr>
      <w:r>
        <w:rPr>
          <w:rFonts w:ascii="Times New Roman" w:hAnsi="Times New Roman"/>
          <w:sz w:val="22"/>
        </w:rPr>
        <w:t>Table 4-2: End-to-End Test Execution Matrix and Validation Results ................. 33</w:t>
      </w:r>
    </w:p>
    <w:p>
      <w:pPr>
        <w:spacing w:line="276" w:lineRule="auto" w:after="80"/>
      </w:pPr>
      <w:r>
        <w:rPr>
          <w:rFonts w:ascii="Times New Roman" w:hAnsi="Times New Roman"/>
          <w:sz w:val="22"/>
        </w:rPr>
        <w:t>Table 5-1: Empirical Performance Benchmarking Across Network Profiles .............. 35</w:t>
      </w:r>
    </w:p>
    <w:p>
      <w:pPr>
        <w:spacing w:line="276" w:lineRule="auto" w:after="80"/>
      </w:pPr>
      <w:r>
        <w:rPr>
          <w:rFonts w:ascii="Times New Roman" w:hAnsi="Times New Roman"/>
          <w:sz w:val="22"/>
        </w:rPr>
        <w:t>Table 5-2: System Usability Scale (SUS) Empirical Evaluation Breakdown ............. 35</w:t>
      </w:r>
    </w:p>
    <w:p>
      <w:r>
        <w:br w:type="page"/>
      </w:r>
    </w:p>
    <w:p>
      <w:pPr>
        <w:spacing w:line="276" w:lineRule="auto" w:before="360" w:after="240"/>
        <w:jc w:val="center"/>
      </w:pPr>
      <w:r>
        <w:rPr>
          <w:rFonts w:ascii="Times New Roman" w:hAnsi="Times New Roman"/>
          <w:b/>
          <w:sz w:val="28"/>
        </w:rPr>
        <w:t>LIST OF FIGURES</w:t>
      </w:r>
    </w:p>
    <w:p>
      <w:pPr>
        <w:spacing w:line="480" w:lineRule="auto" w:before="0" w:after="0"/>
      </w:pPr>
    </w:p>
    <w:p>
      <w:pPr>
        <w:spacing w:line="276" w:lineRule="auto" w:after="80"/>
      </w:pPr>
      <w:r>
        <w:rPr>
          <w:rFonts w:ascii="Times New Roman" w:hAnsi="Times New Roman"/>
          <w:sz w:val="22"/>
        </w:rPr>
        <w:t>Figure 3-1: Full-Stack System Architecture Diagram ................................. 22</w:t>
      </w:r>
    </w:p>
    <w:p>
      <w:pPr>
        <w:spacing w:line="276" w:lineRule="auto" w:after="80"/>
      </w:pPr>
      <w:r>
        <w:rPr>
          <w:rFonts w:ascii="Times New Roman" w:hAnsi="Times New Roman"/>
          <w:sz w:val="22"/>
        </w:rPr>
        <w:t>Figure 3-2: Live Fix-It Design System Architecture &amp; Interactive Components ........ 26</w:t>
      </w:r>
    </w:p>
    <w:p>
      <w:pPr>
        <w:spacing w:line="276" w:lineRule="auto" w:after="80"/>
      </w:pPr>
      <w:r>
        <w:rPr>
          <w:rFonts w:ascii="Times New Roman" w:hAnsi="Times New Roman"/>
          <w:sz w:val="22"/>
        </w:rPr>
        <w:t>Figure 4-1: Live Marketplace Homepage &amp; Service Discovery Catalog .................. 28</w:t>
      </w:r>
    </w:p>
    <w:p>
      <w:pPr>
        <w:spacing w:line="276" w:lineRule="auto" w:after="80"/>
      </w:pPr>
      <w:r>
        <w:rPr>
          <w:rFonts w:ascii="Times New Roman" w:hAnsi="Times New Roman"/>
          <w:sz w:val="22"/>
        </w:rPr>
        <w:t>Figure 4-2: Dual-Persona Client &amp; Artisan Role Selection Modal Interface ........... 29</w:t>
      </w:r>
    </w:p>
    <w:p>
      <w:pPr>
        <w:spacing w:line="276" w:lineRule="auto" w:after="80"/>
      </w:pPr>
      <w:r>
        <w:rPr>
          <w:rFonts w:ascii="Times New Roman" w:hAnsi="Times New Roman"/>
          <w:sz w:val="22"/>
        </w:rPr>
        <w:t>Figure 4-3: Personalized Customer Welcome Hub with Service Quick Links ............. 30</w:t>
      </w:r>
    </w:p>
    <w:p>
      <w:pPr>
        <w:spacing w:line="276" w:lineRule="auto" w:after="80"/>
      </w:pPr>
      <w:r>
        <w:rPr>
          <w:rFonts w:ascii="Times New Roman" w:hAnsi="Times New Roman"/>
          <w:sz w:val="22"/>
        </w:rPr>
        <w:t>Figure 4-4: Tiered Service Scope &amp; Pricing Package Selection Matrix ................ 31</w:t>
      </w:r>
    </w:p>
    <w:p>
      <w:pPr>
        <w:spacing w:line="276" w:lineRule="auto" w:after="80"/>
      </w:pPr>
      <w:r>
        <w:rPr>
          <w:rFonts w:ascii="Times New Roman" w:hAnsi="Times New Roman"/>
          <w:sz w:val="22"/>
        </w:rPr>
        <w:t>Figure 4-5: Customer Bookings Management Ledger with Direct WhatsApp Action ........ 32</w:t>
      </w:r>
    </w:p>
    <w:p>
      <w:pPr>
        <w:spacing w:line="276" w:lineRule="auto" w:after="80"/>
      </w:pPr>
      <w:r>
        <w:rPr>
          <w:rFonts w:ascii="Times New Roman" w:hAnsi="Times New Roman"/>
          <w:sz w:val="22"/>
        </w:rPr>
        <w:t>Figure 4-6: Multi-Step Artisan Profile Onboarding Builder Interface ................ 33</w:t>
      </w:r>
    </w:p>
    <w:p>
      <w:pPr>
        <w:spacing w:line="276" w:lineRule="auto" w:after="80"/>
      </w:pPr>
      <w:r>
        <w:rPr>
          <w:rFonts w:ascii="Times New Roman" w:hAnsi="Times New Roman"/>
          <w:sz w:val="22"/>
        </w:rPr>
        <w:t>Figure 4-7: Operational Orders &amp; Dispatch Management Dashboard for Providers ....... 34</w:t>
      </w:r>
    </w:p>
    <w:p>
      <w:pPr>
        <w:sectPr>
          <w:footerReference w:type="default" r:id="rId9"/>
          <w:pgSz w:w="11906" w:h="16838"/>
          <w:pgMar w:top="1417" w:right="1417" w:bottom="1417" w:left="2268" w:header="720" w:footer="720" w:gutter="0"/>
          <w:cols w:space="720"/>
          <w:docGrid w:linePitch="360"/>
          <w:pgNumType w:fmt="lowerRoman" w:start="2"/>
        </w:sectPr>
      </w:pPr>
    </w:p>
    <w:p>
      <w:pPr>
        <w:spacing w:line="276" w:lineRule="auto" w:before="360" w:after="240"/>
        <w:jc w:val="center"/>
      </w:pPr>
      <w:r>
        <w:rPr>
          <w:rFonts w:ascii="Times New Roman" w:hAnsi="Times New Roman"/>
          <w:b/>
          <w:sz w:val="28"/>
        </w:rPr>
        <w:t>CHAPTER I</w:t>
        <w:br/>
        <w:br/>
      </w:r>
      <w:r>
        <w:rPr>
          <w:rFonts w:ascii="Times New Roman" w:hAnsi="Times New Roman"/>
          <w:b/>
          <w:sz w:val="28"/>
        </w:rPr>
        <w:t>INTRODUCTION</w:t>
      </w:r>
    </w:p>
    <w:p>
      <w:pPr>
        <w:spacing w:line="480" w:lineRule="auto" w:before="0" w:after="0"/>
      </w:pPr>
    </w:p>
    <w:p>
      <w:pPr>
        <w:spacing w:line="276" w:lineRule="auto" w:before="280" w:after="120"/>
        <w:jc w:val="left"/>
      </w:pPr>
      <w:r>
        <w:rPr>
          <w:rFonts w:ascii="Times New Roman" w:hAnsi="Times New Roman"/>
          <w:b/>
          <w:sz w:val="24"/>
        </w:rPr>
        <w:t>1.1 Background of the Study</w:t>
      </w:r>
    </w:p>
    <w:p>
      <w:pPr>
        <w:spacing w:line="480" w:lineRule="auto" w:before="0" w:after="240"/>
        <w:ind w:firstLine="0"/>
        <w:jc w:val="both"/>
      </w:pPr>
      <w:r>
        <w:rPr>
          <w:rFonts w:ascii="Times New Roman" w:hAnsi="Times New Roman"/>
          <w:sz w:val="24"/>
        </w:rPr>
        <w:t>Across developing economies, particularly within Sub-Saharan Africa, urban households and commercial enterprises face severe systemic friction when attempting to identify, hire, and coordinate dependable, skilled artisan services. In Ghana, essential technical trades—encompassing residential plumbing, electrical wiring and maintenance, refrigeration and air conditioning repair, masonry, carpentry, decorative painting, and domestic sanitation—form the economic foundation of the national informal labor economy. According to empirical surveys published by the Ghana Statistical Service (GSS), informal micro-enterprises and sole proprietorships account for upwards of seventy-two percent of non-agricultural employment, serving as the dominant vehicle for urban livelihoods.</w:t>
      </w:r>
    </w:p>
    <w:p>
      <w:pPr>
        <w:spacing w:line="480" w:lineRule="auto" w:before="0" w:after="240"/>
        <w:ind w:firstLine="0"/>
        <w:jc w:val="both"/>
      </w:pPr>
      <w:r>
        <w:rPr>
          <w:rFonts w:ascii="Times New Roman" w:hAnsi="Times New Roman"/>
          <w:sz w:val="24"/>
        </w:rPr>
        <w:t>Despite the quantitative ubiquity of skilled artisans throughout metropolitan centers such as the Greater Accra Region, Kumasi, Takoradi, and Tamale, the operational interface between consumers and service providers remains deeply flawed. Historically, the prevailing method for discovering technicians has been informal, localized word-of-mouth referrals. When a plumbing failure occurs or an electrical fault arises, property occupants typically rely on casual inquiries among neighbors, family members, or estate caretakers. While personal recommendations convey an initial sense of familiarity, the referral pipeline is inherently non-standardized, geographically restricted, and structurally prone to severe information asymmetry.</w:t>
      </w:r>
    </w:p>
    <w:p>
      <w:pPr>
        <w:spacing w:line="480" w:lineRule="auto" w:before="0" w:after="240"/>
        <w:ind w:firstLine="0"/>
        <w:jc w:val="both"/>
      </w:pPr>
      <w:r>
        <w:rPr>
          <w:rFonts w:ascii="Times New Roman" w:hAnsi="Times New Roman"/>
          <w:sz w:val="24"/>
        </w:rPr>
        <w:t>Furthermore, domestic consumers operate in an environment devoid of standardized credential verification or transparent performance histories. Unlike formal corporate contractors, independent Ghanaian artisans operate without public portfolio repositories, accredited license registries, or verified customer ratings. As a direct consequence, consumers face significant moral hazard: technicians frequently inflate material costs, demand excessive non-refundable cash deposits, arrive hours after scheduled appointments, or abandon unfinished projects without legal recourse. Conversely, competent and honest tradespeople face equally crippling structural hurdles. Lacking modern digital marketing apparatus, formal scheduling systems, and institutional credibility markers, their commercial livelihood remains erratic, restricted to narrow physical neighborhoods and vulnerable to client payment defaults.</w:t>
      </w:r>
    </w:p>
    <w:p>
      <w:pPr>
        <w:spacing w:line="480" w:lineRule="auto" w:before="0" w:after="240"/>
        <w:ind w:firstLine="0"/>
        <w:jc w:val="both"/>
      </w:pPr>
      <w:r>
        <w:rPr>
          <w:rFonts w:ascii="Times New Roman" w:hAnsi="Times New Roman"/>
          <w:sz w:val="24"/>
        </w:rPr>
        <w:t>Simultaneously, the West African technological landscape has undergone a monumental structural shift over the past decade. Mobile telecommunications penetration in Ghana now exceeds one hundred and thirty percent, underpinned by pervasive 4G/LTE mobile broadband adoption, widespread smartphone ownership, and universal consumer reliance on Mobile Money (MoMo) interoperability. Crucially, over ninety percent of digitally active Ghanaian citizens utilize instant messaging platforms—chiefly WhatsApp—as their primary communication and commerce mechanism. This digital ubiquity presents an unprecedented opportunity to formalize and streamline the artisan economy through custom, culturally calibrated software engineering.</w:t>
      </w:r>
    </w:p>
    <w:p>
      <w:pPr>
        <w:spacing w:line="480" w:lineRule="auto" w:before="0" w:after="240"/>
        <w:ind w:firstLine="0"/>
        <w:jc w:val="both"/>
      </w:pPr>
      <w:r>
        <w:rPr>
          <w:rFonts w:ascii="Times New Roman" w:hAnsi="Times New Roman"/>
          <w:sz w:val="24"/>
        </w:rPr>
        <w:t>This undergraduate dissertation documents the comprehensive engineering, architectural realization, and empirical validation of Fix it Marketplace—an on-demand, trust-driven digital service ecosystem designed specifically to bridge the structural divide between domestic consumers and verified artisans across Ghanaian metropolitan centers.</w:t>
      </w:r>
    </w:p>
    <w:p>
      <w:pPr>
        <w:spacing w:line="276" w:lineRule="auto" w:before="200" w:after="80"/>
        <w:jc w:val="left"/>
      </w:pPr>
      <w:r>
        <w:rPr>
          <w:rFonts w:ascii="Times New Roman" w:hAnsi="Times New Roman"/>
          <w:i/>
          <w:sz w:val="24"/>
        </w:rPr>
        <w:t>1.1.1 Socio-Economic Structure of Informal Trades in Ghana</w:t>
      </w:r>
    </w:p>
    <w:p>
      <w:pPr>
        <w:spacing w:line="480" w:lineRule="auto" w:before="0" w:after="240"/>
        <w:ind w:firstLine="0"/>
        <w:jc w:val="both"/>
      </w:pPr>
      <w:r>
        <w:rPr>
          <w:rFonts w:ascii="Times New Roman" w:hAnsi="Times New Roman"/>
          <w:sz w:val="24"/>
        </w:rPr>
        <w:t>The informal artisanship sector in Ghana is deeply embedded in traditional apprenticeship systems governed by master craftsmen and trade associations such as the Ghana National Association of Garages (GNAG) and the National Drinking Bar and Artisans Council. Apprentices typically undergo three to five years of non-formal, practical training in workshops. While this produces high mechanical skill, it operates largely outside the formal qualifications framework of the National Vocational Training Institute (NVTI) or Commission for Technical and Vocational Education and Training (CTVET). Consequently, artisans lack standardized certification papers that can be verified by contemporary urban property owners, entrenching mistrust and limiting their ability to bid on high-value residential or commercial service contracts.</w:t>
      </w:r>
    </w:p>
    <w:p>
      <w:pPr>
        <w:spacing w:line="480" w:lineRule="auto" w:before="0" w:after="240"/>
        <w:ind w:firstLine="0"/>
        <w:jc w:val="both"/>
      </w:pPr>
      <w:r>
        <w:rPr>
          <w:rFonts w:ascii="Times New Roman" w:hAnsi="Times New Roman"/>
          <w:sz w:val="24"/>
        </w:rPr>
        <w:t>Moreover, demographic shifts across the Greater Accra and Ashanti metropolitan corridors have heightened the urgency for structural formalization. Rapid urban growth, new suburban residential developments, and the expansion of modern real estate complexes require dependable maintenance infrastructure. Without a structured platform like Fix it Marketplace, modern urban homeowners remain alienated from skilled local artisans, resorting to expensive private contracting firms or unverified street-side hiring that exposes homes to security vulnerabilities and craftsmanship defects.</w:t>
      </w:r>
    </w:p>
    <w:p>
      <w:pPr>
        <w:spacing w:line="276" w:lineRule="auto" w:before="200" w:after="80"/>
        <w:jc w:val="left"/>
      </w:pPr>
      <w:r>
        <w:rPr>
          <w:rFonts w:ascii="Times New Roman" w:hAnsi="Times New Roman"/>
          <w:i/>
          <w:sz w:val="24"/>
        </w:rPr>
        <w:t>1.1.2 Telecommunications Leapfrogging and Digital Readiness</w:t>
      </w:r>
    </w:p>
    <w:p>
      <w:pPr>
        <w:spacing w:line="480" w:lineRule="auto" w:before="0" w:after="240"/>
        <w:ind w:firstLine="0"/>
        <w:jc w:val="both"/>
      </w:pPr>
      <w:r>
        <w:rPr>
          <w:rFonts w:ascii="Times New Roman" w:hAnsi="Times New Roman"/>
          <w:sz w:val="24"/>
        </w:rPr>
        <w:t>Ghana's telecommunications sector provides a fertile foundation for digital labor platforms. Data from the National Communications Authority (NCA) indicates over thirty-one million active mobile voice subscriptions, representing a penetration rate above 100%. More significantly, mobile data subscriptions exceed twenty-four million, propelled by affordable Chinese Android smartphones and competitive data pricing from operators such as MTN and Telecel. Mobile Money has dismantled traditional banking barriers, achieving interoperability across all networks and traditional commercial banks through the Ghana Interbank Payment and Settlement Systems (GhIPSS).</w:t>
      </w:r>
    </w:p>
    <w:p>
      <w:pPr>
        <w:spacing w:line="480" w:lineRule="auto" w:before="0" w:after="240"/>
        <w:ind w:firstLine="0"/>
        <w:jc w:val="both"/>
      </w:pPr>
      <w:r>
        <w:rPr>
          <w:rFonts w:ascii="Times New Roman" w:hAnsi="Times New Roman"/>
          <w:sz w:val="24"/>
        </w:rPr>
        <w:t>In this technological ecosystem, Ghanaian tradespeople have demonstrated profound digital agility with instant messaging apps. Artisans actively utilize WhatsApp voice notes, image sharing, and location dropping to conduct informal business. By aligning the Fix it Marketplace architecture with this pre-existing behavioral habit through automated WhatsApp deep-linking, the platform circumvents the steep learning curves that precipitated the failure of earlier Western-style on-demand apps in West Africa.</w:t>
      </w:r>
    </w:p>
    <w:p>
      <w:pPr>
        <w:spacing w:line="276" w:lineRule="auto" w:before="280" w:after="120"/>
        <w:jc w:val="left"/>
      </w:pPr>
      <w:r>
        <w:rPr>
          <w:rFonts w:ascii="Times New Roman" w:hAnsi="Times New Roman"/>
          <w:b/>
          <w:sz w:val="24"/>
        </w:rPr>
        <w:t>1.2 Problem Statement &amp; Root Cause Analysis</w:t>
      </w:r>
    </w:p>
    <w:p>
      <w:pPr>
        <w:spacing w:line="480" w:lineRule="auto" w:before="0" w:after="240"/>
        <w:ind w:firstLine="0"/>
        <w:jc w:val="both"/>
      </w:pPr>
      <w:r>
        <w:rPr>
          <w:rFonts w:ascii="Times New Roman" w:hAnsi="Times New Roman"/>
          <w:sz w:val="24"/>
        </w:rPr>
        <w:t>Although the ongoing digital revolution in Ghana has successfully transformed financial services (via mobile banking), retail trade (via social commerce), and urban transportation (via ride-hailing networks like Bolt and Uber), the on-demand home repair and artisan sector has remained conspicuously unserved by dependable digital infrastructure. Homeowners, commercial tenants, and facility supervisors continually experience profound transactional vulnerabilities, which stem from four primary root causes summarized in Table 1-1.</w:t>
      </w:r>
    </w:p>
    <w:p>
      <w:pPr>
        <w:spacing w:line="276" w:lineRule="auto" w:before="240" w:after="80"/>
      </w:pPr>
      <w:r>
        <w:rPr>
          <w:rFonts w:ascii="Times New Roman" w:hAnsi="Times New Roman"/>
          <w:b/>
          <w:sz w:val="24"/>
        </w:rPr>
        <w:t>Table 1-1: Key Challenges in Conventional Artisan Hiring in Ghana</w:t>
      </w:r>
    </w:p>
    <w:tbl>
      <w:tblPr>
        <w:tblW w:type="auto" w:w="0"/>
        <w:jc w:val="center"/>
        <w:tblLook w:firstColumn="1" w:firstRow="1" w:lastColumn="0" w:lastRow="0" w:noHBand="0" w:noVBand="1" w:val="04A0"/>
      </w:tblPr>
      <w:tblGrid>
        <w:gridCol w:w="2740"/>
        <w:gridCol w:w="2740"/>
        <w:gridCol w:w="2740"/>
      </w:tblGrid>
      <w:tr>
        <w:tc>
          <w:tcPr>
            <w:tcW w:type="dxa" w:w="2740"/>
            <w:tcMar>
              <w:top w:w="80" w:type="dxa"/>
              <w:bottom w:w="80" w:type="dxa"/>
              <w:left w:w="120" w:type="dxa"/>
              <w:right w:w="120" w:type="dxa"/>
            </w:tcMar>
            <w:shd w:fill="E5E7EB"/>
          </w:tcPr>
          <w:p>
            <w:pPr>
              <w:spacing w:line="276" w:lineRule="auto" w:after="40"/>
            </w:pPr>
            <w:r>
              <w:rPr>
                <w:b/>
              </w:rPr>
              <w:t>Dimension</w:t>
            </w:r>
          </w:p>
        </w:tc>
        <w:tc>
          <w:tcPr>
            <w:tcW w:type="dxa" w:w="2740"/>
            <w:tcMar>
              <w:top w:w="80" w:type="dxa"/>
              <w:bottom w:w="80" w:type="dxa"/>
              <w:left w:w="120" w:type="dxa"/>
              <w:right w:w="120" w:type="dxa"/>
            </w:tcMar>
            <w:shd w:fill="E5E7EB"/>
          </w:tcPr>
          <w:p>
            <w:pPr>
              <w:spacing w:line="276" w:lineRule="auto" w:after="40"/>
            </w:pPr>
            <w:r>
              <w:rPr>
                <w:b/>
              </w:rPr>
              <w:t>Conventional Informal Approach</w:t>
            </w:r>
          </w:p>
        </w:tc>
        <w:tc>
          <w:tcPr>
            <w:tcW w:type="dxa" w:w="2740"/>
            <w:tcMar>
              <w:top w:w="80" w:type="dxa"/>
              <w:bottom w:w="80" w:type="dxa"/>
              <w:left w:w="120" w:type="dxa"/>
              <w:right w:w="120" w:type="dxa"/>
            </w:tcMar>
            <w:shd w:fill="E5E7EB"/>
          </w:tcPr>
          <w:p>
            <w:pPr>
              <w:spacing w:line="276" w:lineRule="auto" w:after="40"/>
            </w:pPr>
            <w:r>
              <w:rPr>
                <w:b/>
              </w:rPr>
              <w:t>Fix it Marketplace Solution</w:t>
            </w:r>
          </w:p>
        </w:tc>
      </w:tr>
      <w:tr>
        <w:tc>
          <w:tcPr>
            <w:tcW w:type="dxa" w:w="2740"/>
            <w:tcMar>
              <w:top w:w="80" w:type="dxa"/>
              <w:bottom w:w="80" w:type="dxa"/>
              <w:left w:w="120" w:type="dxa"/>
              <w:right w:w="120" w:type="dxa"/>
            </w:tcMar>
          </w:tcPr>
          <w:p>
            <w:pPr>
              <w:spacing w:line="276" w:lineRule="auto" w:after="40"/>
            </w:pPr>
            <w:r>
              <w:t>Discovery &amp; Sourcing</w:t>
            </w:r>
          </w:p>
        </w:tc>
        <w:tc>
          <w:tcPr>
            <w:tcW w:type="dxa" w:w="2740"/>
            <w:tcMar>
              <w:top w:w="80" w:type="dxa"/>
              <w:bottom w:w="80" w:type="dxa"/>
              <w:left w:w="120" w:type="dxa"/>
              <w:right w:w="120" w:type="dxa"/>
            </w:tcMar>
          </w:tcPr>
          <w:p>
            <w:pPr>
              <w:spacing w:line="276" w:lineRule="auto" w:after="40"/>
            </w:pPr>
            <w:r>
              <w:t>Erratic word-of-mouth recommendations, roadside posters, unverified contacts</w:t>
            </w:r>
          </w:p>
        </w:tc>
        <w:tc>
          <w:tcPr>
            <w:tcW w:type="dxa" w:w="2740"/>
            <w:tcMar>
              <w:top w:w="80" w:type="dxa"/>
              <w:bottom w:w="80" w:type="dxa"/>
              <w:left w:w="120" w:type="dxa"/>
              <w:right w:w="120" w:type="dxa"/>
            </w:tcMar>
          </w:tcPr>
          <w:p>
            <w:pPr>
              <w:spacing w:line="276" w:lineRule="auto" w:after="40"/>
            </w:pPr>
            <w:r>
              <w:t>Categorized, searchable service directory with live location filtering</w:t>
            </w:r>
          </w:p>
        </w:tc>
      </w:tr>
      <w:tr>
        <w:tc>
          <w:tcPr>
            <w:tcW w:type="dxa" w:w="2740"/>
            <w:tcMar>
              <w:top w:w="80" w:type="dxa"/>
              <w:bottom w:w="80" w:type="dxa"/>
              <w:left w:w="120" w:type="dxa"/>
              <w:right w:w="120" w:type="dxa"/>
            </w:tcMar>
          </w:tcPr>
          <w:p>
            <w:pPr>
              <w:spacing w:line="276" w:lineRule="auto" w:after="40"/>
            </w:pPr>
            <w:r>
              <w:t>Pricing Model</w:t>
            </w:r>
          </w:p>
        </w:tc>
        <w:tc>
          <w:tcPr>
            <w:tcW w:type="dxa" w:w="2740"/>
            <w:tcMar>
              <w:top w:w="80" w:type="dxa"/>
              <w:bottom w:w="80" w:type="dxa"/>
              <w:left w:w="120" w:type="dxa"/>
              <w:right w:w="120" w:type="dxa"/>
            </w:tcMar>
          </w:tcPr>
          <w:p>
            <w:pPr>
              <w:spacing w:line="276" w:lineRule="auto" w:after="40"/>
            </w:pPr>
            <w:r>
              <w:t>Arbitrary haggling, unpredictable material markups, hidden fees</w:t>
            </w:r>
          </w:p>
        </w:tc>
        <w:tc>
          <w:tcPr>
            <w:tcW w:type="dxa" w:w="2740"/>
            <w:tcMar>
              <w:top w:w="80" w:type="dxa"/>
              <w:bottom w:w="80" w:type="dxa"/>
              <w:left w:w="120" w:type="dxa"/>
              <w:right w:w="120" w:type="dxa"/>
            </w:tcMar>
          </w:tcPr>
          <w:p>
            <w:pPr>
              <w:spacing w:line="276" w:lineRule="auto" w:after="40"/>
            </w:pPr>
            <w:r>
              <w:t>Fixed package pricing (GHS) with explicit work scope and escrow tracking</w:t>
            </w:r>
          </w:p>
        </w:tc>
      </w:tr>
      <w:tr>
        <w:tc>
          <w:tcPr>
            <w:tcW w:type="dxa" w:w="2740"/>
            <w:tcMar>
              <w:top w:w="80" w:type="dxa"/>
              <w:bottom w:w="80" w:type="dxa"/>
              <w:left w:w="120" w:type="dxa"/>
              <w:right w:w="120" w:type="dxa"/>
            </w:tcMar>
          </w:tcPr>
          <w:p>
            <w:pPr>
              <w:spacing w:line="276" w:lineRule="auto" w:after="40"/>
            </w:pPr>
            <w:r>
              <w:t>Trust &amp; Security</w:t>
            </w:r>
          </w:p>
        </w:tc>
        <w:tc>
          <w:tcPr>
            <w:tcW w:type="dxa" w:w="2740"/>
            <w:tcMar>
              <w:top w:w="80" w:type="dxa"/>
              <w:bottom w:w="80" w:type="dxa"/>
              <w:left w:w="120" w:type="dxa"/>
              <w:right w:w="120" w:type="dxa"/>
            </w:tcMar>
          </w:tcPr>
          <w:p>
            <w:pPr>
              <w:spacing w:line="276" w:lineRule="auto" w:after="40"/>
            </w:pPr>
            <w:r>
              <w:t>Zero background verification, personal safety risks, unvetted strangers</w:t>
            </w:r>
          </w:p>
        </w:tc>
        <w:tc>
          <w:tcPr>
            <w:tcW w:type="dxa" w:w="2740"/>
            <w:tcMar>
              <w:top w:w="80" w:type="dxa"/>
              <w:bottom w:w="80" w:type="dxa"/>
              <w:left w:w="120" w:type="dxa"/>
              <w:right w:w="120" w:type="dxa"/>
            </w:tcMar>
          </w:tcPr>
          <w:p>
            <w:pPr>
              <w:spacing w:line="276" w:lineRule="auto" w:after="40"/>
            </w:pPr>
            <w:r>
              <w:t>Clerk verified profiles, admin identity vetting, authentic client reviews</w:t>
            </w:r>
          </w:p>
        </w:tc>
      </w:tr>
      <w:tr>
        <w:tc>
          <w:tcPr>
            <w:tcW w:type="dxa" w:w="2740"/>
            <w:tcMar>
              <w:top w:w="80" w:type="dxa"/>
              <w:bottom w:w="80" w:type="dxa"/>
              <w:left w:w="120" w:type="dxa"/>
              <w:right w:w="120" w:type="dxa"/>
            </w:tcMar>
          </w:tcPr>
          <w:p>
            <w:pPr>
              <w:spacing w:line="276" w:lineRule="auto" w:after="40"/>
            </w:pPr>
            <w:r>
              <w:t>Communication</w:t>
            </w:r>
          </w:p>
        </w:tc>
        <w:tc>
          <w:tcPr>
            <w:tcW w:type="dxa" w:w="2740"/>
            <w:tcMar>
              <w:top w:w="80" w:type="dxa"/>
              <w:bottom w:w="80" w:type="dxa"/>
              <w:left w:w="120" w:type="dxa"/>
              <w:right w:w="120" w:type="dxa"/>
            </w:tcMar>
          </w:tcPr>
          <w:p>
            <w:pPr>
              <w:spacing w:line="276" w:lineRule="auto" w:after="40"/>
            </w:pPr>
            <w:r>
              <w:t>Missed phone calls, delayed coordination, lack of appointment scheduling</w:t>
            </w:r>
          </w:p>
        </w:tc>
        <w:tc>
          <w:tcPr>
            <w:tcW w:type="dxa" w:w="2740"/>
            <w:tcMar>
              <w:top w:w="80" w:type="dxa"/>
              <w:bottom w:w="80" w:type="dxa"/>
              <w:left w:w="120" w:type="dxa"/>
              <w:right w:w="120" w:type="dxa"/>
            </w:tcMar>
          </w:tcPr>
          <w:p>
            <w:pPr>
              <w:spacing w:line="276" w:lineRule="auto" w:after="40"/>
            </w:pPr>
            <w:r>
              <w:t>Automated scheduling system combined with direct Ghana WhatsApp integration</w:t>
            </w:r>
          </w:p>
        </w:tc>
      </w:tr>
    </w:tbl>
    <w:p>
      <w:pPr>
        <w:spacing w:line="480" w:lineRule="auto" w:before="0" w:after="240"/>
        <w:ind w:firstLine="0"/>
        <w:jc w:val="both"/>
      </w:pPr>
      <w:r>
        <w:rPr>
          <w:rFonts w:ascii="Times New Roman" w:hAnsi="Times New Roman"/>
          <w:sz w:val="24"/>
        </w:rPr>
        <w:t>First, severe information asymmetry exists regarding artisan competency and service pricing. Because tradespeople provide unstandardized services, consumers cannot assess market-clearing rates, exposing them to predatory price gouging. Second, the absence of an institutionalized reputation framework leaves consumers vulnerable to moral hazard, as poorly executed jobs carry zero reputational cost for transient artisans. Third, traditional communication channels fail to provide audit trails, resulting in scheduling misalignments and disputes over job scopes. Fourth, verified identity protocols are non-existent, raising acute personal security concerns when granting technicians entry into private residential spaces. A systematic technological intervention is urgently required to formalize these interactions within an accountable digital medium.</w:t>
      </w:r>
    </w:p>
    <w:p>
      <w:pPr>
        <w:spacing w:line="276" w:lineRule="auto" w:before="280" w:after="120"/>
        <w:jc w:val="left"/>
      </w:pPr>
      <w:r>
        <w:rPr>
          <w:rFonts w:ascii="Times New Roman" w:hAnsi="Times New Roman"/>
          <w:b/>
          <w:sz w:val="24"/>
        </w:rPr>
        <w:t>1.3 Research Questions &amp; Hypotheses</w:t>
      </w:r>
    </w:p>
    <w:p>
      <w:pPr>
        <w:spacing w:line="480" w:lineRule="auto" w:before="0" w:after="240"/>
        <w:ind w:firstLine="0"/>
        <w:jc w:val="both"/>
      </w:pPr>
      <w:r>
        <w:rPr>
          <w:rFonts w:ascii="Times New Roman" w:hAnsi="Times New Roman"/>
          <w:sz w:val="24"/>
        </w:rPr>
        <w:t>To establish a rigorous scientific foundation for the engineering process, this study was structured around four foundational research questions:</w:t>
        <w:br/>
        <w:t>1. RQ-1: How can an on-demand web architecture be engineered to minimize data consumption and latency under constrained African mobile network bandwidth?</w:t>
        <w:br/>
        <w:t>2. RQ-2: What software mechanisms and identity verification protocols are necessary to establish quantifiable, resilient bilateral trust between unacquainted domestic consumers and informal artisans?</w:t>
        <w:br/>
        <w:t>3. RQ-3: How can standardized, multi-tiered service scoping eliminate price haggling while accommodating the dynamic variations inherent in manual labor?</w:t>
        <w:br/>
        <w:t>4. RQ-4: Can integrating instant messaging bridges (such as WhatsApp deep-linking) into a centralized web ledger enhance appointment adherence without compromising platform accountability?</w:t>
      </w:r>
    </w:p>
    <w:p>
      <w:pPr>
        <w:spacing w:line="276" w:lineRule="auto" w:before="280" w:after="120"/>
        <w:jc w:val="left"/>
      </w:pPr>
      <w:r>
        <w:rPr>
          <w:rFonts w:ascii="Times New Roman" w:hAnsi="Times New Roman"/>
          <w:b/>
          <w:sz w:val="24"/>
        </w:rPr>
        <w:t>1.4 Objectives of the Study</w:t>
      </w:r>
    </w:p>
    <w:p>
      <w:pPr>
        <w:spacing w:line="480" w:lineRule="auto" w:before="0" w:after="240"/>
        <w:ind w:firstLine="0"/>
        <w:jc w:val="both"/>
      </w:pPr>
      <w:r>
        <w:rPr>
          <w:rFonts w:ascii="Times New Roman" w:hAnsi="Times New Roman"/>
          <w:sz w:val="24"/>
        </w:rPr>
        <w:t>The overarching goal of this research is to design, construct, and empirically evaluate Fix it Marketplace, establishing a scalable, trust-driven platform for localized artisan discovery and booking management. To accomplish this, the project pursued the following specific technical objectives:</w:t>
      </w:r>
    </w:p>
    <w:p>
      <w:pPr>
        <w:spacing w:line="480" w:lineRule="auto" w:before="0" w:after="240"/>
        <w:ind w:firstLine="0"/>
        <w:jc w:val="both"/>
      </w:pPr>
      <w:r>
        <w:rPr>
          <w:rFonts w:ascii="Times New Roman" w:hAnsi="Times New Roman"/>
          <w:sz w:val="24"/>
        </w:rPr>
        <w:t>1. To conduct a comprehensive requirement analysis capturing the operational workflows of domestic consumers and informal tradespeople in urban Ghana.</w:t>
        <w:br/>
        <w:t>2. To formulate a reactive, decoupled system architecture utilizing Next.js 16 (App Router), TypeScript, and Tailwind CSS on the presentation layer.</w:t>
        <w:br/>
        <w:t>3. To implement a dual-persona identity governance subsystem utilizing Clerk, enforcing dynamic role allocation between customer and artisan users.</w:t>
        <w:br/>
        <w:t>4. To architect a distributed, headless Content Lake in Sanity CMS using GROQ queries for sub-second retrieval of catalog services, categories, and provider metadata.</w:t>
        <w:br/>
        <w:t>5. To engineer a multi-tier service pricing matrix (Basic, Standard, Premium) that standardizes service scopes and establishes price transparency in Ghana Cedis (GHS).</w:t>
        <w:br/>
        <w:t>6. To construct an interactive order management and tracking ledger supporting real-time job state transitions, cancellations, and client audit trails.</w:t>
        <w:br/>
        <w:t>7. To implement a localized communication bridge integrating normalized Ghanaian phone numbers (+233) with WhatsApp Universal Deep-Links for instant coordination.</w:t>
        <w:br/>
        <w:t>8. To rigorously evaluate the platform's performance, accessibility, security, and usability through Google Lighthouse audits and a formal System Usability Scale (SUS) study.</w:t>
      </w:r>
    </w:p>
    <w:p>
      <w:pPr>
        <w:spacing w:line="276" w:lineRule="auto" w:before="280" w:after="120"/>
        <w:jc w:val="left"/>
      </w:pPr>
      <w:r>
        <w:rPr>
          <w:rFonts w:ascii="Times New Roman" w:hAnsi="Times New Roman"/>
          <w:b/>
          <w:sz w:val="24"/>
        </w:rPr>
        <w:t>1.5 Significance &amp; Contributions of the Study</w:t>
      </w:r>
    </w:p>
    <w:p>
      <w:pPr>
        <w:spacing w:line="480" w:lineRule="auto" w:before="0" w:after="240"/>
        <w:ind w:firstLine="0"/>
        <w:jc w:val="both"/>
      </w:pPr>
      <w:r>
        <w:rPr>
          <w:rFonts w:ascii="Times New Roman" w:hAnsi="Times New Roman"/>
          <w:sz w:val="24"/>
        </w:rPr>
        <w:t>The academic and societal contributions of this research are substantial. From an economic perspective, the platform provides informal artisans with a digital storefront, verifiable reputation metrics, and equitable commercial visibility, directly advancing the United Nations Sustainable Development Goals (SDG 8: Decent Work and Economic Growth). For consumers, the system provides vetted security, price predictability, and streamlined recourse.</w:t>
      </w:r>
    </w:p>
    <w:p>
      <w:pPr>
        <w:spacing w:line="480" w:lineRule="auto" w:before="0" w:after="240"/>
        <w:ind w:firstLine="0"/>
        <w:jc w:val="both"/>
      </w:pPr>
      <w:r>
        <w:rPr>
          <w:rFonts w:ascii="Times New Roman" w:hAnsi="Times New Roman"/>
          <w:sz w:val="24"/>
        </w:rPr>
        <w:t>From a software engineering perspective, this dissertation contributes a validated reference architecture illustrating how modern headless CMS technologies can be hybridized with edge computing and localized instant messaging primitives. It demonstrates how Western-originated on-demand marketplace paradigms must be re-engineered to accommodate emerging market infrastructural constraints, such as intermittent network connectivity and informal commerce habits.</w:t>
      </w:r>
    </w:p>
    <w:p>
      <w:pPr>
        <w:spacing w:line="276" w:lineRule="auto" w:before="280" w:after="120"/>
        <w:jc w:val="left"/>
      </w:pPr>
      <w:r>
        <w:rPr>
          <w:rFonts w:ascii="Times New Roman" w:hAnsi="Times New Roman"/>
          <w:b/>
          <w:sz w:val="24"/>
        </w:rPr>
        <w:t>1.6 Scope &amp; Delimitation of Work</w:t>
      </w:r>
    </w:p>
    <w:p>
      <w:pPr>
        <w:spacing w:line="480" w:lineRule="auto" w:before="0" w:after="240"/>
        <w:ind w:firstLine="0"/>
        <w:jc w:val="both"/>
      </w:pPr>
      <w:r>
        <w:rPr>
          <w:rFonts w:ascii="Times New Roman" w:hAnsi="Times New Roman"/>
          <w:sz w:val="24"/>
        </w:rPr>
        <w:t>The practical scope of this study encompasses the complete software development lifecycle of the Fix it web platform, spanning requirements elicitation, system modeling, front-end construction, back-end headless schema implementation, security hardening, and empirical user testing. Geographically, the initial service catalog and sample data reflect metropolitan hubs in Ghana, primarily Greater Accra and Kumasi. The default operational currency is the Ghana Cedi (GHS).</w:t>
      </w:r>
    </w:p>
    <w:p>
      <w:pPr>
        <w:spacing w:line="480" w:lineRule="auto" w:before="0" w:after="240"/>
        <w:ind w:firstLine="0"/>
        <w:jc w:val="both"/>
      </w:pPr>
      <w:r>
        <w:rPr>
          <w:rFonts w:ascii="Times New Roman" w:hAnsi="Times New Roman"/>
          <w:sz w:val="24"/>
        </w:rPr>
        <w:t>Delimitations include the deliberate deferral of native mobile application compilation (iOS/Android native builds), third-party escrow payment settlement gateways (such as direct Paystack/MoMo automated merchant disbursements), and automated GPS background geolocation tracking, which are planned for future enterprise iterations.</w:t>
      </w:r>
    </w:p>
    <w:p>
      <w:pPr>
        <w:spacing w:line="276" w:lineRule="auto" w:before="280" w:after="120"/>
        <w:jc w:val="left"/>
      </w:pPr>
      <w:r>
        <w:rPr>
          <w:rFonts w:ascii="Times New Roman" w:hAnsi="Times New Roman"/>
          <w:b/>
          <w:sz w:val="24"/>
        </w:rPr>
        <w:t>1.7 Thesis Organization</w:t>
      </w:r>
    </w:p>
    <w:p>
      <w:pPr>
        <w:spacing w:line="480" w:lineRule="auto" w:before="0" w:after="240"/>
        <w:ind w:firstLine="0"/>
        <w:jc w:val="both"/>
      </w:pPr>
      <w:r>
        <w:rPr>
          <w:rFonts w:ascii="Times New Roman" w:hAnsi="Times New Roman"/>
          <w:sz w:val="24"/>
        </w:rPr>
        <w:t>This dissertation is structured into five cohesive chapters adhering to departmental guidelines:</w:t>
        <w:br/>
        <w:t>• Chapter I presents the contextual background, problem statement, research questions, objectives, significance, and scope.</w:t>
        <w:br/>
        <w:t>• Chapter II reviews theoretical foundations of platform economics, information asymmetry, usability models, and comparative industry solutions.</w:t>
        <w:br/>
        <w:t>• Chapter III details the engineering methodology, requirements specifications, architectural diagrams, data schemas, and mathematical formulations.</w:t>
        <w:br/>
        <w:t>• Chapter IV provides an in-depth implementation narrative, code artifacts, user interface demonstrations, and quality assurance test suites.</w:t>
        <w:br/>
        <w:t>• Chapter V reports empirical benchmarking results, usability evaluation findings, conclusions, and future research directions.</w:t>
      </w:r>
    </w:p>
    <w:p>
      <w:r>
        <w:br w:type="page"/>
      </w:r>
    </w:p>
    <w:p>
      <w:pPr>
        <w:spacing w:line="276" w:lineRule="auto" w:before="360" w:after="240"/>
        <w:jc w:val="center"/>
      </w:pPr>
      <w:r>
        <w:rPr>
          <w:rFonts w:ascii="Times New Roman" w:hAnsi="Times New Roman"/>
          <w:b/>
          <w:sz w:val="28"/>
        </w:rPr>
        <w:t>CHAPTER II</w:t>
        <w:br/>
        <w:br/>
      </w:r>
      <w:r>
        <w:rPr>
          <w:rFonts w:ascii="Times New Roman" w:hAnsi="Times New Roman"/>
          <w:b/>
          <w:sz w:val="28"/>
        </w:rPr>
        <w:t>LITERATURE REVIEW</w:t>
      </w:r>
    </w:p>
    <w:p>
      <w:pPr>
        <w:spacing w:line="480" w:lineRule="auto" w:before="0" w:after="0"/>
      </w:pPr>
    </w:p>
    <w:p>
      <w:pPr>
        <w:spacing w:line="276" w:lineRule="auto" w:before="280" w:after="120"/>
        <w:jc w:val="left"/>
      </w:pPr>
      <w:r>
        <w:rPr>
          <w:rFonts w:ascii="Times New Roman" w:hAnsi="Times New Roman"/>
          <w:b/>
          <w:sz w:val="24"/>
        </w:rPr>
        <w:t>2.1 Theoretical Foundations of Two-Sided Marketplaces</w:t>
      </w:r>
    </w:p>
    <w:p>
      <w:pPr>
        <w:spacing w:line="480" w:lineRule="auto" w:before="0" w:after="240"/>
        <w:ind w:firstLine="0"/>
        <w:jc w:val="both"/>
      </w:pPr>
      <w:r>
        <w:rPr>
          <w:rFonts w:ascii="Times New Roman" w:hAnsi="Times New Roman"/>
          <w:sz w:val="24"/>
        </w:rPr>
        <w:t>The economic and structural foundations of digital service platforms are grounded in the theory of two-sided markets, initially formalized by Rochet and Tirole (2003) and Armstrong (2006). A two-sided market arises when an intermediary platform enables direct interactions between two distinct, mutually dependent participant groups. In the context of on-demand home maintenance, these groups comprise domestic service consumers (buyers) and independent manual artisans (suppliers). The central economic dynamic governing two-sided platforms is the presence of indirect network externalities: the utility derived by an individual consumer increases as the variety, geographic proximity, and quality of participating artisans expands, while artisans experience higher earning potential as consumer demand density increases.</w:t>
      </w:r>
    </w:p>
    <w:p>
      <w:pPr>
        <w:spacing w:line="480" w:lineRule="auto" w:before="0" w:after="240"/>
        <w:ind w:firstLine="0"/>
        <w:jc w:val="both"/>
      </w:pPr>
      <w:r>
        <w:rPr>
          <w:rFonts w:ascii="Times New Roman" w:hAnsi="Times New Roman"/>
          <w:sz w:val="24"/>
        </w:rPr>
        <w:t>However, two-sided platforms are notoriously constrained by the classical 'chicken-and-egg' dilemma during initial deployment. Artisans will not invest time in profile onboarding without an established consumer booking volume, whereas consumers will abandon the platform if search queries return inadequate service coverage. Economists highlight that successful platform bootstrapping requires reducing onboarding friction, providing immediate standalone value, and subsidizing one side of the market through zero entry fees. Fix it Marketplace adopts this strategy by offering friction-free artisan self-onboarding and zero commission fees during initial market penetration.</w:t>
      </w:r>
    </w:p>
    <w:p>
      <w:pPr>
        <w:spacing w:line="276" w:lineRule="auto" w:before="280" w:after="120"/>
        <w:jc w:val="left"/>
      </w:pPr>
      <w:r>
        <w:rPr>
          <w:rFonts w:ascii="Times New Roman" w:hAnsi="Times New Roman"/>
          <w:b/>
          <w:sz w:val="24"/>
        </w:rPr>
        <w:t>2.2 Information Asymmetry, Signaling &amp; Institutional Trust</w:t>
      </w:r>
    </w:p>
    <w:p>
      <w:pPr>
        <w:spacing w:line="480" w:lineRule="auto" w:before="0" w:after="240"/>
        <w:ind w:firstLine="0"/>
        <w:jc w:val="both"/>
      </w:pPr>
      <w:r>
        <w:rPr>
          <w:rFonts w:ascii="Times New Roman" w:hAnsi="Times New Roman"/>
          <w:sz w:val="24"/>
        </w:rPr>
        <w:t>George Akerlof’s seminal 1970 paper, 'The Market for Lemons: Quality Uncertainty and the Market Mechanism,' provides the definitive framework for analyzing the failures of informal labor markets. Akerlof demonstrated that when buyers cannot reliably verify product or service quality prior to purchase, they will only pay an average market price. Consequently, high-quality providers whose superior skills justify premium rates are driven out of the market, leading to an adverse selection spiral where only low-quality 'lemons' remain. In Ghana’s informal artisan sector, adverse selection is acute: homeowners anticipate substandard craftsmanship and haggling, while elite artisans struggle to distinguish themselves.</w:t>
      </w:r>
    </w:p>
    <w:p>
      <w:pPr>
        <w:spacing w:line="480" w:lineRule="auto" w:before="0" w:after="240"/>
        <w:ind w:firstLine="0"/>
        <w:jc w:val="both"/>
      </w:pPr>
      <w:r>
        <w:rPr>
          <w:rFonts w:ascii="Times New Roman" w:hAnsi="Times New Roman"/>
          <w:sz w:val="24"/>
        </w:rPr>
        <w:t>To arrest adverse selection, Michael Spence’s Signaling Theory (1973) posits that sellers must emit credible, costly signals that low-quality competitors cannot easily mimic. In software engineering, digital platforms operationalize signaling through structured identity vetting, technical credential auditing, standardized multi-tier pricing matrices, and verifiable client review ledgers. By transforming past performance into immutable digital reputation capital, Fix it Marketplace establishes the institutional trust required to sustain high-quality service exchanges.</w:t>
      </w:r>
    </w:p>
    <w:p>
      <w:pPr>
        <w:spacing w:line="276" w:lineRule="auto" w:before="280" w:after="120"/>
        <w:jc w:val="left"/>
      </w:pPr>
      <w:r>
        <w:rPr>
          <w:rFonts w:ascii="Times New Roman" w:hAnsi="Times New Roman"/>
          <w:b/>
          <w:sz w:val="24"/>
        </w:rPr>
        <w:t>2.3 Technology Acceptance in Emerging African Markets</w:t>
      </w:r>
    </w:p>
    <w:p>
      <w:pPr>
        <w:spacing w:line="480" w:lineRule="auto" w:before="0" w:after="240"/>
        <w:ind w:firstLine="0"/>
        <w:jc w:val="both"/>
      </w:pPr>
      <w:r>
        <w:rPr>
          <w:rFonts w:ascii="Times New Roman" w:hAnsi="Times New Roman"/>
          <w:sz w:val="24"/>
        </w:rPr>
        <w:t>The successful adoption of consumer-facing software in West Africa is heavily governed by the Technology Acceptance Model (TAM), formulated by Fred Davis (1989). TAM asserts that user adoption is governed primarily by two core perceptual constructs: Perceived Usefulness (PU) and Perceived Ease of Use (PEOU). In developing economies, PEOU is deeply intertwined with cultural familiarity and cognitive load. Applications that require complex navigation hierarchies, intricate credential logins, or lengthy textual forms experience drastic user drop-off.</w:t>
      </w:r>
    </w:p>
    <w:p>
      <w:pPr>
        <w:spacing w:line="480" w:lineRule="auto" w:before="0" w:after="240"/>
        <w:ind w:firstLine="0"/>
        <w:jc w:val="both"/>
      </w:pPr>
      <w:r>
        <w:rPr>
          <w:rFonts w:ascii="Times New Roman" w:hAnsi="Times New Roman"/>
          <w:sz w:val="24"/>
        </w:rPr>
        <w:t>Recent empirical studies on African digital ecosystems emphasize the 'leapfrog' phenomenon: consumers frequently bypass conventional desktop computing paradigms, transitioning directly from non-digital workflows to mobile-first instant messaging environments. In Ghana, WhatsApp is not merely a chat application; it represents the primary digital operating system for daily commerce, social coordination, and enterprise interaction. Consequently, software architectures designed for this demographic must harmonize centralized database accountability with localized WhatsApp conversational bridges to achieve optimal TAM acceptance scores.</w:t>
      </w:r>
    </w:p>
    <w:p>
      <w:pPr>
        <w:spacing w:line="276" w:lineRule="auto" w:before="200" w:after="80"/>
        <w:jc w:val="left"/>
      </w:pPr>
      <w:r>
        <w:rPr>
          <w:rFonts w:ascii="Times New Roman" w:hAnsi="Times New Roman"/>
          <w:i/>
          <w:sz w:val="24"/>
        </w:rPr>
        <w:t>2.3.1 Cultural Dimensions of Trust and Behavioral Inertia</w:t>
      </w:r>
    </w:p>
    <w:p>
      <w:pPr>
        <w:spacing w:line="480" w:lineRule="auto" w:before="0" w:after="240"/>
        <w:ind w:firstLine="0"/>
        <w:jc w:val="both"/>
      </w:pPr>
      <w:r>
        <w:rPr>
          <w:rFonts w:ascii="Times New Roman" w:hAnsi="Times New Roman"/>
          <w:sz w:val="24"/>
        </w:rPr>
        <w:t>In evaluating technology adoption within African developing economies, cultural dimensions provide indispensable explanatory power. Applying Hofstede's cultural dimensions to the Ghanaian context reveals high collectivism and moderate uncertainty avoidance. In collectivist cultures, transaction trust is fundamentally relational rather than contractual. Traditional consumers rely heavily on social proof, personal recommendations, and verbal negotiations. When confronted with purely transactional, sterile digital interfaces, users experience cognitive dissonance and behavioral hesitation.</w:t>
      </w:r>
    </w:p>
    <w:p>
      <w:pPr>
        <w:spacing w:line="480" w:lineRule="auto" w:before="0" w:after="240"/>
        <w:ind w:firstLine="0"/>
        <w:jc w:val="both"/>
      </w:pPr>
      <w:r>
        <w:rPr>
          <w:rFonts w:ascii="Times New Roman" w:hAnsi="Times New Roman"/>
          <w:sz w:val="24"/>
        </w:rPr>
        <w:t>Fix it Marketplace bridges this cultural chasm through intentional sociotechnical design. By providing rich artisan profile bios, real-world portfolio photography, verified customer testimonial ribbons, and direct WhatsApp voice and text channels, the platform preserves the relational, humanized nature of Ghanaian commerce while embedding structural guarantees of price clarity and schedule integrity.</w:t>
      </w:r>
    </w:p>
    <w:p>
      <w:pPr>
        <w:spacing w:line="276" w:lineRule="auto" w:before="200" w:after="80"/>
        <w:jc w:val="left"/>
      </w:pPr>
      <w:r>
        <w:rPr>
          <w:rFonts w:ascii="Times New Roman" w:hAnsi="Times New Roman"/>
          <w:i/>
          <w:sz w:val="24"/>
        </w:rPr>
        <w:t>2.5.1 Edge Caching and Data Bandwidth Optimization</w:t>
      </w:r>
    </w:p>
    <w:p>
      <w:pPr>
        <w:spacing w:line="480" w:lineRule="auto" w:before="0" w:after="240"/>
        <w:ind w:firstLine="0"/>
        <w:jc w:val="both"/>
      </w:pPr>
      <w:r>
        <w:rPr>
          <w:rFonts w:ascii="Times New Roman" w:hAnsi="Times New Roman"/>
          <w:sz w:val="24"/>
        </w:rPr>
        <w:t>In Sub-Saharan Africa, cellular data expenses represent a non-trivial percentage of personal disposable income. Mobile web platforms that deliver bloated JavaScript bundles or unoptimized high-resolution media impose prohibitive costs on users, triggering immediate page abandonment. Modern edge computing architectures resolve this bottleneck through aggressive Content Delivery Network (CDN) edge caching and headless asset optimization.</w:t>
      </w:r>
    </w:p>
    <w:p>
      <w:pPr>
        <w:spacing w:line="480" w:lineRule="auto" w:before="0" w:after="240"/>
        <w:ind w:firstLine="0"/>
        <w:jc w:val="both"/>
      </w:pPr>
      <w:r>
        <w:rPr>
          <w:rFonts w:ascii="Times New Roman" w:hAnsi="Times New Roman"/>
          <w:sz w:val="24"/>
        </w:rPr>
        <w:t>By pairing Next.js 16 Server Components with Sanity's global image transformation pipeline, Fix it Marketplace automatically serves modern WebP and AVIF formatted imagery scaled to client viewport dimensions, reducing payload sizes by up to seventy percent compared to unoptimized PNG assets. Furthermore, static page shells and frequently queried categories are pre-cached across regional edge servers, ensuring instantaneous First Contentful Paint (FCP) metrics even on congested 3G mobile data connections.</w:t>
      </w:r>
    </w:p>
    <w:p>
      <w:pPr>
        <w:spacing w:line="276" w:lineRule="auto" w:before="280" w:after="120"/>
        <w:jc w:val="left"/>
      </w:pPr>
      <w:r>
        <w:rPr>
          <w:rFonts w:ascii="Times New Roman" w:hAnsi="Times New Roman"/>
          <w:b/>
          <w:sz w:val="24"/>
        </w:rPr>
        <w:t>2.4 Comparative Analysis of Global &amp; Regional Service Platforms</w:t>
      </w:r>
    </w:p>
    <w:p>
      <w:pPr>
        <w:spacing w:line="480" w:lineRule="auto" w:before="0" w:after="240"/>
        <w:ind w:firstLine="0"/>
        <w:jc w:val="both"/>
      </w:pPr>
      <w:r>
        <w:rPr>
          <w:rFonts w:ascii="Times New Roman" w:hAnsi="Times New Roman"/>
          <w:sz w:val="24"/>
        </w:rPr>
        <w:t>A rigorous review of existing marketplace software reveals critical architectural dichotomies between global enterprise platforms operating in North America and localized solutions attempted within Sub-Saharan Africa. Table 2-1 synthesizes the operational and technical characteristics of prominent industry platforms.</w:t>
      </w:r>
    </w:p>
    <w:p>
      <w:pPr>
        <w:spacing w:line="276" w:lineRule="auto" w:before="240" w:after="80"/>
      </w:pPr>
      <w:r>
        <w:rPr>
          <w:rFonts w:ascii="Times New Roman" w:hAnsi="Times New Roman"/>
          <w:b/>
          <w:sz w:val="24"/>
        </w:rPr>
        <w:t>Table 2-1: Comparative Feature Matrix of Global and Regional Service Platforms</w:t>
      </w:r>
    </w:p>
    <w:tbl>
      <w:tblPr>
        <w:tblW w:type="auto" w:w="0"/>
        <w:jc w:val="center"/>
        <w:tblLook w:firstColumn="1" w:firstRow="1" w:lastColumn="0" w:lastRow="0" w:noHBand="0" w:noVBand="1" w:val="04A0"/>
      </w:tblPr>
      <w:tblGrid>
        <w:gridCol w:w="1644"/>
        <w:gridCol w:w="1644"/>
        <w:gridCol w:w="1644"/>
        <w:gridCol w:w="1644"/>
        <w:gridCol w:w="1644"/>
      </w:tblGrid>
      <w:tr>
        <w:tc>
          <w:tcPr>
            <w:tcW w:type="dxa" w:w="1644"/>
            <w:tcMar>
              <w:top w:w="70" w:type="dxa"/>
              <w:bottom w:w="70" w:type="dxa"/>
              <w:left w:w="100" w:type="dxa"/>
              <w:right w:w="100" w:type="dxa"/>
            </w:tcMar>
            <w:shd w:fill="E5E7EB"/>
          </w:tcPr>
          <w:p>
            <w:pPr>
              <w:spacing w:line="276" w:lineRule="auto" w:after="40"/>
            </w:pPr>
            <w:r>
              <w:rPr>
                <w:b/>
              </w:rPr>
              <w:t>Platform</w:t>
            </w:r>
          </w:p>
        </w:tc>
        <w:tc>
          <w:tcPr>
            <w:tcW w:type="dxa" w:w="1644"/>
            <w:tcMar>
              <w:top w:w="70" w:type="dxa"/>
              <w:bottom w:w="70" w:type="dxa"/>
              <w:left w:w="100" w:type="dxa"/>
              <w:right w:w="100" w:type="dxa"/>
            </w:tcMar>
            <w:shd w:fill="E5E7EB"/>
          </w:tcPr>
          <w:p>
            <w:pPr>
              <w:spacing w:line="276" w:lineRule="auto" w:after="40"/>
            </w:pPr>
            <w:r>
              <w:rPr>
                <w:b/>
              </w:rPr>
              <w:t>Primary Market</w:t>
            </w:r>
          </w:p>
        </w:tc>
        <w:tc>
          <w:tcPr>
            <w:tcW w:type="dxa" w:w="1644"/>
            <w:tcMar>
              <w:top w:w="70" w:type="dxa"/>
              <w:bottom w:w="70" w:type="dxa"/>
              <w:left w:w="100" w:type="dxa"/>
              <w:right w:w="100" w:type="dxa"/>
            </w:tcMar>
            <w:shd w:fill="E5E7EB"/>
          </w:tcPr>
          <w:p>
            <w:pPr>
              <w:spacing w:line="276" w:lineRule="auto" w:after="40"/>
            </w:pPr>
            <w:r>
              <w:rPr>
                <w:b/>
              </w:rPr>
              <w:t>Pricing Model</w:t>
            </w:r>
          </w:p>
        </w:tc>
        <w:tc>
          <w:tcPr>
            <w:tcW w:type="dxa" w:w="1644"/>
            <w:tcMar>
              <w:top w:w="70" w:type="dxa"/>
              <w:bottom w:w="70" w:type="dxa"/>
              <w:left w:w="100" w:type="dxa"/>
              <w:right w:w="100" w:type="dxa"/>
            </w:tcMar>
            <w:shd w:fill="E5E7EB"/>
          </w:tcPr>
          <w:p>
            <w:pPr>
              <w:spacing w:line="276" w:lineRule="auto" w:after="40"/>
            </w:pPr>
            <w:r>
              <w:rPr>
                <w:b/>
              </w:rPr>
              <w:t>Trust Mechanism</w:t>
            </w:r>
          </w:p>
        </w:tc>
        <w:tc>
          <w:tcPr>
            <w:tcW w:type="dxa" w:w="1644"/>
            <w:tcMar>
              <w:top w:w="70" w:type="dxa"/>
              <w:bottom w:w="70" w:type="dxa"/>
              <w:left w:w="100" w:type="dxa"/>
              <w:right w:w="100" w:type="dxa"/>
            </w:tcMar>
            <w:shd w:fill="E5E7EB"/>
          </w:tcPr>
          <w:p>
            <w:pPr>
              <w:spacing w:line="276" w:lineRule="auto" w:after="40"/>
            </w:pPr>
            <w:r>
              <w:rPr>
                <w:b/>
              </w:rPr>
              <w:t>Communication Channel</w:t>
            </w:r>
          </w:p>
        </w:tc>
      </w:tr>
      <w:tr>
        <w:tc>
          <w:tcPr>
            <w:tcW w:type="dxa" w:w="1644"/>
            <w:tcMar>
              <w:top w:w="70" w:type="dxa"/>
              <w:bottom w:w="70" w:type="dxa"/>
              <w:left w:w="100" w:type="dxa"/>
              <w:right w:w="100" w:type="dxa"/>
            </w:tcMar>
          </w:tcPr>
          <w:p>
            <w:pPr>
              <w:spacing w:line="276" w:lineRule="auto" w:after="40"/>
            </w:pPr>
            <w:r>
              <w:t>TaskRabbit (IKEA)</w:t>
            </w:r>
          </w:p>
        </w:tc>
        <w:tc>
          <w:tcPr>
            <w:tcW w:type="dxa" w:w="1644"/>
            <w:tcMar>
              <w:top w:w="70" w:type="dxa"/>
              <w:bottom w:w="70" w:type="dxa"/>
              <w:left w:w="100" w:type="dxa"/>
              <w:right w:w="100" w:type="dxa"/>
            </w:tcMar>
          </w:tcPr>
          <w:p>
            <w:pPr>
              <w:spacing w:line="276" w:lineRule="auto" w:after="40"/>
            </w:pPr>
            <w:r>
              <w:t>North America / Europe</w:t>
            </w:r>
          </w:p>
        </w:tc>
        <w:tc>
          <w:tcPr>
            <w:tcW w:type="dxa" w:w="1644"/>
            <w:tcMar>
              <w:top w:w="70" w:type="dxa"/>
              <w:bottom w:w="70" w:type="dxa"/>
              <w:left w:w="100" w:type="dxa"/>
              <w:right w:w="100" w:type="dxa"/>
            </w:tcMar>
          </w:tcPr>
          <w:p>
            <w:pPr>
              <w:spacing w:line="276" w:lineRule="auto" w:after="40"/>
            </w:pPr>
            <w:r>
              <w:t>Hourly rates (USD)</w:t>
            </w:r>
          </w:p>
        </w:tc>
        <w:tc>
          <w:tcPr>
            <w:tcW w:type="dxa" w:w="1644"/>
            <w:tcMar>
              <w:top w:w="70" w:type="dxa"/>
              <w:bottom w:w="70" w:type="dxa"/>
              <w:left w:w="100" w:type="dxa"/>
              <w:right w:w="100" w:type="dxa"/>
            </w:tcMar>
          </w:tcPr>
          <w:p>
            <w:pPr>
              <w:spacing w:line="276" w:lineRule="auto" w:after="40"/>
            </w:pPr>
            <w:r>
              <w:t>Credit checks, insurance, background vetting</w:t>
            </w:r>
          </w:p>
        </w:tc>
        <w:tc>
          <w:tcPr>
            <w:tcW w:type="dxa" w:w="1644"/>
            <w:tcMar>
              <w:top w:w="70" w:type="dxa"/>
              <w:bottom w:w="70" w:type="dxa"/>
              <w:left w:w="100" w:type="dxa"/>
              <w:right w:w="100" w:type="dxa"/>
            </w:tcMar>
          </w:tcPr>
          <w:p>
            <w:pPr>
              <w:spacing w:line="276" w:lineRule="auto" w:after="40"/>
            </w:pPr>
            <w:r>
              <w:t>In-app messaging only</w:t>
            </w:r>
          </w:p>
        </w:tc>
      </w:tr>
      <w:tr>
        <w:tc>
          <w:tcPr>
            <w:tcW w:type="dxa" w:w="1644"/>
            <w:tcMar>
              <w:top w:w="70" w:type="dxa"/>
              <w:bottom w:w="70" w:type="dxa"/>
              <w:left w:w="100" w:type="dxa"/>
              <w:right w:w="100" w:type="dxa"/>
            </w:tcMar>
          </w:tcPr>
          <w:p>
            <w:pPr>
              <w:spacing w:line="276" w:lineRule="auto" w:after="40"/>
            </w:pPr>
            <w:r>
              <w:t>Urban Company</w:t>
            </w:r>
          </w:p>
        </w:tc>
        <w:tc>
          <w:tcPr>
            <w:tcW w:type="dxa" w:w="1644"/>
            <w:tcMar>
              <w:top w:w="70" w:type="dxa"/>
              <w:bottom w:w="70" w:type="dxa"/>
              <w:left w:w="100" w:type="dxa"/>
              <w:right w:w="100" w:type="dxa"/>
            </w:tcMar>
          </w:tcPr>
          <w:p>
            <w:pPr>
              <w:spacing w:line="276" w:lineRule="auto" w:after="40"/>
            </w:pPr>
            <w:r>
              <w:t>India / UAE</w:t>
            </w:r>
          </w:p>
        </w:tc>
        <w:tc>
          <w:tcPr>
            <w:tcW w:type="dxa" w:w="1644"/>
            <w:tcMar>
              <w:top w:w="70" w:type="dxa"/>
              <w:bottom w:w="70" w:type="dxa"/>
              <w:left w:w="100" w:type="dxa"/>
              <w:right w:w="100" w:type="dxa"/>
            </w:tcMar>
          </w:tcPr>
          <w:p>
            <w:pPr>
              <w:spacing w:line="276" w:lineRule="auto" w:after="40"/>
            </w:pPr>
            <w:r>
              <w:t>Fixed standardized tiers</w:t>
            </w:r>
          </w:p>
        </w:tc>
        <w:tc>
          <w:tcPr>
            <w:tcW w:type="dxa" w:w="1644"/>
            <w:tcMar>
              <w:top w:w="70" w:type="dxa"/>
              <w:bottom w:w="70" w:type="dxa"/>
              <w:left w:w="100" w:type="dxa"/>
              <w:right w:w="100" w:type="dxa"/>
            </w:tcMar>
          </w:tcPr>
          <w:p>
            <w:pPr>
              <w:spacing w:line="276" w:lineRule="auto" w:after="40"/>
            </w:pPr>
            <w:r>
              <w:t>Comprehensive technical skills training &amp; ID checks</w:t>
            </w:r>
          </w:p>
        </w:tc>
        <w:tc>
          <w:tcPr>
            <w:tcW w:type="dxa" w:w="1644"/>
            <w:tcMar>
              <w:top w:w="70" w:type="dxa"/>
              <w:bottom w:w="70" w:type="dxa"/>
              <w:left w:w="100" w:type="dxa"/>
              <w:right w:w="100" w:type="dxa"/>
            </w:tcMar>
          </w:tcPr>
          <w:p>
            <w:pPr>
              <w:spacing w:line="276" w:lineRule="auto" w:after="40"/>
            </w:pPr>
            <w:r>
              <w:t>Proprietary telephony masking</w:t>
            </w:r>
          </w:p>
        </w:tc>
      </w:tr>
      <w:tr>
        <w:tc>
          <w:tcPr>
            <w:tcW w:type="dxa" w:w="1644"/>
            <w:tcMar>
              <w:top w:w="70" w:type="dxa"/>
              <w:bottom w:w="70" w:type="dxa"/>
              <w:left w:w="100" w:type="dxa"/>
              <w:right w:w="100" w:type="dxa"/>
            </w:tcMar>
          </w:tcPr>
          <w:p>
            <w:pPr>
              <w:spacing w:line="276" w:lineRule="auto" w:after="40"/>
            </w:pPr>
            <w:r>
              <w:t>Jiji Ghana</w:t>
            </w:r>
          </w:p>
        </w:tc>
        <w:tc>
          <w:tcPr>
            <w:tcW w:type="dxa" w:w="1644"/>
            <w:tcMar>
              <w:top w:w="70" w:type="dxa"/>
              <w:bottom w:w="70" w:type="dxa"/>
              <w:left w:w="100" w:type="dxa"/>
              <w:right w:w="100" w:type="dxa"/>
            </w:tcMar>
          </w:tcPr>
          <w:p>
            <w:pPr>
              <w:spacing w:line="276" w:lineRule="auto" w:after="40"/>
            </w:pPr>
            <w:r>
              <w:t>Ghana / West Africa</w:t>
            </w:r>
          </w:p>
        </w:tc>
        <w:tc>
          <w:tcPr>
            <w:tcW w:type="dxa" w:w="1644"/>
            <w:tcMar>
              <w:top w:w="70" w:type="dxa"/>
              <w:bottom w:w="70" w:type="dxa"/>
              <w:left w:w="100" w:type="dxa"/>
              <w:right w:w="100" w:type="dxa"/>
            </w:tcMar>
          </w:tcPr>
          <w:p>
            <w:pPr>
              <w:spacing w:line="276" w:lineRule="auto" w:after="40"/>
            </w:pPr>
            <w:r>
              <w:t>Unstructured classified ads</w:t>
            </w:r>
          </w:p>
        </w:tc>
        <w:tc>
          <w:tcPr>
            <w:tcW w:type="dxa" w:w="1644"/>
            <w:tcMar>
              <w:top w:w="70" w:type="dxa"/>
              <w:bottom w:w="70" w:type="dxa"/>
              <w:left w:w="100" w:type="dxa"/>
              <w:right w:w="100" w:type="dxa"/>
            </w:tcMar>
          </w:tcPr>
          <w:p>
            <w:pPr>
              <w:spacing w:line="276" w:lineRule="auto" w:after="40"/>
            </w:pPr>
            <w:r>
              <w:t>Basic phone number verification (High fraud risk)</w:t>
            </w:r>
          </w:p>
        </w:tc>
        <w:tc>
          <w:tcPr>
            <w:tcW w:type="dxa" w:w="1644"/>
            <w:tcMar>
              <w:top w:w="70" w:type="dxa"/>
              <w:bottom w:w="70" w:type="dxa"/>
              <w:left w:w="100" w:type="dxa"/>
              <w:right w:w="100" w:type="dxa"/>
            </w:tcMar>
          </w:tcPr>
          <w:p>
            <w:pPr>
              <w:spacing w:line="276" w:lineRule="auto" w:after="40"/>
            </w:pPr>
            <w:r>
              <w:t>Unregulated voice phone calls</w:t>
            </w:r>
          </w:p>
        </w:tc>
      </w:tr>
      <w:tr>
        <w:tc>
          <w:tcPr>
            <w:tcW w:type="dxa" w:w="1644"/>
            <w:tcMar>
              <w:top w:w="70" w:type="dxa"/>
              <w:bottom w:w="70" w:type="dxa"/>
              <w:left w:w="100" w:type="dxa"/>
              <w:right w:w="100" w:type="dxa"/>
            </w:tcMar>
          </w:tcPr>
          <w:p>
            <w:pPr>
              <w:spacing w:line="276" w:lineRule="auto" w:after="40"/>
            </w:pPr>
            <w:r>
              <w:t>Lynk (Defunct)</w:t>
            </w:r>
          </w:p>
        </w:tc>
        <w:tc>
          <w:tcPr>
            <w:tcW w:type="dxa" w:w="1644"/>
            <w:tcMar>
              <w:top w:w="70" w:type="dxa"/>
              <w:bottom w:w="70" w:type="dxa"/>
              <w:left w:w="100" w:type="dxa"/>
              <w:right w:w="100" w:type="dxa"/>
            </w:tcMar>
          </w:tcPr>
          <w:p>
            <w:pPr>
              <w:spacing w:line="276" w:lineRule="auto" w:after="40"/>
            </w:pPr>
            <w:r>
              <w:t>Kenya</w:t>
            </w:r>
          </w:p>
        </w:tc>
        <w:tc>
          <w:tcPr>
            <w:tcW w:type="dxa" w:w="1644"/>
            <w:tcMar>
              <w:top w:w="70" w:type="dxa"/>
              <w:bottom w:w="70" w:type="dxa"/>
              <w:left w:w="100" w:type="dxa"/>
              <w:right w:w="100" w:type="dxa"/>
            </w:tcMar>
          </w:tcPr>
          <w:p>
            <w:pPr>
              <w:spacing w:line="276" w:lineRule="auto" w:after="40"/>
            </w:pPr>
            <w:r>
              <w:t>Commission on job matching</w:t>
            </w:r>
          </w:p>
        </w:tc>
        <w:tc>
          <w:tcPr>
            <w:tcW w:type="dxa" w:w="1644"/>
            <w:tcMar>
              <w:top w:w="70" w:type="dxa"/>
              <w:bottom w:w="70" w:type="dxa"/>
              <w:left w:w="100" w:type="dxa"/>
              <w:right w:w="100" w:type="dxa"/>
            </w:tcMar>
          </w:tcPr>
          <w:p>
            <w:pPr>
              <w:spacing w:line="276" w:lineRule="auto" w:after="40"/>
            </w:pPr>
            <w:r>
              <w:t>Manual artisan vetting &amp; trade test audits</w:t>
            </w:r>
          </w:p>
        </w:tc>
        <w:tc>
          <w:tcPr>
            <w:tcW w:type="dxa" w:w="1644"/>
            <w:tcMar>
              <w:top w:w="70" w:type="dxa"/>
              <w:bottom w:w="70" w:type="dxa"/>
              <w:left w:w="100" w:type="dxa"/>
              <w:right w:w="100" w:type="dxa"/>
            </w:tcMar>
          </w:tcPr>
          <w:p>
            <w:pPr>
              <w:spacing w:line="276" w:lineRule="auto" w:after="40"/>
            </w:pPr>
            <w:r>
              <w:t>Call center dispatch operator</w:t>
            </w:r>
          </w:p>
        </w:tc>
      </w:tr>
      <w:tr>
        <w:tc>
          <w:tcPr>
            <w:tcW w:type="dxa" w:w="1644"/>
            <w:tcMar>
              <w:top w:w="70" w:type="dxa"/>
              <w:bottom w:w="70" w:type="dxa"/>
              <w:left w:w="100" w:type="dxa"/>
              <w:right w:w="100" w:type="dxa"/>
            </w:tcMar>
          </w:tcPr>
          <w:p>
            <w:pPr>
              <w:spacing w:line="276" w:lineRule="auto" w:after="40"/>
            </w:pPr>
            <w:r>
              <w:t>Fix it Marketplace</w:t>
            </w:r>
          </w:p>
        </w:tc>
        <w:tc>
          <w:tcPr>
            <w:tcW w:type="dxa" w:w="1644"/>
            <w:tcMar>
              <w:top w:w="70" w:type="dxa"/>
              <w:bottom w:w="70" w:type="dxa"/>
              <w:left w:w="100" w:type="dxa"/>
              <w:right w:w="100" w:type="dxa"/>
            </w:tcMar>
          </w:tcPr>
          <w:p>
            <w:pPr>
              <w:spacing w:line="276" w:lineRule="auto" w:after="40"/>
            </w:pPr>
            <w:r>
              <w:t>Ghana (Accra / Kumasi)</w:t>
            </w:r>
          </w:p>
        </w:tc>
        <w:tc>
          <w:tcPr>
            <w:tcW w:type="dxa" w:w="1644"/>
            <w:tcMar>
              <w:top w:w="70" w:type="dxa"/>
              <w:bottom w:w="70" w:type="dxa"/>
              <w:left w:w="100" w:type="dxa"/>
              <w:right w:w="100" w:type="dxa"/>
            </w:tcMar>
          </w:tcPr>
          <w:p>
            <w:pPr>
              <w:spacing w:line="276" w:lineRule="auto" w:after="40"/>
            </w:pPr>
            <w:r>
              <w:t>Standardized 3-tier GHS packages</w:t>
            </w:r>
          </w:p>
        </w:tc>
        <w:tc>
          <w:tcPr>
            <w:tcW w:type="dxa" w:w="1644"/>
            <w:tcMar>
              <w:top w:w="70" w:type="dxa"/>
              <w:bottom w:w="70" w:type="dxa"/>
              <w:left w:w="100" w:type="dxa"/>
              <w:right w:w="100" w:type="dxa"/>
            </w:tcMar>
          </w:tcPr>
          <w:p>
            <w:pPr>
              <w:spacing w:line="276" w:lineRule="auto" w:after="40"/>
            </w:pPr>
            <w:r>
              <w:t>Clerk JWT authentication, admin approval, reviews</w:t>
            </w:r>
          </w:p>
        </w:tc>
        <w:tc>
          <w:tcPr>
            <w:tcW w:type="dxa" w:w="1644"/>
            <w:tcMar>
              <w:top w:w="70" w:type="dxa"/>
              <w:bottom w:w="70" w:type="dxa"/>
              <w:left w:w="100" w:type="dxa"/>
              <w:right w:w="100" w:type="dxa"/>
            </w:tcMar>
          </w:tcPr>
          <w:p>
            <w:pPr>
              <w:spacing w:line="276" w:lineRule="auto" w:after="40"/>
            </w:pPr>
            <w:r>
              <w:t>Centralized web ledger + WhatsApp Bridge</w:t>
            </w:r>
          </w:p>
        </w:tc>
      </w:tr>
    </w:tbl>
    <w:p>
      <w:pPr>
        <w:spacing w:line="480" w:lineRule="auto" w:before="0" w:after="240"/>
        <w:ind w:firstLine="0"/>
        <w:jc w:val="both"/>
      </w:pPr>
      <w:r>
        <w:rPr>
          <w:rFonts w:ascii="Times New Roman" w:hAnsi="Times New Roman"/>
          <w:sz w:val="24"/>
        </w:rPr>
        <w:t>As evidenced by Table 2-1, Western platforms like TaskRabbit rely heavily on formal credit bureaus and integrated insurance frameworks that are non-existent in informal African markets. Conversely, regional classified portals like Jiji Ghana exhibit near-zero transaction governance, degenerating into unvetted directories where consumers assume all personal safety and financial risks. Lynk in Kenya demonstrated initial success but collapsed under the overhead of manual call-center dispatching. Fix it Marketplace bridges this gap by combining self-service web automation with direct, localized WhatsApp bridges.</w:t>
      </w:r>
    </w:p>
    <w:p>
      <w:pPr>
        <w:spacing w:line="276" w:lineRule="auto" w:before="280" w:after="120"/>
        <w:jc w:val="left"/>
      </w:pPr>
      <w:r>
        <w:rPr>
          <w:rFonts w:ascii="Times New Roman" w:hAnsi="Times New Roman"/>
          <w:b/>
          <w:sz w:val="24"/>
        </w:rPr>
        <w:t>2.5 Architectural Evolution: Jamstack vs Monolithic MVC</w:t>
      </w:r>
    </w:p>
    <w:p>
      <w:pPr>
        <w:spacing w:line="480" w:lineRule="auto" w:before="0" w:after="240"/>
        <w:ind w:firstLine="0"/>
        <w:jc w:val="both"/>
      </w:pPr>
      <w:r>
        <w:rPr>
          <w:rFonts w:ascii="Times New Roman" w:hAnsi="Times New Roman"/>
          <w:sz w:val="24"/>
        </w:rPr>
        <w:t>Historically, web application back-ends were constructed using monolithic Model-View-Controller (MVC) frameworks, such as Laravel (PHP), Django (Python), or Ruby on Rails. While MVC provided cohesive database abstraction, monolithic architectures suffer from severe scalability bottlenecks under volatile traffic and impose heavy server-side compute overhead for every page delivery. In resource-constrained network settings, monolithic server round-trips introduce crippling latency, frustrating mobile users.</w:t>
      </w:r>
    </w:p>
    <w:p>
      <w:pPr>
        <w:spacing w:line="480" w:lineRule="auto" w:before="0" w:after="240"/>
        <w:ind w:firstLine="0"/>
        <w:jc w:val="both"/>
      </w:pPr>
      <w:r>
        <w:rPr>
          <w:rFonts w:ascii="Times New Roman" w:hAnsi="Times New Roman"/>
          <w:sz w:val="24"/>
        </w:rPr>
        <w:t>To mitigate these inefficiencies, modern software engineering has embraced the Jamstack (JavaScript, APIs, Markup) and Headless CMS paradigm. By decoupling the dynamic presentation layer from the underlying content repository, front-end assets can be pre-rendered, cached across global Edge Content Delivery Networks (CDNs), and hydrated on demand. Leveraging Next.js 16 with React 19 Server Components allows the platform to execute database queries on the edge while streaming minimal zero-bundle-size HTML to client viewports, drastically reducing mobile cellular data consumption.</w:t>
      </w:r>
    </w:p>
    <w:p>
      <w:pPr>
        <w:spacing w:line="276" w:lineRule="auto" w:before="280" w:after="120"/>
        <w:jc w:val="left"/>
      </w:pPr>
      <w:r>
        <w:rPr>
          <w:rFonts w:ascii="Times New Roman" w:hAnsi="Times New Roman"/>
          <w:b/>
          <w:sz w:val="24"/>
        </w:rPr>
        <w:t>2.6 The African Technical &amp; Usability Gap</w:t>
      </w:r>
    </w:p>
    <w:p>
      <w:pPr>
        <w:spacing w:line="480" w:lineRule="auto" w:before="0" w:after="240"/>
        <w:ind w:firstLine="0"/>
        <w:jc w:val="both"/>
      </w:pPr>
      <w:r>
        <w:rPr>
          <w:rFonts w:ascii="Times New Roman" w:hAnsi="Times New Roman"/>
          <w:sz w:val="24"/>
        </w:rPr>
        <w:t>The critical synthesis of existing literature underscores an unresolved technical gap: the absence of an integrated, trust-centric marketplace architecture that combines edge-rendered web performance, structured multi-tier service scoping, and localized instant messaging bridges tailored to West Africa. Existing systems either alienate manual artisans through overly convoluted Western booking interfaces or abandon consumers to chaotic, unvetted classifieds. Fix it Marketplace addresses this precise void, establishing a robust, culturally resonant engineering model.</w:t>
      </w:r>
    </w:p>
    <w:p>
      <w:r>
        <w:br w:type="page"/>
      </w:r>
    </w:p>
    <w:p>
      <w:pPr>
        <w:spacing w:line="276" w:lineRule="auto" w:before="360" w:after="240"/>
        <w:jc w:val="center"/>
      </w:pPr>
      <w:r>
        <w:rPr>
          <w:rFonts w:ascii="Times New Roman" w:hAnsi="Times New Roman"/>
          <w:b/>
          <w:sz w:val="28"/>
        </w:rPr>
        <w:t>CHAPTER III</w:t>
        <w:br/>
        <w:br/>
      </w:r>
      <w:r>
        <w:rPr>
          <w:rFonts w:ascii="Times New Roman" w:hAnsi="Times New Roman"/>
          <w:b/>
          <w:sz w:val="28"/>
        </w:rPr>
        <w:t>SYSTEM METHODOLOGY &amp; ARCHITECTURE</w:t>
      </w:r>
    </w:p>
    <w:p>
      <w:pPr>
        <w:spacing w:line="480" w:lineRule="auto" w:before="0" w:after="0"/>
      </w:pPr>
    </w:p>
    <w:p>
      <w:pPr>
        <w:spacing w:line="276" w:lineRule="auto" w:before="280" w:after="120"/>
        <w:jc w:val="left"/>
      </w:pPr>
      <w:r>
        <w:rPr>
          <w:rFonts w:ascii="Times New Roman" w:hAnsi="Times New Roman"/>
          <w:b/>
          <w:sz w:val="24"/>
        </w:rPr>
        <w:t>3.1 Software Engineering Methodology</w:t>
      </w:r>
    </w:p>
    <w:p>
      <w:pPr>
        <w:spacing w:line="480" w:lineRule="auto" w:before="0" w:after="240"/>
        <w:ind w:firstLine="0"/>
        <w:jc w:val="both"/>
      </w:pPr>
      <w:r>
        <w:rPr>
          <w:rFonts w:ascii="Times New Roman" w:hAnsi="Times New Roman"/>
          <w:sz w:val="24"/>
        </w:rPr>
        <w:t>The development of Fix it Marketplace was executed using the Agile Scrum framework, an iterative and incremental software engineering paradigm. Given the multifaceted nature of two-sided platforms, Agile Scrum enabled rapid feedback loops, continuous integration, and frequent stakeholder alignment. The project was executed across four distinct two-week sprints, addressing: (1) Domain modeling and Sanity headless schema architecture; (2) Clerk identity integration and dual-role authentication; (3) Next.js App Router front-end construction with faceted catalog search; and (4) Booking state management, WhatsApp integration, and empirical usability evaluation.</w:t>
      </w:r>
    </w:p>
    <w:p>
      <w:pPr>
        <w:spacing w:line="276" w:lineRule="auto" w:before="280" w:after="120"/>
        <w:jc w:val="left"/>
      </w:pPr>
      <w:r>
        <w:rPr>
          <w:rFonts w:ascii="Times New Roman" w:hAnsi="Times New Roman"/>
          <w:b/>
          <w:sz w:val="24"/>
        </w:rPr>
        <w:t>3.2 Comprehensive System Requirements Specification</w:t>
      </w:r>
    </w:p>
    <w:p>
      <w:pPr>
        <w:spacing w:line="480" w:lineRule="auto" w:before="0" w:after="240"/>
        <w:ind w:firstLine="0"/>
        <w:jc w:val="both"/>
      </w:pPr>
      <w:r>
        <w:rPr>
          <w:rFonts w:ascii="Times New Roman" w:hAnsi="Times New Roman"/>
          <w:sz w:val="24"/>
        </w:rPr>
        <w:t>System requirements were elicited through structured interviews with local homeowners, estate managers, and independent artisans across Accra and Kumasi. These requirements were formalized into Functional (FR) and Non-Functional (NFR) matrices, detailed in Tables 3-1 and 3-2.</w:t>
      </w:r>
    </w:p>
    <w:p>
      <w:pPr>
        <w:spacing w:line="276" w:lineRule="auto" w:before="240" w:after="80"/>
      </w:pPr>
      <w:r>
        <w:rPr>
          <w:rFonts w:ascii="Times New Roman" w:hAnsi="Times New Roman"/>
          <w:b/>
          <w:sz w:val="24"/>
        </w:rPr>
        <w:t>Table 3-1: System Functional Requirements Matrix (FR-01 to FR-12)</w:t>
      </w:r>
    </w:p>
    <w:tbl>
      <w:tblPr>
        <w:tblW w:type="auto" w:w="0"/>
        <w:jc w:val="center"/>
        <w:tblLook w:firstColumn="1" w:firstRow="1" w:lastColumn="0" w:lastRow="0" w:noHBand="0" w:noVBand="1" w:val="04A0"/>
      </w:tblPr>
      <w:tblGrid>
        <w:gridCol w:w="2740"/>
        <w:gridCol w:w="2740"/>
        <w:gridCol w:w="2740"/>
      </w:tblGrid>
      <w:tr>
        <w:tc>
          <w:tcPr>
            <w:tcW w:type="dxa" w:w="2740"/>
            <w:tcMar>
              <w:top w:w="70" w:type="dxa"/>
              <w:bottom w:w="70" w:type="dxa"/>
              <w:left w:w="100" w:type="dxa"/>
              <w:right w:w="100" w:type="dxa"/>
            </w:tcMar>
            <w:shd w:fill="E5E7EB"/>
          </w:tcPr>
          <w:p>
            <w:pPr>
              <w:spacing w:line="276" w:lineRule="auto" w:after="40"/>
            </w:pPr>
            <w:r>
              <w:rPr>
                <w:b/>
              </w:rPr>
              <w:t>Req ID</w:t>
            </w:r>
          </w:p>
        </w:tc>
        <w:tc>
          <w:tcPr>
            <w:tcW w:type="dxa" w:w="2740"/>
            <w:tcMar>
              <w:top w:w="70" w:type="dxa"/>
              <w:bottom w:w="70" w:type="dxa"/>
              <w:left w:w="100" w:type="dxa"/>
              <w:right w:w="100" w:type="dxa"/>
            </w:tcMar>
            <w:shd w:fill="E5E7EB"/>
          </w:tcPr>
          <w:p>
            <w:pPr>
              <w:spacing w:line="276" w:lineRule="auto" w:after="40"/>
            </w:pPr>
            <w:r>
              <w:rPr>
                <w:b/>
              </w:rPr>
              <w:t>Functional Requirement Description</w:t>
            </w:r>
          </w:p>
        </w:tc>
        <w:tc>
          <w:tcPr>
            <w:tcW w:type="dxa" w:w="2740"/>
            <w:tcMar>
              <w:top w:w="70" w:type="dxa"/>
              <w:bottom w:w="70" w:type="dxa"/>
              <w:left w:w="100" w:type="dxa"/>
              <w:right w:w="100" w:type="dxa"/>
            </w:tcMar>
            <w:shd w:fill="E5E7EB"/>
          </w:tcPr>
          <w:p>
            <w:pPr>
              <w:spacing w:line="276" w:lineRule="auto" w:after="40"/>
            </w:pPr>
            <w:r>
              <w:rPr>
                <w:b/>
              </w:rPr>
              <w:t>Target User Persona</w:t>
            </w:r>
          </w:p>
        </w:tc>
      </w:tr>
      <w:tr>
        <w:tc>
          <w:tcPr>
            <w:tcW w:type="dxa" w:w="2740"/>
            <w:tcMar>
              <w:top w:w="70" w:type="dxa"/>
              <w:bottom w:w="70" w:type="dxa"/>
              <w:left w:w="100" w:type="dxa"/>
              <w:right w:w="100" w:type="dxa"/>
            </w:tcMar>
          </w:tcPr>
          <w:p>
            <w:pPr>
              <w:spacing w:line="276" w:lineRule="auto" w:after="40"/>
            </w:pPr>
            <w:r>
              <w:t>FR-01</w:t>
            </w:r>
          </w:p>
        </w:tc>
        <w:tc>
          <w:tcPr>
            <w:tcW w:type="dxa" w:w="2740"/>
            <w:tcMar>
              <w:top w:w="70" w:type="dxa"/>
              <w:bottom w:w="70" w:type="dxa"/>
              <w:left w:w="100" w:type="dxa"/>
              <w:right w:w="100" w:type="dxa"/>
            </w:tcMar>
          </w:tcPr>
          <w:p>
            <w:pPr>
              <w:spacing w:line="276" w:lineRule="auto" w:after="40"/>
            </w:pPr>
            <w:r>
              <w:t>Authenticate via email/password and Google OAuth with automatic role provision</w:t>
            </w:r>
          </w:p>
        </w:tc>
        <w:tc>
          <w:tcPr>
            <w:tcW w:type="dxa" w:w="2740"/>
            <w:tcMar>
              <w:top w:w="70" w:type="dxa"/>
              <w:bottom w:w="70" w:type="dxa"/>
              <w:left w:w="100" w:type="dxa"/>
              <w:right w:w="100" w:type="dxa"/>
            </w:tcMar>
          </w:tcPr>
          <w:p>
            <w:pPr>
              <w:spacing w:line="276" w:lineRule="auto" w:after="40"/>
            </w:pPr>
            <w:r>
              <w:t>All Users</w:t>
            </w:r>
          </w:p>
        </w:tc>
      </w:tr>
      <w:tr>
        <w:tc>
          <w:tcPr>
            <w:tcW w:type="dxa" w:w="2740"/>
            <w:tcMar>
              <w:top w:w="70" w:type="dxa"/>
              <w:bottom w:w="70" w:type="dxa"/>
              <w:left w:w="100" w:type="dxa"/>
              <w:right w:w="100" w:type="dxa"/>
            </w:tcMar>
          </w:tcPr>
          <w:p>
            <w:pPr>
              <w:spacing w:line="276" w:lineRule="auto" w:after="40"/>
            </w:pPr>
            <w:r>
              <w:t>FR-02</w:t>
            </w:r>
          </w:p>
        </w:tc>
        <w:tc>
          <w:tcPr>
            <w:tcW w:type="dxa" w:w="2740"/>
            <w:tcMar>
              <w:top w:w="70" w:type="dxa"/>
              <w:bottom w:w="70" w:type="dxa"/>
              <w:left w:w="100" w:type="dxa"/>
              <w:right w:w="100" w:type="dxa"/>
            </w:tcMar>
          </w:tcPr>
          <w:p>
            <w:pPr>
              <w:spacing w:line="276" w:lineRule="auto" w:after="40"/>
            </w:pPr>
            <w:r>
              <w:t>Browse categorized service directory with dynamic keyword search and area filtering</w:t>
            </w:r>
          </w:p>
        </w:tc>
        <w:tc>
          <w:tcPr>
            <w:tcW w:type="dxa" w:w="2740"/>
            <w:tcMar>
              <w:top w:w="70" w:type="dxa"/>
              <w:bottom w:w="70" w:type="dxa"/>
              <w:left w:w="100" w:type="dxa"/>
              <w:right w:w="100" w:type="dxa"/>
            </w:tcMar>
          </w:tcPr>
          <w:p>
            <w:pPr>
              <w:spacing w:line="276" w:lineRule="auto" w:after="40"/>
            </w:pPr>
            <w:r>
              <w:t>Customer</w:t>
            </w:r>
          </w:p>
        </w:tc>
      </w:tr>
      <w:tr>
        <w:tc>
          <w:tcPr>
            <w:tcW w:type="dxa" w:w="2740"/>
            <w:tcMar>
              <w:top w:w="70" w:type="dxa"/>
              <w:bottom w:w="70" w:type="dxa"/>
              <w:left w:w="100" w:type="dxa"/>
              <w:right w:w="100" w:type="dxa"/>
            </w:tcMar>
          </w:tcPr>
          <w:p>
            <w:pPr>
              <w:spacing w:line="276" w:lineRule="auto" w:after="40"/>
            </w:pPr>
            <w:r>
              <w:t>FR-03</w:t>
            </w:r>
          </w:p>
        </w:tc>
        <w:tc>
          <w:tcPr>
            <w:tcW w:type="dxa" w:w="2740"/>
            <w:tcMar>
              <w:top w:w="70" w:type="dxa"/>
              <w:bottom w:w="70" w:type="dxa"/>
              <w:left w:w="100" w:type="dxa"/>
              <w:right w:w="100" w:type="dxa"/>
            </w:tcMar>
          </w:tcPr>
          <w:p>
            <w:pPr>
              <w:spacing w:line="276" w:lineRule="auto" w:after="40"/>
            </w:pPr>
            <w:r>
              <w:t>View comprehensive service detail pages with 3-tier packages (Basic, Standard, Premium)</w:t>
            </w:r>
          </w:p>
        </w:tc>
        <w:tc>
          <w:tcPr>
            <w:tcW w:type="dxa" w:w="2740"/>
            <w:tcMar>
              <w:top w:w="70" w:type="dxa"/>
              <w:bottom w:w="70" w:type="dxa"/>
              <w:left w:w="100" w:type="dxa"/>
              <w:right w:w="100" w:type="dxa"/>
            </w:tcMar>
          </w:tcPr>
          <w:p>
            <w:pPr>
              <w:spacing w:line="276" w:lineRule="auto" w:after="40"/>
            </w:pPr>
            <w:r>
              <w:t>Customer</w:t>
            </w:r>
          </w:p>
        </w:tc>
      </w:tr>
      <w:tr>
        <w:tc>
          <w:tcPr>
            <w:tcW w:type="dxa" w:w="2740"/>
            <w:tcMar>
              <w:top w:w="70" w:type="dxa"/>
              <w:bottom w:w="70" w:type="dxa"/>
              <w:left w:w="100" w:type="dxa"/>
              <w:right w:w="100" w:type="dxa"/>
            </w:tcMar>
          </w:tcPr>
          <w:p>
            <w:pPr>
              <w:spacing w:line="276" w:lineRule="auto" w:after="40"/>
            </w:pPr>
            <w:r>
              <w:t>FR-04</w:t>
            </w:r>
          </w:p>
        </w:tc>
        <w:tc>
          <w:tcPr>
            <w:tcW w:type="dxa" w:w="2740"/>
            <w:tcMar>
              <w:top w:w="70" w:type="dxa"/>
              <w:bottom w:w="70" w:type="dxa"/>
              <w:left w:w="100" w:type="dxa"/>
              <w:right w:w="100" w:type="dxa"/>
            </w:tcMar>
          </w:tcPr>
          <w:p>
            <w:pPr>
              <w:spacing w:line="276" w:lineRule="auto" w:after="40"/>
            </w:pPr>
            <w:r>
              <w:t>Submit booking requests specifying package, service date, address, and notes</w:t>
            </w:r>
          </w:p>
        </w:tc>
        <w:tc>
          <w:tcPr>
            <w:tcW w:type="dxa" w:w="2740"/>
            <w:tcMar>
              <w:top w:w="70" w:type="dxa"/>
              <w:bottom w:w="70" w:type="dxa"/>
              <w:left w:w="100" w:type="dxa"/>
              <w:right w:w="100" w:type="dxa"/>
            </w:tcMar>
          </w:tcPr>
          <w:p>
            <w:pPr>
              <w:spacing w:line="276" w:lineRule="auto" w:after="40"/>
            </w:pPr>
            <w:r>
              <w:t>Customer</w:t>
            </w:r>
          </w:p>
        </w:tc>
      </w:tr>
      <w:tr>
        <w:tc>
          <w:tcPr>
            <w:tcW w:type="dxa" w:w="2740"/>
            <w:tcMar>
              <w:top w:w="70" w:type="dxa"/>
              <w:bottom w:w="70" w:type="dxa"/>
              <w:left w:w="100" w:type="dxa"/>
              <w:right w:w="100" w:type="dxa"/>
            </w:tcMar>
          </w:tcPr>
          <w:p>
            <w:pPr>
              <w:spacing w:line="276" w:lineRule="auto" w:after="40"/>
            </w:pPr>
            <w:r>
              <w:t>FR-05</w:t>
            </w:r>
          </w:p>
        </w:tc>
        <w:tc>
          <w:tcPr>
            <w:tcW w:type="dxa" w:w="2740"/>
            <w:tcMar>
              <w:top w:w="70" w:type="dxa"/>
              <w:bottom w:w="70" w:type="dxa"/>
              <w:left w:w="100" w:type="dxa"/>
              <w:right w:w="100" w:type="dxa"/>
            </w:tcMar>
          </w:tcPr>
          <w:p>
            <w:pPr>
              <w:spacing w:line="276" w:lineRule="auto" w:after="40"/>
            </w:pPr>
            <w:r>
              <w:t>Track personal order status and initiate direct WhatsApp contact with assigned artisan</w:t>
            </w:r>
          </w:p>
        </w:tc>
        <w:tc>
          <w:tcPr>
            <w:tcW w:type="dxa" w:w="2740"/>
            <w:tcMar>
              <w:top w:w="70" w:type="dxa"/>
              <w:bottom w:w="70" w:type="dxa"/>
              <w:left w:w="100" w:type="dxa"/>
              <w:right w:w="100" w:type="dxa"/>
            </w:tcMar>
          </w:tcPr>
          <w:p>
            <w:pPr>
              <w:spacing w:line="276" w:lineRule="auto" w:after="40"/>
            </w:pPr>
            <w:r>
              <w:t>Customer</w:t>
            </w:r>
          </w:p>
        </w:tc>
      </w:tr>
      <w:tr>
        <w:tc>
          <w:tcPr>
            <w:tcW w:type="dxa" w:w="2740"/>
            <w:tcMar>
              <w:top w:w="70" w:type="dxa"/>
              <w:bottom w:w="70" w:type="dxa"/>
              <w:left w:w="100" w:type="dxa"/>
              <w:right w:w="100" w:type="dxa"/>
            </w:tcMar>
          </w:tcPr>
          <w:p>
            <w:pPr>
              <w:spacing w:line="276" w:lineRule="auto" w:after="40"/>
            </w:pPr>
            <w:r>
              <w:t>FR-06</w:t>
            </w:r>
          </w:p>
        </w:tc>
        <w:tc>
          <w:tcPr>
            <w:tcW w:type="dxa" w:w="2740"/>
            <w:tcMar>
              <w:top w:w="70" w:type="dxa"/>
              <w:bottom w:w="70" w:type="dxa"/>
              <w:left w:w="100" w:type="dxa"/>
              <w:right w:w="100" w:type="dxa"/>
            </w:tcMar>
          </w:tcPr>
          <w:p>
            <w:pPr>
              <w:spacing w:line="276" w:lineRule="auto" w:after="40"/>
            </w:pPr>
            <w:r>
              <w:t>Complete artisan onboarding profile builder with trade selection and experience verification</w:t>
            </w:r>
          </w:p>
        </w:tc>
        <w:tc>
          <w:tcPr>
            <w:tcW w:type="dxa" w:w="2740"/>
            <w:tcMar>
              <w:top w:w="70" w:type="dxa"/>
              <w:bottom w:w="70" w:type="dxa"/>
              <w:left w:w="100" w:type="dxa"/>
              <w:right w:w="100" w:type="dxa"/>
            </w:tcMar>
          </w:tcPr>
          <w:p>
            <w:pPr>
              <w:spacing w:line="276" w:lineRule="auto" w:after="40"/>
            </w:pPr>
            <w:r>
              <w:t>Service Provider</w:t>
            </w:r>
          </w:p>
        </w:tc>
      </w:tr>
    </w:tbl>
    <w:p>
      <w:pPr>
        <w:spacing w:line="276" w:lineRule="auto" w:before="240" w:after="80"/>
      </w:pPr>
      <w:r>
        <w:rPr>
          <w:rFonts w:ascii="Times New Roman" w:hAnsi="Times New Roman"/>
          <w:b/>
          <w:sz w:val="24"/>
        </w:rPr>
        <w:t>Table 3-2: System Non-Functional Requirements Specification (NFR-01 to NFR-08)</w:t>
      </w:r>
    </w:p>
    <w:tbl>
      <w:tblPr>
        <w:tblW w:type="auto" w:w="0"/>
        <w:jc w:val="center"/>
        <w:tblLook w:firstColumn="1" w:firstRow="1" w:lastColumn="0" w:lastRow="0" w:noHBand="0" w:noVBand="1" w:val="04A0"/>
      </w:tblPr>
      <w:tblGrid>
        <w:gridCol w:w="2740"/>
        <w:gridCol w:w="2740"/>
        <w:gridCol w:w="2740"/>
      </w:tblGrid>
      <w:tr>
        <w:tc>
          <w:tcPr>
            <w:tcW w:type="dxa" w:w="2740"/>
            <w:tcMar>
              <w:top w:w="70" w:type="dxa"/>
              <w:bottom w:w="70" w:type="dxa"/>
              <w:left w:w="100" w:type="dxa"/>
              <w:right w:w="100" w:type="dxa"/>
            </w:tcMar>
            <w:shd w:fill="E5E7EB"/>
          </w:tcPr>
          <w:p>
            <w:pPr>
              <w:spacing w:line="276" w:lineRule="auto" w:after="40"/>
            </w:pPr>
            <w:r>
              <w:rPr>
                <w:b/>
              </w:rPr>
              <w:t>NFR ID</w:t>
            </w:r>
          </w:p>
        </w:tc>
        <w:tc>
          <w:tcPr>
            <w:tcW w:type="dxa" w:w="2740"/>
            <w:tcMar>
              <w:top w:w="70" w:type="dxa"/>
              <w:bottom w:w="70" w:type="dxa"/>
              <w:left w:w="100" w:type="dxa"/>
              <w:right w:w="100" w:type="dxa"/>
            </w:tcMar>
            <w:shd w:fill="E5E7EB"/>
          </w:tcPr>
          <w:p>
            <w:pPr>
              <w:spacing w:line="276" w:lineRule="auto" w:after="40"/>
            </w:pPr>
            <w:r>
              <w:rPr>
                <w:b/>
              </w:rPr>
              <w:t>Non-Functional Dimension</w:t>
            </w:r>
          </w:p>
        </w:tc>
        <w:tc>
          <w:tcPr>
            <w:tcW w:type="dxa" w:w="2740"/>
            <w:tcMar>
              <w:top w:w="70" w:type="dxa"/>
              <w:bottom w:w="70" w:type="dxa"/>
              <w:left w:w="100" w:type="dxa"/>
              <w:right w:w="100" w:type="dxa"/>
            </w:tcMar>
            <w:shd w:fill="E5E7EB"/>
          </w:tcPr>
          <w:p>
            <w:pPr>
              <w:spacing w:line="276" w:lineRule="auto" w:after="40"/>
            </w:pPr>
            <w:r>
              <w:rPr>
                <w:b/>
              </w:rPr>
              <w:t>Target Technical Benchmark</w:t>
            </w:r>
          </w:p>
        </w:tc>
      </w:tr>
      <w:tr>
        <w:tc>
          <w:tcPr>
            <w:tcW w:type="dxa" w:w="2740"/>
            <w:tcMar>
              <w:top w:w="70" w:type="dxa"/>
              <w:bottom w:w="70" w:type="dxa"/>
              <w:left w:w="100" w:type="dxa"/>
              <w:right w:w="100" w:type="dxa"/>
            </w:tcMar>
          </w:tcPr>
          <w:p>
            <w:pPr>
              <w:spacing w:line="276" w:lineRule="auto" w:after="40"/>
            </w:pPr>
            <w:r>
              <w:t>NFR-01</w:t>
            </w:r>
          </w:p>
        </w:tc>
        <w:tc>
          <w:tcPr>
            <w:tcW w:type="dxa" w:w="2740"/>
            <w:tcMar>
              <w:top w:w="70" w:type="dxa"/>
              <w:bottom w:w="70" w:type="dxa"/>
              <w:left w:w="100" w:type="dxa"/>
              <w:right w:w="100" w:type="dxa"/>
            </w:tcMar>
          </w:tcPr>
          <w:p>
            <w:pPr>
              <w:spacing w:line="276" w:lineRule="auto" w:after="40"/>
            </w:pPr>
            <w:r>
              <w:t>Page Load Latency</w:t>
            </w:r>
          </w:p>
        </w:tc>
        <w:tc>
          <w:tcPr>
            <w:tcW w:type="dxa" w:w="2740"/>
            <w:tcMar>
              <w:top w:w="70" w:type="dxa"/>
              <w:bottom w:w="70" w:type="dxa"/>
              <w:left w:w="100" w:type="dxa"/>
              <w:right w:w="100" w:type="dxa"/>
            </w:tcMar>
          </w:tcPr>
          <w:p>
            <w:pPr>
              <w:spacing w:line="276" w:lineRule="auto" w:after="40"/>
            </w:pPr>
            <w:r>
              <w:t>Initial page load under 1.5 seconds; LCP under 2.0s over simulated 4G mobile</w:t>
            </w:r>
          </w:p>
        </w:tc>
      </w:tr>
      <w:tr>
        <w:tc>
          <w:tcPr>
            <w:tcW w:type="dxa" w:w="2740"/>
            <w:tcMar>
              <w:top w:w="70" w:type="dxa"/>
              <w:bottom w:w="70" w:type="dxa"/>
              <w:left w:w="100" w:type="dxa"/>
              <w:right w:w="100" w:type="dxa"/>
            </w:tcMar>
          </w:tcPr>
          <w:p>
            <w:pPr>
              <w:spacing w:line="276" w:lineRule="auto" w:after="40"/>
            </w:pPr>
            <w:r>
              <w:t>NFR-02</w:t>
            </w:r>
          </w:p>
        </w:tc>
        <w:tc>
          <w:tcPr>
            <w:tcW w:type="dxa" w:w="2740"/>
            <w:tcMar>
              <w:top w:w="70" w:type="dxa"/>
              <w:bottom w:w="70" w:type="dxa"/>
              <w:left w:w="100" w:type="dxa"/>
              <w:right w:w="100" w:type="dxa"/>
            </w:tcMar>
          </w:tcPr>
          <w:p>
            <w:pPr>
              <w:spacing w:line="276" w:lineRule="auto" w:after="40"/>
            </w:pPr>
            <w:r>
              <w:t>Accessibility Standards</w:t>
            </w:r>
          </w:p>
        </w:tc>
        <w:tc>
          <w:tcPr>
            <w:tcW w:type="dxa" w:w="2740"/>
            <w:tcMar>
              <w:top w:w="70" w:type="dxa"/>
              <w:bottom w:w="70" w:type="dxa"/>
              <w:left w:w="100" w:type="dxa"/>
              <w:right w:w="100" w:type="dxa"/>
            </w:tcMar>
          </w:tcPr>
          <w:p>
            <w:pPr>
              <w:spacing w:line="276" w:lineRule="auto" w:after="40"/>
            </w:pPr>
            <w:r>
              <w:t>Full compliance with WCAG 2.1 Level AA color contrast, labels, and keyboard navigation</w:t>
            </w:r>
          </w:p>
        </w:tc>
      </w:tr>
      <w:tr>
        <w:tc>
          <w:tcPr>
            <w:tcW w:type="dxa" w:w="2740"/>
            <w:tcMar>
              <w:top w:w="70" w:type="dxa"/>
              <w:bottom w:w="70" w:type="dxa"/>
              <w:left w:w="100" w:type="dxa"/>
              <w:right w:w="100" w:type="dxa"/>
            </w:tcMar>
          </w:tcPr>
          <w:p>
            <w:pPr>
              <w:spacing w:line="276" w:lineRule="auto" w:after="40"/>
            </w:pPr>
            <w:r>
              <w:t>NFR-03</w:t>
            </w:r>
          </w:p>
        </w:tc>
        <w:tc>
          <w:tcPr>
            <w:tcW w:type="dxa" w:w="2740"/>
            <w:tcMar>
              <w:top w:w="70" w:type="dxa"/>
              <w:bottom w:w="70" w:type="dxa"/>
              <w:left w:w="100" w:type="dxa"/>
              <w:right w:w="100" w:type="dxa"/>
            </w:tcMar>
          </w:tcPr>
          <w:p>
            <w:pPr>
              <w:spacing w:line="276" w:lineRule="auto" w:after="40"/>
            </w:pPr>
            <w:r>
              <w:t>Security &amp; Data Privacy</w:t>
            </w:r>
          </w:p>
        </w:tc>
        <w:tc>
          <w:tcPr>
            <w:tcW w:type="dxa" w:w="2740"/>
            <w:tcMar>
              <w:top w:w="70" w:type="dxa"/>
              <w:bottom w:w="70" w:type="dxa"/>
              <w:left w:w="100" w:type="dxa"/>
              <w:right w:w="100" w:type="dxa"/>
            </w:tcMar>
          </w:tcPr>
          <w:p>
            <w:pPr>
              <w:spacing w:line="276" w:lineRule="auto" w:after="40"/>
            </w:pPr>
            <w:r>
              <w:t>TLS 1.3 encryption, secure HTTP-only session cookies, parameterized SQL/GROQ queries</w:t>
            </w:r>
          </w:p>
        </w:tc>
      </w:tr>
      <w:tr>
        <w:tc>
          <w:tcPr>
            <w:tcW w:type="dxa" w:w="2740"/>
            <w:tcMar>
              <w:top w:w="70" w:type="dxa"/>
              <w:bottom w:w="70" w:type="dxa"/>
              <w:left w:w="100" w:type="dxa"/>
              <w:right w:w="100" w:type="dxa"/>
            </w:tcMar>
          </w:tcPr>
          <w:p>
            <w:pPr>
              <w:spacing w:line="276" w:lineRule="auto" w:after="40"/>
            </w:pPr>
            <w:r>
              <w:t>NFR-04</w:t>
            </w:r>
          </w:p>
        </w:tc>
        <w:tc>
          <w:tcPr>
            <w:tcW w:type="dxa" w:w="2740"/>
            <w:tcMar>
              <w:top w:w="70" w:type="dxa"/>
              <w:bottom w:w="70" w:type="dxa"/>
              <w:left w:w="100" w:type="dxa"/>
              <w:right w:w="100" w:type="dxa"/>
            </w:tcMar>
          </w:tcPr>
          <w:p>
            <w:pPr>
              <w:spacing w:line="276" w:lineRule="auto" w:after="40"/>
            </w:pPr>
            <w:r>
              <w:t>Scalability &amp; Concurrency</w:t>
            </w:r>
          </w:p>
        </w:tc>
        <w:tc>
          <w:tcPr>
            <w:tcW w:type="dxa" w:w="2740"/>
            <w:tcMar>
              <w:top w:w="70" w:type="dxa"/>
              <w:bottom w:w="70" w:type="dxa"/>
              <w:left w:w="100" w:type="dxa"/>
              <w:right w:w="100" w:type="dxa"/>
            </w:tcMar>
          </w:tcPr>
          <w:p>
            <w:pPr>
              <w:spacing w:line="276" w:lineRule="auto" w:after="40"/>
            </w:pPr>
            <w:r>
              <w:t>Support for up to 1,000 concurrent active users with sub-second database response times</w:t>
            </w:r>
          </w:p>
        </w:tc>
      </w:tr>
    </w:tbl>
    <w:p>
      <w:pPr>
        <w:spacing w:line="276" w:lineRule="auto" w:before="280" w:after="120"/>
        <w:jc w:val="left"/>
      </w:pPr>
      <w:r>
        <w:rPr>
          <w:rFonts w:ascii="Times New Roman" w:hAnsi="Times New Roman"/>
          <w:b/>
          <w:sz w:val="24"/>
        </w:rPr>
        <w:t>3.3 Multi-Tier Distributed System Architecture</w:t>
      </w:r>
    </w:p>
    <w:p>
      <w:pPr>
        <w:spacing w:line="480" w:lineRule="auto" w:before="0" w:after="240"/>
        <w:ind w:firstLine="0"/>
        <w:jc w:val="both"/>
      </w:pPr>
      <w:r>
        <w:rPr>
          <w:rFonts w:ascii="Times New Roman" w:hAnsi="Times New Roman"/>
          <w:sz w:val="24"/>
        </w:rPr>
        <w:t>Fix it Marketplace is architected as a distributed, decoupled multi-tier cloud application. Figure 3-1 presents the complete structural topology, illustrating data flows across client devices, edge middleware routers, identity providers, headless content lakes, and relational transactional databases.</w:t>
      </w:r>
    </w:p>
    <w:p>
      <w:pPr>
        <w:spacing w:line="240" w:lineRule="auto" w:before="160" w:after="160"/>
        <w:jc w:val="center"/>
      </w:pPr>
      <w:r>
        <w:rPr>
          <w:rFonts w:ascii="Courier New" w:hAnsi="Courier New"/>
          <w:b/>
          <w:sz w:val="19"/>
        </w:rPr>
        <w:t>+-------------------------------------------------------------------------+</w:t>
        <w:br/>
        <w:t>|                 CLIENT LAYER (Responsive Mobile &amp; Desktop)              |</w:t>
        <w:br/>
        <w:t>|   [Next.js 16 Client Components / React 19 UI / Tailwind CSS Styling]   |</w:t>
        <w:br/>
        <w:t>+------------------------------------+------------------------------------+</w:t>
        <w:br/>
        <w:t xml:space="preserve">                                     | HTTPS / TLS 1.3 Requests            </w:t>
        <w:br/>
        <w:t xml:space="preserve">                                     v                                     </w:t>
        <w:br/>
        <w:t>+-------------------------------------------------------------------------+</w:t>
        <w:br/>
        <w:t>|               EDGE ROUTING &amp; AUTHENTICATION MIDDLEWARE                 |</w:t>
        <w:br/>
        <w:t>|     Next.js Edge Runtime  &lt;-----&gt;  Clerk Identity Engine (OAuth/JWT)    |</w:t>
        <w:br/>
        <w:t>+-----------------+-----------------------------------+-------------------+</w:t>
        <w:br/>
        <w:t xml:space="preserve">                  |                                   |                    </w:t>
        <w:br/>
        <w:t xml:space="preserve">        GROQ Query Engine                    REST / Mutation Dispatch      </w:t>
        <w:br/>
        <w:t xml:space="preserve">                  v                                   v                    </w:t>
        <w:br/>
        <w:t>+-----------------------------------+   +---------------------------------+</w:t>
        <w:br/>
        <w:t>|      HEADLESS CONTENT LAKE        |   |   RELATIONAL TRANSACTION DB     |</w:t>
        <w:br/>
        <w:t>|     (Sanity CMS Cloud Engine)     |   |   (Neon Serverless PostgreSQL)  |</w:t>
        <w:br/>
        <w:t>| - Services, Categories, Providers |   | - Stateful Bookings &amp; Orders    |</w:t>
        <w:br/>
        <w:t>| - Service Packages, Cover Images  |   | - User Roles, Cancellation Logs |</w:t>
        <w:br/>
        <w:t>+-----------------------------------+   +---------------------------------+</w:t>
        <w:br/>
        <w:t xml:space="preserve">                  |                                   |                    </w:t>
        <w:br/>
        <w:t xml:space="preserve">                  +-----------------+-----------------+                    </w:t>
        <w:br/>
        <w:t xml:space="preserve">                                    v                                      </w:t>
        <w:br/>
        <w:t>+-------------------------------------------------------------------------+</w:t>
        <w:br/>
        <w:t>|             EXTERNAL REAL-TIME INTEGRATION PROTOCOLS                    |</w:t>
        <w:br/>
        <w:t>|   - WhatsApp Universal Deep-Link Engine (+233 Telephone Normalization)  |</w:t>
        <w:br/>
        <w:t>|   - Webhook Mutation Dispatchers with Cryptographic HMAC Verification   |</w:t>
        <w:br/>
        <w:t>+-------------------------------------------------------------------------+</w:t>
      </w:r>
    </w:p>
    <w:p>
      <w:pPr>
        <w:spacing w:line="276" w:lineRule="auto" w:before="80" w:after="120"/>
        <w:jc w:val="center"/>
      </w:pPr>
      <w:r>
        <w:rPr>
          <w:rFonts w:ascii="Times New Roman" w:hAnsi="Times New Roman"/>
          <w:i/>
          <w:sz w:val="24"/>
        </w:rPr>
        <w:t xml:space="preserve">Figure 3-1: </w:t>
      </w:r>
      <w:r>
        <w:rPr>
          <w:rFonts w:ascii="Times New Roman" w:hAnsi="Times New Roman"/>
          <w:sz w:val="24"/>
        </w:rPr>
        <w:t>Full-Stack System Architecture Diagram</w:t>
      </w:r>
    </w:p>
    <w:p>
      <w:pPr>
        <w:spacing w:line="480" w:lineRule="auto" w:before="0" w:after="240"/>
        <w:ind w:firstLine="0"/>
        <w:jc w:val="both"/>
      </w:pPr>
      <w:r>
        <w:rPr>
          <w:rFonts w:ascii="Times New Roman" w:hAnsi="Times New Roman"/>
          <w:sz w:val="24"/>
        </w:rPr>
        <w:t>As depicted in Figure 3-1, incoming client requests are evaluated at the edge by Next.js middleware, which intercepts unauthenticated routes and validates cryptographic session tokens minted by Clerk. Read-heavy catalog queries are directed to Sanity’s globally distributed Content Lake, utilizing optimized GROQ projections that eliminate over-fetching. Conversely, transactional state changes—such as booking placements, status updates, and cancellations—are dispatched to Neon PostgreSQL, ensuring ACID compliance and relational integrity.</w:t>
      </w:r>
    </w:p>
    <w:p>
      <w:pPr>
        <w:spacing w:line="276" w:lineRule="auto" w:before="280" w:after="120"/>
        <w:jc w:val="left"/>
      </w:pPr>
      <w:r>
        <w:rPr>
          <w:rFonts w:ascii="Times New Roman" w:hAnsi="Times New Roman"/>
          <w:b/>
          <w:sz w:val="24"/>
        </w:rPr>
        <w:t>3.4 Data Modeling &amp; Schema Design</w:t>
      </w:r>
    </w:p>
    <w:p>
      <w:pPr>
        <w:spacing w:line="480" w:lineRule="auto" w:before="0" w:after="240"/>
        <w:ind w:firstLine="0"/>
        <w:jc w:val="both"/>
      </w:pPr>
      <w:r>
        <w:rPr>
          <w:rFonts w:ascii="Times New Roman" w:hAnsi="Times New Roman"/>
          <w:sz w:val="24"/>
        </w:rPr>
        <w:t>The data layer utilizes a dual-database pattern. Content entities requiring flexible editorial governance are modeled as Sanity document schemas, while transactional state records are maintained in relational tables. Key schemas include:</w:t>
        <w:br/>
        <w:t>1. Service Schema: Defines service title, slug, category reference, provider reference, starting price, currency (GHS), included tasks, exclusions, and multi-tier package arrays.</w:t>
        <w:br/>
        <w:t>2. Provider Schema: Encapsulates artisan display name, slug, phone number, bio, trade specializations, geographic coverage areas, verification badges, and average ratings.</w:t>
        <w:br/>
        <w:t>3. Booking Entity: Maintains client ID, provider ID, package selected, booking date, job address, status enum (Pending, Confirmed, In Progress, Completed, Cancelled), and audit timestamps.</w:t>
      </w:r>
    </w:p>
    <w:p>
      <w:pPr>
        <w:spacing w:line="276" w:lineRule="auto" w:before="200" w:after="80"/>
        <w:jc w:val="left"/>
      </w:pPr>
      <w:r>
        <w:rPr>
          <w:rFonts w:ascii="Times New Roman" w:hAnsi="Times New Roman"/>
          <w:i/>
          <w:sz w:val="24"/>
        </w:rPr>
        <w:t>3.4.1 Relational Schema Invariants and Transactional Integrity</w:t>
      </w:r>
    </w:p>
    <w:p>
      <w:pPr>
        <w:spacing w:line="480" w:lineRule="auto" w:before="0" w:after="240"/>
        <w:ind w:firstLine="0"/>
        <w:jc w:val="both"/>
      </w:pPr>
      <w:r>
        <w:rPr>
          <w:rFonts w:ascii="Times New Roman" w:hAnsi="Times New Roman"/>
          <w:sz w:val="24"/>
        </w:rPr>
        <w:t>While Sanity CMS handles flexible content documents, transactional order tracking requires strict ACID (Atomicity, Consistency, Isolation, Durability) guarantees provided by the relational PostgreSQL store. The booking ledger enforces strict foreign key constraints linking the booking document to the verified Clerk customer identifier and the Sanity provider slug. State transitions are governed by an explicit state machine: a booking cannot transition from 'Pending' directly to 'Completed' without an intermediary 'Confirmed' status, preventing fraudulent invoice generation and ensuring transparent audit trails for both parties.</w:t>
      </w:r>
    </w:p>
    <w:p>
      <w:pPr>
        <w:spacing w:line="480" w:lineRule="auto" w:before="0" w:after="240"/>
        <w:ind w:firstLine="0"/>
        <w:jc w:val="both"/>
      </w:pPr>
      <w:r>
        <w:rPr>
          <w:rFonts w:ascii="Times New Roman" w:hAnsi="Times New Roman"/>
          <w:sz w:val="24"/>
        </w:rPr>
        <w:t>Cancellation integrity is equally enforced: when a client triggers an order cancellation, the relational engine validates that the order is currently in 'Pending' status before applying the status update. Concurrently, an audit log row is appended with the client timestamp, IP hash, and optional cancellation rationale. The client interface receives an optimistic mutation response, immediately purging the cancelled item from the active booking ledger to maintain UI consistency.</w:t>
      </w:r>
    </w:p>
    <w:p>
      <w:pPr>
        <w:spacing w:line="276" w:lineRule="auto" w:before="200" w:after="80"/>
        <w:jc w:val="left"/>
      </w:pPr>
      <w:r>
        <w:rPr>
          <w:rFonts w:ascii="Times New Roman" w:hAnsi="Times New Roman"/>
          <w:i/>
          <w:sz w:val="24"/>
        </w:rPr>
        <w:t>3.6.1 Geospatial Bounding and Haversine Distance Mechanics</w:t>
      </w:r>
    </w:p>
    <w:p>
      <w:pPr>
        <w:spacing w:line="480" w:lineRule="auto" w:before="0" w:after="240"/>
        <w:ind w:firstLine="0"/>
        <w:jc w:val="both"/>
      </w:pPr>
      <w:r>
        <w:rPr>
          <w:rFonts w:ascii="Times New Roman" w:hAnsi="Times New Roman"/>
          <w:sz w:val="24"/>
        </w:rPr>
        <w:t>To prevent matching consumers with artisans residing outside reasonable transit boundaries, the matching engine utilizes the Haversine formula to calculate the spherical distance between the customer's coordinates and the provider's registered operational hub:</w:t>
      </w:r>
    </w:p>
    <w:p>
      <w:pPr>
        <w:spacing w:line="480" w:lineRule="auto" w:before="0" w:after="240"/>
        <w:ind w:firstLine="0"/>
        <w:jc w:val="both"/>
      </w:pPr>
      <w:r>
        <w:rPr>
          <w:rFonts w:ascii="Times New Roman" w:hAnsi="Times New Roman"/>
          <w:sz w:val="24"/>
        </w:rPr>
        <w:t>d = 2 * r * arcsin(sqrt(sin^2((lat2 - lat1)/2) + cos(lat1) * cos(lat2) * sin^2((lon2 - lon1)/2)))</w:t>
      </w:r>
    </w:p>
    <w:p>
      <w:pPr>
        <w:spacing w:line="480" w:lineRule="auto" w:before="0" w:after="240"/>
        <w:ind w:firstLine="0"/>
        <w:jc w:val="both"/>
      </w:pPr>
      <w:r>
        <w:rPr>
          <w:rFonts w:ascii="Times New Roman" w:hAnsi="Times New Roman"/>
          <w:sz w:val="24"/>
        </w:rPr>
        <w:t>Where r is the Earth's radius (6,371 km). When precise GPS telemetry is withheld by privacy-conscious users, the system gracefully falls back to administrative municipal matching across predefined metropolitan zones (e.g. East Legon, Spintex, Osu, Madina, Adum, Bantama).</w:t>
      </w:r>
    </w:p>
    <w:p>
      <w:pPr>
        <w:spacing w:line="276" w:lineRule="auto" w:before="280" w:after="120"/>
        <w:jc w:val="left"/>
      </w:pPr>
      <w:r>
        <w:rPr>
          <w:rFonts w:ascii="Times New Roman" w:hAnsi="Times New Roman"/>
          <w:b/>
          <w:sz w:val="24"/>
        </w:rPr>
        <w:t>3.5 Identity, Role-Based Access Control &amp; Security Architecture</w:t>
      </w:r>
    </w:p>
    <w:p>
      <w:pPr>
        <w:spacing w:line="480" w:lineRule="auto" w:before="0" w:after="240"/>
        <w:ind w:firstLine="0"/>
        <w:jc w:val="both"/>
      </w:pPr>
      <w:r>
        <w:rPr>
          <w:rFonts w:ascii="Times New Roman" w:hAnsi="Times New Roman"/>
          <w:sz w:val="24"/>
        </w:rPr>
        <w:t>Authentication is enforced via Clerk Identity Infrastructure. Users undergo initial authentication via email magic link, password, or Google OAuth. Upon registration, a custom onboarding gateway prompts the user to declare their operational persona: 'customer' or 'provider'. This selection is persisted within Clerk’s `publicMetadata` store. Edge middleware evaluates this metadata token on every navigation event, preventing unauthorized access to administrative artisan dashboards by standard consumer accounts.</w:t>
      </w:r>
    </w:p>
    <w:p>
      <w:pPr>
        <w:spacing w:line="276" w:lineRule="auto" w:before="280" w:after="120"/>
        <w:jc w:val="left"/>
      </w:pPr>
      <w:r>
        <w:rPr>
          <w:rFonts w:ascii="Times New Roman" w:hAnsi="Times New Roman"/>
          <w:b/>
          <w:sz w:val="24"/>
        </w:rPr>
        <w:t>3.6 Provider Matching &amp; Search Ranking Formulations</w:t>
      </w:r>
    </w:p>
    <w:p>
      <w:pPr>
        <w:spacing w:line="480" w:lineRule="auto" w:before="0" w:after="240"/>
        <w:ind w:firstLine="0"/>
        <w:jc w:val="both"/>
      </w:pPr>
      <w:r>
        <w:rPr>
          <w:rFonts w:ascii="Times New Roman" w:hAnsi="Times New Roman"/>
          <w:sz w:val="24"/>
        </w:rPr>
        <w:t>To ensure high-quality matchmaking, search results are ranked using a multi-criteria scoring algorithm combining relevance, verified trust, and customer satisfaction ratings. The composite ranking score S for provider p under search query q is formulated as:</w:t>
      </w:r>
    </w:p>
    <w:p>
      <w:pPr>
        <w:spacing w:line="276" w:lineRule="auto" w:before="160" w:after="160"/>
        <w:jc w:val="center"/>
      </w:pPr>
      <w:r>
        <w:rPr>
          <w:rFonts w:ascii="Courier New" w:hAnsi="Courier New"/>
          <w:b/>
          <w:sz w:val="21"/>
        </w:rPr>
        <w:t>Score(p, q) = w1 * TextRelevance(p, q) + w2 * VerificationWeight(p) + w3 * (AverageRating(p) / 5.0) - w4 * Distance(p, u)</w:t>
      </w:r>
    </w:p>
    <w:p>
      <w:pPr>
        <w:spacing w:line="480" w:lineRule="auto" w:before="0" w:after="240"/>
        <w:ind w:firstLine="0"/>
        <w:jc w:val="both"/>
      </w:pPr>
      <w:r>
        <w:rPr>
          <w:rFonts w:ascii="Times New Roman" w:hAnsi="Times New Roman"/>
          <w:sz w:val="24"/>
        </w:rPr>
        <w:t>Where weights are calibrated to prioritize verified artisans (w2 = 0.35) and high historical ratings (w3 = 0.30) alongside text relevance (w1 = 0.25), while penalizing excessive geographic distance (w4 = 0.10) between provider coverage areas and the customer's stated municipality.</w:t>
      </w:r>
    </w:p>
    <w:p>
      <w:pPr>
        <w:spacing w:line="276" w:lineRule="auto" w:before="280" w:after="120"/>
        <w:jc w:val="left"/>
      </w:pPr>
      <w:r>
        <w:rPr>
          <w:rFonts w:ascii="Times New Roman" w:hAnsi="Times New Roman"/>
          <w:b/>
          <w:sz w:val="24"/>
        </w:rPr>
        <w:t>3.7 High-Fidelity Design System &amp; Component Hierarchy</w:t>
      </w:r>
    </w:p>
    <w:p>
      <w:pPr>
        <w:spacing w:line="480" w:lineRule="auto" w:before="0" w:after="240"/>
        <w:ind w:firstLine="0"/>
        <w:jc w:val="both"/>
      </w:pPr>
      <w:r>
        <w:rPr>
          <w:rFonts w:ascii="Times New Roman" w:hAnsi="Times New Roman"/>
          <w:sz w:val="24"/>
        </w:rPr>
        <w:t>The user interface follows a modern, accessible design system established in Tailwind CSS and documented at the `/design-system` route. Figure 3-2 showcases the live design tokens, color palettes (Deep Indigo primary #1E1B4B, Emerald trust green #059669), component states, form controls, and glassmorphic surface cards captured directly from the running web application.</w:t>
      </w:r>
    </w:p>
    <w:p>
      <w:pPr>
        <w:spacing w:line="480" w:lineRule="auto" w:before="0" w:after="0"/>
      </w:pPr>
    </w:p>
    <w:p>
      <w:pPr>
        <w:spacing w:line="240" w:lineRule="auto" w:before="120" w:after="120"/>
        <w:jc w:val="center"/>
      </w:pPr>
      <w:r>
        <w:drawing>
          <wp:inline xmlns:a="http://schemas.openxmlformats.org/drawingml/2006/main" xmlns:pic="http://schemas.openxmlformats.org/drawingml/2006/picture">
            <wp:extent cx="4860000" cy="3037500"/>
            <wp:docPr id="1" name="Picture 1"/>
            <wp:cNvGraphicFramePr>
              <a:graphicFrameLocks noChangeAspect="1"/>
            </wp:cNvGraphicFramePr>
            <a:graphic>
              <a:graphicData uri="http://schemas.openxmlformats.org/drawingml/2006/picture">
                <pic:pic>
                  <pic:nvPicPr>
                    <pic:cNvPr id="0" name="live_figure_3_2_design_system.png"/>
                    <pic:cNvPicPr/>
                  </pic:nvPicPr>
                  <pic:blipFill>
                    <a:blip r:embed="rId11"/>
                    <a:stretch>
                      <a:fillRect/>
                    </a:stretch>
                  </pic:blipFill>
                  <pic:spPr>
                    <a:xfrm>
                      <a:off x="0" y="0"/>
                      <a:ext cx="4860000" cy="3037500"/>
                    </a:xfrm>
                    <a:prstGeom prst="rect"/>
                  </pic:spPr>
                </pic:pic>
              </a:graphicData>
            </a:graphic>
          </wp:inline>
        </w:drawing>
      </w:r>
    </w:p>
    <w:p>
      <w:pPr>
        <w:spacing w:line="276" w:lineRule="auto" w:before="80" w:after="120"/>
        <w:jc w:val="center"/>
      </w:pPr>
      <w:r>
        <w:rPr>
          <w:rFonts w:ascii="Times New Roman" w:hAnsi="Times New Roman"/>
          <w:i/>
          <w:sz w:val="24"/>
        </w:rPr>
        <w:t xml:space="preserve">Figure 3-2: </w:t>
      </w:r>
      <w:r>
        <w:rPr>
          <w:rFonts w:ascii="Times New Roman" w:hAnsi="Times New Roman"/>
          <w:sz w:val="24"/>
        </w:rPr>
        <w:t>Live Fix-It Design System Architecture &amp; Interactive Components</w:t>
      </w:r>
    </w:p>
    <w:p>
      <w:pPr>
        <w:spacing w:line="480" w:lineRule="auto" w:before="0" w:after="0"/>
      </w:pPr>
    </w:p>
    <w:p>
      <w:pPr>
        <w:spacing w:line="480" w:lineRule="auto" w:before="0" w:after="240"/>
        <w:ind w:firstLine="0"/>
        <w:jc w:val="both"/>
      </w:pPr>
      <w:r>
        <w:rPr>
          <w:rFonts w:ascii="Times New Roman" w:hAnsi="Times New Roman"/>
          <w:sz w:val="24"/>
        </w:rPr>
        <w:t>All visual components adhere strictly to WCAG 2.1 AA accessibility guidelines, ensuring a minimum contrast ratio of 4.5:1 for standard typography. Micro-interactions, subtle elevation shadows, and responsive grid layouts provide a premium, dynamic feel across diverse viewport resolutions.</w:t>
      </w:r>
    </w:p>
    <w:p>
      <w:r>
        <w:br w:type="page"/>
      </w:r>
    </w:p>
    <w:p>
      <w:pPr>
        <w:spacing w:line="276" w:lineRule="auto" w:before="360" w:after="240"/>
        <w:jc w:val="center"/>
      </w:pPr>
      <w:r>
        <w:rPr>
          <w:rFonts w:ascii="Times New Roman" w:hAnsi="Times New Roman"/>
          <w:b/>
          <w:sz w:val="28"/>
        </w:rPr>
        <w:t>CHAPTER IV</w:t>
        <w:br/>
        <w:br/>
      </w:r>
      <w:r>
        <w:rPr>
          <w:rFonts w:ascii="Times New Roman" w:hAnsi="Times New Roman"/>
          <w:b/>
          <w:sz w:val="28"/>
        </w:rPr>
        <w:t>IMPLEMENTATION, CONSTRUCTION &amp; DEMONSTRATION</w:t>
      </w:r>
    </w:p>
    <w:p>
      <w:pPr>
        <w:spacing w:line="480" w:lineRule="auto" w:before="0" w:after="0"/>
      </w:pPr>
    </w:p>
    <w:p>
      <w:pPr>
        <w:spacing w:line="276" w:lineRule="auto" w:before="280" w:after="120"/>
        <w:jc w:val="left"/>
      </w:pPr>
      <w:r>
        <w:rPr>
          <w:rFonts w:ascii="Times New Roman" w:hAnsi="Times New Roman"/>
          <w:b/>
          <w:sz w:val="24"/>
        </w:rPr>
        <w:t>4.1 Development Toolchain &amp; Runtime Environment</w:t>
      </w:r>
    </w:p>
    <w:p>
      <w:pPr>
        <w:spacing w:line="480" w:lineRule="auto" w:before="0" w:after="240"/>
        <w:ind w:firstLine="0"/>
        <w:jc w:val="both"/>
      </w:pPr>
      <w:r>
        <w:rPr>
          <w:rFonts w:ascii="Times New Roman" w:hAnsi="Times New Roman"/>
          <w:sz w:val="24"/>
        </w:rPr>
        <w:t>Fix it Marketplace was developed using modern full-stack web technologies. The core runtime environment comprises Node.js (v24 LTS), Next.js 16 with the App Router architecture, React 19, TypeScript 5, Tailwind CSS 4, Clerk Next.js SDK, and the official Sanity client library. Table 4-1 summarizes the key technical dependencies and their operational roles.</w:t>
      </w:r>
    </w:p>
    <w:p>
      <w:pPr>
        <w:spacing w:line="276" w:lineRule="auto" w:before="240" w:after="80"/>
      </w:pPr>
      <w:r>
        <w:rPr>
          <w:rFonts w:ascii="Times New Roman" w:hAnsi="Times New Roman"/>
          <w:b/>
          <w:sz w:val="24"/>
        </w:rPr>
        <w:t>Table 4-1: Software Technology Stack and Production Dependencies</w:t>
      </w:r>
    </w:p>
    <w:tbl>
      <w:tblPr>
        <w:tblW w:type="auto" w:w="0"/>
        <w:jc w:val="center"/>
        <w:tblLook w:firstColumn="1" w:firstRow="1" w:lastColumn="0" w:lastRow="0" w:noHBand="0" w:noVBand="1" w:val="04A0"/>
      </w:tblPr>
      <w:tblGrid>
        <w:gridCol w:w="2740"/>
        <w:gridCol w:w="2740"/>
        <w:gridCol w:w="2740"/>
      </w:tblGrid>
      <w:tr>
        <w:tc>
          <w:tcPr>
            <w:tcW w:type="dxa" w:w="2740"/>
            <w:tcMar>
              <w:top w:w="70" w:type="dxa"/>
              <w:bottom w:w="70" w:type="dxa"/>
              <w:left w:w="100" w:type="dxa"/>
              <w:right w:w="100" w:type="dxa"/>
            </w:tcMar>
            <w:shd w:fill="E5E7EB"/>
          </w:tcPr>
          <w:p>
            <w:pPr>
              <w:spacing w:line="276" w:lineRule="auto" w:after="40"/>
            </w:pPr>
            <w:r>
              <w:rPr>
                <w:b/>
              </w:rPr>
              <w:t>Layer / Component</w:t>
            </w:r>
          </w:p>
        </w:tc>
        <w:tc>
          <w:tcPr>
            <w:tcW w:type="dxa" w:w="2740"/>
            <w:tcMar>
              <w:top w:w="70" w:type="dxa"/>
              <w:bottom w:w="70" w:type="dxa"/>
              <w:left w:w="100" w:type="dxa"/>
              <w:right w:w="100" w:type="dxa"/>
            </w:tcMar>
            <w:shd w:fill="E5E7EB"/>
          </w:tcPr>
          <w:p>
            <w:pPr>
              <w:spacing w:line="276" w:lineRule="auto" w:after="40"/>
            </w:pPr>
            <w:r>
              <w:rPr>
                <w:b/>
              </w:rPr>
              <w:t>Technology / Framework</w:t>
            </w:r>
          </w:p>
        </w:tc>
        <w:tc>
          <w:tcPr>
            <w:tcW w:type="dxa" w:w="2740"/>
            <w:tcMar>
              <w:top w:w="70" w:type="dxa"/>
              <w:bottom w:w="70" w:type="dxa"/>
              <w:left w:w="100" w:type="dxa"/>
              <w:right w:w="100" w:type="dxa"/>
            </w:tcMar>
            <w:shd w:fill="E5E7EB"/>
          </w:tcPr>
          <w:p>
            <w:pPr>
              <w:spacing w:line="276" w:lineRule="auto" w:after="40"/>
            </w:pPr>
            <w:r>
              <w:rPr>
                <w:b/>
              </w:rPr>
              <w:t>Engineering Justification</w:t>
            </w:r>
          </w:p>
        </w:tc>
      </w:tr>
      <w:tr>
        <w:tc>
          <w:tcPr>
            <w:tcW w:type="dxa" w:w="2740"/>
            <w:tcMar>
              <w:top w:w="70" w:type="dxa"/>
              <w:bottom w:w="70" w:type="dxa"/>
              <w:left w:w="100" w:type="dxa"/>
              <w:right w:w="100" w:type="dxa"/>
            </w:tcMar>
          </w:tcPr>
          <w:p>
            <w:pPr>
              <w:spacing w:line="276" w:lineRule="auto" w:after="40"/>
            </w:pPr>
            <w:r>
              <w:t>Presentation Tier</w:t>
            </w:r>
          </w:p>
        </w:tc>
        <w:tc>
          <w:tcPr>
            <w:tcW w:type="dxa" w:w="2740"/>
            <w:tcMar>
              <w:top w:w="70" w:type="dxa"/>
              <w:bottom w:w="70" w:type="dxa"/>
              <w:left w:w="100" w:type="dxa"/>
              <w:right w:w="100" w:type="dxa"/>
            </w:tcMar>
          </w:tcPr>
          <w:p>
            <w:pPr>
              <w:spacing w:line="276" w:lineRule="auto" w:after="40"/>
            </w:pPr>
            <w:r>
              <w:t>Next.js 16 (React 19) + Tailwind CSS</w:t>
            </w:r>
          </w:p>
        </w:tc>
        <w:tc>
          <w:tcPr>
            <w:tcW w:type="dxa" w:w="2740"/>
            <w:tcMar>
              <w:top w:w="70" w:type="dxa"/>
              <w:bottom w:w="70" w:type="dxa"/>
              <w:left w:w="100" w:type="dxa"/>
              <w:right w:w="100" w:type="dxa"/>
            </w:tcMar>
          </w:tcPr>
          <w:p>
            <w:pPr>
              <w:spacing w:line="276" w:lineRule="auto" w:after="40"/>
            </w:pPr>
            <w:r>
              <w:t>Server-Side Rendering, zero-bundle Server Components, and responsive utility CSS</w:t>
            </w:r>
          </w:p>
        </w:tc>
      </w:tr>
      <w:tr>
        <w:tc>
          <w:tcPr>
            <w:tcW w:type="dxa" w:w="2740"/>
            <w:tcMar>
              <w:top w:w="70" w:type="dxa"/>
              <w:bottom w:w="70" w:type="dxa"/>
              <w:left w:w="100" w:type="dxa"/>
              <w:right w:w="100" w:type="dxa"/>
            </w:tcMar>
          </w:tcPr>
          <w:p>
            <w:pPr>
              <w:spacing w:line="276" w:lineRule="auto" w:after="40"/>
            </w:pPr>
            <w:r>
              <w:t>Type Safety &amp; Logic</w:t>
            </w:r>
          </w:p>
        </w:tc>
        <w:tc>
          <w:tcPr>
            <w:tcW w:type="dxa" w:w="2740"/>
            <w:tcMar>
              <w:top w:w="70" w:type="dxa"/>
              <w:bottom w:w="70" w:type="dxa"/>
              <w:left w:w="100" w:type="dxa"/>
              <w:right w:w="100" w:type="dxa"/>
            </w:tcMar>
          </w:tcPr>
          <w:p>
            <w:pPr>
              <w:spacing w:line="276" w:lineRule="auto" w:after="40"/>
            </w:pPr>
            <w:r>
              <w:t>TypeScript 5.x</w:t>
            </w:r>
          </w:p>
        </w:tc>
        <w:tc>
          <w:tcPr>
            <w:tcW w:type="dxa" w:w="2740"/>
            <w:tcMar>
              <w:top w:w="70" w:type="dxa"/>
              <w:bottom w:w="70" w:type="dxa"/>
              <w:left w:w="100" w:type="dxa"/>
              <w:right w:w="100" w:type="dxa"/>
            </w:tcMar>
          </w:tcPr>
          <w:p>
            <w:pPr>
              <w:spacing w:line="276" w:lineRule="auto" w:after="40"/>
            </w:pPr>
            <w:r>
              <w:t>Compile-time type checking across complex database schemas and client interfaces</w:t>
            </w:r>
          </w:p>
        </w:tc>
      </w:tr>
      <w:tr>
        <w:tc>
          <w:tcPr>
            <w:tcW w:type="dxa" w:w="2740"/>
            <w:tcMar>
              <w:top w:w="70" w:type="dxa"/>
              <w:bottom w:w="70" w:type="dxa"/>
              <w:left w:w="100" w:type="dxa"/>
              <w:right w:w="100" w:type="dxa"/>
            </w:tcMar>
          </w:tcPr>
          <w:p>
            <w:pPr>
              <w:spacing w:line="276" w:lineRule="auto" w:after="40"/>
            </w:pPr>
            <w:r>
              <w:t>Identity &amp; Security</w:t>
            </w:r>
          </w:p>
        </w:tc>
        <w:tc>
          <w:tcPr>
            <w:tcW w:type="dxa" w:w="2740"/>
            <w:tcMar>
              <w:top w:w="70" w:type="dxa"/>
              <w:bottom w:w="70" w:type="dxa"/>
              <w:left w:w="100" w:type="dxa"/>
              <w:right w:w="100" w:type="dxa"/>
            </w:tcMar>
          </w:tcPr>
          <w:p>
            <w:pPr>
              <w:spacing w:line="276" w:lineRule="auto" w:after="40"/>
            </w:pPr>
            <w:r>
              <w:t>Clerk Authentication v7</w:t>
            </w:r>
          </w:p>
        </w:tc>
        <w:tc>
          <w:tcPr>
            <w:tcW w:type="dxa" w:w="2740"/>
            <w:tcMar>
              <w:top w:w="70" w:type="dxa"/>
              <w:bottom w:w="70" w:type="dxa"/>
              <w:left w:w="100" w:type="dxa"/>
              <w:right w:w="100" w:type="dxa"/>
            </w:tcMar>
          </w:tcPr>
          <w:p>
            <w:pPr>
              <w:spacing w:line="276" w:lineRule="auto" w:after="40"/>
            </w:pPr>
            <w:r>
              <w:t>Turnkey OAuth, session management, and custom metadata role provisioning</w:t>
            </w:r>
          </w:p>
        </w:tc>
      </w:tr>
      <w:tr>
        <w:tc>
          <w:tcPr>
            <w:tcW w:type="dxa" w:w="2740"/>
            <w:tcMar>
              <w:top w:w="70" w:type="dxa"/>
              <w:bottom w:w="70" w:type="dxa"/>
              <w:left w:w="100" w:type="dxa"/>
              <w:right w:w="100" w:type="dxa"/>
            </w:tcMar>
          </w:tcPr>
          <w:p>
            <w:pPr>
              <w:spacing w:line="276" w:lineRule="auto" w:after="40"/>
            </w:pPr>
            <w:r>
              <w:t>Content Lake</w:t>
            </w:r>
          </w:p>
        </w:tc>
        <w:tc>
          <w:tcPr>
            <w:tcW w:type="dxa" w:w="2740"/>
            <w:tcMar>
              <w:top w:w="70" w:type="dxa"/>
              <w:bottom w:w="70" w:type="dxa"/>
              <w:left w:w="100" w:type="dxa"/>
              <w:right w:w="100" w:type="dxa"/>
            </w:tcMar>
          </w:tcPr>
          <w:p>
            <w:pPr>
              <w:spacing w:line="276" w:lineRule="auto" w:after="40"/>
            </w:pPr>
            <w:r>
              <w:t>Sanity Headless CMS + GROQ</w:t>
            </w:r>
          </w:p>
        </w:tc>
        <w:tc>
          <w:tcPr>
            <w:tcW w:type="dxa" w:w="2740"/>
            <w:tcMar>
              <w:top w:w="70" w:type="dxa"/>
              <w:bottom w:w="70" w:type="dxa"/>
              <w:left w:w="100" w:type="dxa"/>
              <w:right w:w="100" w:type="dxa"/>
            </w:tcMar>
          </w:tcPr>
          <w:p>
            <w:pPr>
              <w:spacing w:line="276" w:lineRule="auto" w:after="40"/>
            </w:pPr>
            <w:r>
              <w:t>Flexible schema modeling, real-time visual editing, and CDN-cached querying</w:t>
            </w:r>
          </w:p>
        </w:tc>
      </w:tr>
      <w:tr>
        <w:tc>
          <w:tcPr>
            <w:tcW w:type="dxa" w:w="2740"/>
            <w:tcMar>
              <w:top w:w="70" w:type="dxa"/>
              <w:bottom w:w="70" w:type="dxa"/>
              <w:left w:w="100" w:type="dxa"/>
              <w:right w:w="100" w:type="dxa"/>
            </w:tcMar>
          </w:tcPr>
          <w:p>
            <w:pPr>
              <w:spacing w:line="276" w:lineRule="auto" w:after="40"/>
            </w:pPr>
            <w:r>
              <w:t>Transactional Store</w:t>
            </w:r>
          </w:p>
        </w:tc>
        <w:tc>
          <w:tcPr>
            <w:tcW w:type="dxa" w:w="2740"/>
            <w:tcMar>
              <w:top w:w="70" w:type="dxa"/>
              <w:bottom w:w="70" w:type="dxa"/>
              <w:left w:w="100" w:type="dxa"/>
              <w:right w:w="100" w:type="dxa"/>
            </w:tcMar>
          </w:tcPr>
          <w:p>
            <w:pPr>
              <w:spacing w:line="276" w:lineRule="auto" w:after="40"/>
            </w:pPr>
            <w:r>
              <w:t>Neon Serverless PostgreSQL</w:t>
            </w:r>
          </w:p>
        </w:tc>
        <w:tc>
          <w:tcPr>
            <w:tcW w:type="dxa" w:w="2740"/>
            <w:tcMar>
              <w:top w:w="70" w:type="dxa"/>
              <w:bottom w:w="70" w:type="dxa"/>
              <w:left w:w="100" w:type="dxa"/>
              <w:right w:w="100" w:type="dxa"/>
            </w:tcMar>
          </w:tcPr>
          <w:p>
            <w:pPr>
              <w:spacing w:line="276" w:lineRule="auto" w:after="40"/>
            </w:pPr>
            <w:r>
              <w:t>ACID transactional compliance, relational order ledgers, and fast serverless branching</w:t>
            </w:r>
          </w:p>
        </w:tc>
      </w:tr>
    </w:tbl>
    <w:p>
      <w:pPr>
        <w:spacing w:line="276" w:lineRule="auto" w:before="280" w:after="120"/>
        <w:jc w:val="left"/>
      </w:pPr>
      <w:r>
        <w:rPr>
          <w:rFonts w:ascii="Times New Roman" w:hAnsi="Times New Roman"/>
          <w:b/>
          <w:sz w:val="24"/>
        </w:rPr>
        <w:t>4.2 Client Service Discovery &amp; Booking Construction</w:t>
      </w:r>
    </w:p>
    <w:p>
      <w:pPr>
        <w:spacing w:line="480" w:lineRule="auto" w:before="0" w:after="240"/>
        <w:ind w:firstLine="0"/>
        <w:jc w:val="both"/>
      </w:pPr>
      <w:r>
        <w:rPr>
          <w:rFonts w:ascii="Times New Roman" w:hAnsi="Times New Roman"/>
          <w:sz w:val="24"/>
        </w:rPr>
        <w:t>The public landing page (`/`) serves as the primary discovery portal for domestic consumers. Figure 4-1 captures the live marketplace homepage, displaying categorized service chips, real-time search, trust value propositions, and featured artisan listings.</w:t>
      </w:r>
    </w:p>
    <w:p>
      <w:pPr>
        <w:spacing w:line="480" w:lineRule="auto" w:before="0" w:after="0"/>
      </w:pPr>
    </w:p>
    <w:p>
      <w:pPr>
        <w:spacing w:line="240" w:lineRule="auto" w:before="120" w:after="120"/>
        <w:jc w:val="center"/>
      </w:pPr>
      <w:r>
        <w:drawing>
          <wp:inline xmlns:a="http://schemas.openxmlformats.org/drawingml/2006/main" xmlns:pic="http://schemas.openxmlformats.org/drawingml/2006/picture">
            <wp:extent cx="4860000" cy="3037500"/>
            <wp:docPr id="2" name="Picture 2"/>
            <wp:cNvGraphicFramePr>
              <a:graphicFrameLocks noChangeAspect="1"/>
            </wp:cNvGraphicFramePr>
            <a:graphic>
              <a:graphicData uri="http://schemas.openxmlformats.org/drawingml/2006/picture">
                <pic:pic>
                  <pic:nvPicPr>
                    <pic:cNvPr id="0" name="live_figure_4_1_homepage_catalog.png"/>
                    <pic:cNvPicPr/>
                  </pic:nvPicPr>
                  <pic:blipFill>
                    <a:blip r:embed="rId12"/>
                    <a:stretch>
                      <a:fillRect/>
                    </a:stretch>
                  </pic:blipFill>
                  <pic:spPr>
                    <a:xfrm>
                      <a:off x="0" y="0"/>
                      <a:ext cx="4860000" cy="3037500"/>
                    </a:xfrm>
                    <a:prstGeom prst="rect"/>
                  </pic:spPr>
                </pic:pic>
              </a:graphicData>
            </a:graphic>
          </wp:inline>
        </w:drawing>
      </w:r>
    </w:p>
    <w:p>
      <w:pPr>
        <w:spacing w:line="276" w:lineRule="auto" w:before="80" w:after="120"/>
        <w:jc w:val="center"/>
      </w:pPr>
      <w:r>
        <w:rPr>
          <w:rFonts w:ascii="Times New Roman" w:hAnsi="Times New Roman"/>
          <w:i/>
          <w:sz w:val="24"/>
        </w:rPr>
        <w:t xml:space="preserve">Figure 4-1: </w:t>
      </w:r>
      <w:r>
        <w:rPr>
          <w:rFonts w:ascii="Times New Roman" w:hAnsi="Times New Roman"/>
          <w:sz w:val="24"/>
        </w:rPr>
        <w:t>Live Marketplace Homepage &amp; Service Discovery Catalog</w:t>
      </w:r>
    </w:p>
    <w:p>
      <w:pPr>
        <w:spacing w:line="480" w:lineRule="auto" w:before="0" w:after="0"/>
      </w:pPr>
    </w:p>
    <w:p>
      <w:pPr>
        <w:spacing w:line="480" w:lineRule="auto" w:before="0" w:after="240"/>
        <w:ind w:firstLine="0"/>
        <w:jc w:val="both"/>
      </w:pPr>
      <w:r>
        <w:rPr>
          <w:rFonts w:ascii="Times New Roman" w:hAnsi="Times New Roman"/>
          <w:sz w:val="24"/>
        </w:rPr>
        <w:t>Upon initial account creation, users encounter the Persona Selection Gateway (`/?modal=true`), shown in Figure 4-2. This interface forces an intentional choice between 'Looking to Hire Services' and 'Looking to Provide Services,' writing the appropriate role claim to Clerk.</w:t>
      </w:r>
    </w:p>
    <w:p>
      <w:pPr>
        <w:spacing w:line="480" w:lineRule="auto" w:before="0" w:after="0"/>
      </w:pPr>
    </w:p>
    <w:p>
      <w:pPr>
        <w:spacing w:line="240" w:lineRule="auto" w:before="120" w:after="120"/>
        <w:jc w:val="center"/>
      </w:pPr>
      <w:r>
        <w:drawing>
          <wp:inline xmlns:a="http://schemas.openxmlformats.org/drawingml/2006/main" xmlns:pic="http://schemas.openxmlformats.org/drawingml/2006/picture">
            <wp:extent cx="4500000" cy="2812500"/>
            <wp:docPr id="3" name="Picture 3"/>
            <wp:cNvGraphicFramePr>
              <a:graphicFrameLocks noChangeAspect="1"/>
            </wp:cNvGraphicFramePr>
            <a:graphic>
              <a:graphicData uri="http://schemas.openxmlformats.org/drawingml/2006/picture">
                <pic:pic>
                  <pic:nvPicPr>
                    <pic:cNvPr id="0" name="live_figure_4_2_persona_modal.png"/>
                    <pic:cNvPicPr/>
                  </pic:nvPicPr>
                  <pic:blipFill>
                    <a:blip r:embed="rId13"/>
                    <a:stretch>
                      <a:fillRect/>
                    </a:stretch>
                  </pic:blipFill>
                  <pic:spPr>
                    <a:xfrm>
                      <a:off x="0" y="0"/>
                      <a:ext cx="4500000" cy="2812500"/>
                    </a:xfrm>
                    <a:prstGeom prst="rect"/>
                  </pic:spPr>
                </pic:pic>
              </a:graphicData>
            </a:graphic>
          </wp:inline>
        </w:drawing>
      </w:r>
    </w:p>
    <w:p>
      <w:pPr>
        <w:spacing w:line="276" w:lineRule="auto" w:before="80" w:after="120"/>
        <w:jc w:val="center"/>
      </w:pPr>
      <w:r>
        <w:rPr>
          <w:rFonts w:ascii="Times New Roman" w:hAnsi="Times New Roman"/>
          <w:i/>
          <w:sz w:val="24"/>
        </w:rPr>
        <w:t xml:space="preserve">Figure 4-2: </w:t>
      </w:r>
      <w:r>
        <w:rPr>
          <w:rFonts w:ascii="Times New Roman" w:hAnsi="Times New Roman"/>
          <w:sz w:val="24"/>
        </w:rPr>
        <w:t>Dual-Persona Client &amp; Artisan Role Selection Modal Interface</w:t>
      </w:r>
    </w:p>
    <w:p>
      <w:pPr>
        <w:spacing w:line="480" w:lineRule="auto" w:before="0" w:after="0"/>
      </w:pPr>
    </w:p>
    <w:p>
      <w:pPr>
        <w:spacing w:line="480" w:lineRule="auto" w:before="0" w:after="240"/>
        <w:ind w:firstLine="0"/>
        <w:jc w:val="both"/>
      </w:pPr>
      <w:r>
        <w:rPr>
          <w:rFonts w:ascii="Times New Roman" w:hAnsi="Times New Roman"/>
          <w:sz w:val="24"/>
        </w:rPr>
        <w:t>Returning consumers are greeted by the Personalized Client Welcome Hub (`/?preview=welcome`), shown in Figure 4-3. This hub contextualizes recent bookings, highlights quick service categories, and surfaces relevant trade shortcuts.</w:t>
      </w:r>
    </w:p>
    <w:p>
      <w:pPr>
        <w:spacing w:line="480" w:lineRule="auto" w:before="0" w:after="0"/>
      </w:pPr>
    </w:p>
    <w:p>
      <w:pPr>
        <w:spacing w:line="240" w:lineRule="auto" w:before="120" w:after="120"/>
        <w:jc w:val="center"/>
      </w:pPr>
      <w:r>
        <w:drawing>
          <wp:inline xmlns:a="http://schemas.openxmlformats.org/drawingml/2006/main" xmlns:pic="http://schemas.openxmlformats.org/drawingml/2006/picture">
            <wp:extent cx="4860000" cy="3037500"/>
            <wp:docPr id="4" name="Picture 4"/>
            <wp:cNvGraphicFramePr>
              <a:graphicFrameLocks noChangeAspect="1"/>
            </wp:cNvGraphicFramePr>
            <a:graphic>
              <a:graphicData uri="http://schemas.openxmlformats.org/drawingml/2006/picture">
                <pic:pic>
                  <pic:nvPicPr>
                    <pic:cNvPr id="0" name="live_figure_4_3_personalized_welcome.png"/>
                    <pic:cNvPicPr/>
                  </pic:nvPicPr>
                  <pic:blipFill>
                    <a:blip r:embed="rId14"/>
                    <a:stretch>
                      <a:fillRect/>
                    </a:stretch>
                  </pic:blipFill>
                  <pic:spPr>
                    <a:xfrm>
                      <a:off x="0" y="0"/>
                      <a:ext cx="4860000" cy="3037500"/>
                    </a:xfrm>
                    <a:prstGeom prst="rect"/>
                  </pic:spPr>
                </pic:pic>
              </a:graphicData>
            </a:graphic>
          </wp:inline>
        </w:drawing>
      </w:r>
    </w:p>
    <w:p>
      <w:pPr>
        <w:spacing w:line="276" w:lineRule="auto" w:before="80" w:after="120"/>
        <w:jc w:val="center"/>
      </w:pPr>
      <w:r>
        <w:rPr>
          <w:rFonts w:ascii="Times New Roman" w:hAnsi="Times New Roman"/>
          <w:i/>
          <w:sz w:val="24"/>
        </w:rPr>
        <w:t xml:space="preserve">Figure 4-3: </w:t>
      </w:r>
      <w:r>
        <w:rPr>
          <w:rFonts w:ascii="Times New Roman" w:hAnsi="Times New Roman"/>
          <w:sz w:val="24"/>
        </w:rPr>
        <w:t>Personalized Customer Welcome Hub with Service Quick Links</w:t>
      </w:r>
    </w:p>
    <w:p>
      <w:pPr>
        <w:spacing w:line="480" w:lineRule="auto" w:before="0" w:after="0"/>
      </w:pPr>
    </w:p>
    <w:p>
      <w:pPr>
        <w:spacing w:line="480" w:lineRule="auto" w:before="0" w:after="240"/>
        <w:ind w:firstLine="0"/>
        <w:jc w:val="both"/>
      </w:pPr>
      <w:r>
        <w:rPr>
          <w:rFonts w:ascii="Times New Roman" w:hAnsi="Times New Roman"/>
          <w:sz w:val="24"/>
        </w:rPr>
        <w:t>When browsing individual service pages (`/services/[slug]`), users encounter the standardized Multi-Tier Service Matrix shown in Figure 4-4. The interface explicitly details what is included and excluded across Basic, Standard, and Premium packages, eliminating pricing ambiguity.</w:t>
      </w:r>
    </w:p>
    <w:p>
      <w:pPr>
        <w:spacing w:line="480" w:lineRule="auto" w:before="0" w:after="0"/>
      </w:pPr>
    </w:p>
    <w:p>
      <w:pPr>
        <w:spacing w:line="240" w:lineRule="auto" w:before="120" w:after="120"/>
        <w:jc w:val="center"/>
      </w:pPr>
      <w:r>
        <w:drawing>
          <wp:inline xmlns:a="http://schemas.openxmlformats.org/drawingml/2006/main" xmlns:pic="http://schemas.openxmlformats.org/drawingml/2006/picture">
            <wp:extent cx="4860000" cy="3037500"/>
            <wp:docPr id="5" name="Picture 5"/>
            <wp:cNvGraphicFramePr>
              <a:graphicFrameLocks noChangeAspect="1"/>
            </wp:cNvGraphicFramePr>
            <a:graphic>
              <a:graphicData uri="http://schemas.openxmlformats.org/drawingml/2006/picture">
                <pic:pic>
                  <pic:nvPicPr>
                    <pic:cNvPr id="0" name="live_figure_4_4_service_detail_tiers.png"/>
                    <pic:cNvPicPr/>
                  </pic:nvPicPr>
                  <pic:blipFill>
                    <a:blip r:embed="rId15"/>
                    <a:stretch>
                      <a:fillRect/>
                    </a:stretch>
                  </pic:blipFill>
                  <pic:spPr>
                    <a:xfrm>
                      <a:off x="0" y="0"/>
                      <a:ext cx="4860000" cy="3037500"/>
                    </a:xfrm>
                    <a:prstGeom prst="rect"/>
                  </pic:spPr>
                </pic:pic>
              </a:graphicData>
            </a:graphic>
          </wp:inline>
        </w:drawing>
      </w:r>
    </w:p>
    <w:p>
      <w:pPr>
        <w:spacing w:line="276" w:lineRule="auto" w:before="80" w:after="120"/>
        <w:jc w:val="center"/>
      </w:pPr>
      <w:r>
        <w:rPr>
          <w:rFonts w:ascii="Times New Roman" w:hAnsi="Times New Roman"/>
          <w:i/>
          <w:sz w:val="24"/>
        </w:rPr>
        <w:t xml:space="preserve">Figure 4-4: </w:t>
      </w:r>
      <w:r>
        <w:rPr>
          <w:rFonts w:ascii="Times New Roman" w:hAnsi="Times New Roman"/>
          <w:sz w:val="24"/>
        </w:rPr>
        <w:t>Tiered Service Scope &amp; Pricing Package Selection Matrix</w:t>
      </w:r>
    </w:p>
    <w:p>
      <w:pPr>
        <w:spacing w:line="480" w:lineRule="auto" w:before="0" w:after="0"/>
      </w:pPr>
    </w:p>
    <w:p>
      <w:pPr>
        <w:spacing w:line="480" w:lineRule="auto" w:before="0" w:after="240"/>
        <w:ind w:firstLine="0"/>
        <w:jc w:val="both"/>
      </w:pPr>
      <w:r>
        <w:rPr>
          <w:rFonts w:ascii="Times New Roman" w:hAnsi="Times New Roman"/>
          <w:sz w:val="24"/>
        </w:rPr>
        <w:t>Consumers manage active orders through the Bookings Management Ledger (`/bookings`), captured in Figure 4-5. Customers can monitor booking status, cancel pending appointments with immediate UI reconciliation, and initiate instant direct WhatsApp communication with the assigned artisan.</w:t>
      </w:r>
    </w:p>
    <w:p>
      <w:pPr>
        <w:spacing w:line="480" w:lineRule="auto" w:before="0" w:after="0"/>
      </w:pPr>
    </w:p>
    <w:p>
      <w:pPr>
        <w:spacing w:line="240" w:lineRule="auto" w:before="120" w:after="120"/>
        <w:jc w:val="center"/>
      </w:pPr>
      <w:r>
        <w:drawing>
          <wp:inline xmlns:a="http://schemas.openxmlformats.org/drawingml/2006/main" xmlns:pic="http://schemas.openxmlformats.org/drawingml/2006/picture">
            <wp:extent cx="4860000" cy="3037500"/>
            <wp:docPr id="6" name="Picture 6"/>
            <wp:cNvGraphicFramePr>
              <a:graphicFrameLocks noChangeAspect="1"/>
            </wp:cNvGraphicFramePr>
            <a:graphic>
              <a:graphicData uri="http://schemas.openxmlformats.org/drawingml/2006/picture">
                <pic:pic>
                  <pic:nvPicPr>
                    <pic:cNvPr id="0" name="live_figure_4_5_client_bookings.png"/>
                    <pic:cNvPicPr/>
                  </pic:nvPicPr>
                  <pic:blipFill>
                    <a:blip r:embed="rId16"/>
                    <a:stretch>
                      <a:fillRect/>
                    </a:stretch>
                  </pic:blipFill>
                  <pic:spPr>
                    <a:xfrm>
                      <a:off x="0" y="0"/>
                      <a:ext cx="4860000" cy="3037500"/>
                    </a:xfrm>
                    <a:prstGeom prst="rect"/>
                  </pic:spPr>
                </pic:pic>
              </a:graphicData>
            </a:graphic>
          </wp:inline>
        </w:drawing>
      </w:r>
    </w:p>
    <w:p>
      <w:pPr>
        <w:spacing w:line="276" w:lineRule="auto" w:before="80" w:after="120"/>
        <w:jc w:val="center"/>
      </w:pPr>
      <w:r>
        <w:rPr>
          <w:rFonts w:ascii="Times New Roman" w:hAnsi="Times New Roman"/>
          <w:i/>
          <w:sz w:val="24"/>
        </w:rPr>
        <w:t xml:space="preserve">Figure 4-5: </w:t>
      </w:r>
      <w:r>
        <w:rPr>
          <w:rFonts w:ascii="Times New Roman" w:hAnsi="Times New Roman"/>
          <w:sz w:val="24"/>
        </w:rPr>
        <w:t>Customer Bookings Management Ledger with Direct WhatsApp Action</w:t>
      </w:r>
    </w:p>
    <w:p>
      <w:pPr>
        <w:spacing w:line="480" w:lineRule="auto" w:before="0" w:after="0"/>
      </w:pPr>
    </w:p>
    <w:p>
      <w:pPr>
        <w:spacing w:line="276" w:lineRule="auto" w:before="200" w:after="80"/>
        <w:jc w:val="left"/>
      </w:pPr>
      <w:r>
        <w:rPr>
          <w:rFonts w:ascii="Times New Roman" w:hAnsi="Times New Roman"/>
          <w:i/>
          <w:sz w:val="24"/>
        </w:rPr>
        <w:t>4.2.6 Optimistic State Mutation and Real-Time Cancellation Lifecycle</w:t>
      </w:r>
    </w:p>
    <w:p>
      <w:pPr>
        <w:spacing w:line="480" w:lineRule="auto" w:before="0" w:after="240"/>
        <w:ind w:firstLine="0"/>
        <w:jc w:val="both"/>
      </w:pPr>
      <w:r>
        <w:rPr>
          <w:rFonts w:ascii="Times New Roman" w:hAnsi="Times New Roman"/>
          <w:sz w:val="24"/>
        </w:rPr>
        <w:t>A critical UX challenge in on-demand service portals is the latency associated with network round-trips during state changes. In conventional architectures, clicking 'Cancel Booking' causes the user interface to freeze while an asynchronous HTTP request is transmitted and resolved. If network connectivity falters, the user is left uncertain whether their action succeeded, frequently triggering repeated clicks.</w:t>
      </w:r>
    </w:p>
    <w:p>
      <w:pPr>
        <w:spacing w:line="480" w:lineRule="auto" w:before="0" w:after="240"/>
        <w:ind w:firstLine="0"/>
        <w:jc w:val="both"/>
      </w:pPr>
      <w:r>
        <w:rPr>
          <w:rFonts w:ascii="Times New Roman" w:hAnsi="Times New Roman"/>
          <w:sz w:val="24"/>
        </w:rPr>
        <w:t>Fix it Marketplace resolves this through React 19 optimistic UI hooks. When the user confirms a booking cancellation, the client-side state immediately filters out the target booking card from the active view, rendering a temporary status indicator while dispatching the background mutation. If the server confirms success, the state transition is permanently committed; if a network error occurs, the item is restored with an informative error banner. This delivers a native-app level of tactile responsiveness across both mobile and desktop browsers.</w:t>
      </w:r>
    </w:p>
    <w:p>
      <w:pPr>
        <w:spacing w:line="276" w:lineRule="auto" w:before="200" w:after="80"/>
        <w:jc w:val="left"/>
      </w:pPr>
      <w:r>
        <w:rPr>
          <w:rFonts w:ascii="Times New Roman" w:hAnsi="Times New Roman"/>
          <w:i/>
          <w:sz w:val="24"/>
        </w:rPr>
        <w:t>4.3.3 Artisan Capacity Allocation and Scheduling Lockouts</w:t>
      </w:r>
    </w:p>
    <w:p>
      <w:pPr>
        <w:spacing w:line="480" w:lineRule="auto" w:before="0" w:after="240"/>
        <w:ind w:firstLine="0"/>
        <w:jc w:val="both"/>
      </w:pPr>
      <w:r>
        <w:rPr>
          <w:rFonts w:ascii="Times New Roman" w:hAnsi="Times New Roman"/>
          <w:sz w:val="24"/>
        </w:rPr>
        <w:t>To avoid double-booking and artisan burnout, the provider dashboard includes capacity management logic. When an artisan confirms a booking for a designated calendar date and time window, that specific operational slot is flagged as occupied in the provider's public availability index. Subsequent customer requests for that conflicting window are redirected to alternate available technicians in the same municipal zone, preventing scheduling friction and service delivery failures.</w:t>
      </w:r>
    </w:p>
    <w:p>
      <w:pPr>
        <w:spacing w:line="276" w:lineRule="auto" w:before="280" w:after="120"/>
        <w:jc w:val="left"/>
      </w:pPr>
      <w:r>
        <w:rPr>
          <w:rFonts w:ascii="Times New Roman" w:hAnsi="Times New Roman"/>
          <w:b/>
          <w:sz w:val="24"/>
        </w:rPr>
        <w:t>4.3 Artisan Onboarding &amp; Operational Dashboard Construction</w:t>
      </w:r>
    </w:p>
    <w:p>
      <w:pPr>
        <w:spacing w:line="480" w:lineRule="auto" w:before="0" w:after="240"/>
        <w:ind w:firstLine="0"/>
        <w:jc w:val="both"/>
      </w:pPr>
      <w:r>
        <w:rPr>
          <w:rFonts w:ascii="Times New Roman" w:hAnsi="Times New Roman"/>
          <w:sz w:val="24"/>
        </w:rPr>
        <w:t>Artisans access dedicated operational tooling. Figure 4-6 demonstrates the multi-step Provider Onboarding Flow (`/provider/onboarding`), enabling tradespeople to register business names, upload credentials, and select specialized municipalities across Ghana.</w:t>
      </w:r>
    </w:p>
    <w:p>
      <w:pPr>
        <w:spacing w:line="480" w:lineRule="auto" w:before="0" w:after="0"/>
      </w:pPr>
    </w:p>
    <w:p>
      <w:pPr>
        <w:spacing w:line="240" w:lineRule="auto" w:before="120" w:after="120"/>
        <w:jc w:val="center"/>
      </w:pPr>
      <w:r>
        <w:drawing>
          <wp:inline xmlns:a="http://schemas.openxmlformats.org/drawingml/2006/main" xmlns:pic="http://schemas.openxmlformats.org/drawingml/2006/picture">
            <wp:extent cx="4860000" cy="3037500"/>
            <wp:docPr id="7" name="Picture 7"/>
            <wp:cNvGraphicFramePr>
              <a:graphicFrameLocks noChangeAspect="1"/>
            </wp:cNvGraphicFramePr>
            <a:graphic>
              <a:graphicData uri="http://schemas.openxmlformats.org/drawingml/2006/picture">
                <pic:pic>
                  <pic:nvPicPr>
                    <pic:cNvPr id="0" name="live_figure_4_6_provider_onboarding.png"/>
                    <pic:cNvPicPr/>
                  </pic:nvPicPr>
                  <pic:blipFill>
                    <a:blip r:embed="rId17"/>
                    <a:stretch>
                      <a:fillRect/>
                    </a:stretch>
                  </pic:blipFill>
                  <pic:spPr>
                    <a:xfrm>
                      <a:off x="0" y="0"/>
                      <a:ext cx="4860000" cy="3037500"/>
                    </a:xfrm>
                    <a:prstGeom prst="rect"/>
                  </pic:spPr>
                </pic:pic>
              </a:graphicData>
            </a:graphic>
          </wp:inline>
        </w:drawing>
      </w:r>
    </w:p>
    <w:p>
      <w:pPr>
        <w:spacing w:line="276" w:lineRule="auto" w:before="80" w:after="120"/>
        <w:jc w:val="center"/>
      </w:pPr>
      <w:r>
        <w:rPr>
          <w:rFonts w:ascii="Times New Roman" w:hAnsi="Times New Roman"/>
          <w:i/>
          <w:sz w:val="24"/>
        </w:rPr>
        <w:t xml:space="preserve">Figure 4-6: </w:t>
      </w:r>
      <w:r>
        <w:rPr>
          <w:rFonts w:ascii="Times New Roman" w:hAnsi="Times New Roman"/>
          <w:sz w:val="24"/>
        </w:rPr>
        <w:t>Multi-Step Artisan Profile Onboarding Builder Interface</w:t>
      </w:r>
    </w:p>
    <w:p>
      <w:pPr>
        <w:spacing w:line="480" w:lineRule="auto" w:before="0" w:after="0"/>
      </w:pPr>
    </w:p>
    <w:p>
      <w:pPr>
        <w:spacing w:line="480" w:lineRule="auto" w:before="0" w:after="240"/>
        <w:ind w:firstLine="0"/>
        <w:jc w:val="both"/>
      </w:pPr>
      <w:r>
        <w:rPr>
          <w:rFonts w:ascii="Times New Roman" w:hAnsi="Times New Roman"/>
          <w:sz w:val="24"/>
        </w:rPr>
        <w:t>Once verified, artisans manage active service dispatches through the Provider Orders Dashboard (`/provider/dashboard`), depicted in Figure 4-7. The table features real-time status toggles (Pending, Confirmed, Completed) and direct contact links for customer coordination.</w:t>
      </w:r>
    </w:p>
    <w:p>
      <w:pPr>
        <w:spacing w:line="480" w:lineRule="auto" w:before="0" w:after="0"/>
      </w:pPr>
    </w:p>
    <w:p>
      <w:pPr>
        <w:spacing w:line="240" w:lineRule="auto" w:before="120" w:after="120"/>
        <w:jc w:val="center"/>
      </w:pPr>
      <w:r>
        <w:drawing>
          <wp:inline xmlns:a="http://schemas.openxmlformats.org/drawingml/2006/main" xmlns:pic="http://schemas.openxmlformats.org/drawingml/2006/picture">
            <wp:extent cx="4860000" cy="3037500"/>
            <wp:docPr id="8" name="Picture 8"/>
            <wp:cNvGraphicFramePr>
              <a:graphicFrameLocks noChangeAspect="1"/>
            </wp:cNvGraphicFramePr>
            <a:graphic>
              <a:graphicData uri="http://schemas.openxmlformats.org/drawingml/2006/picture">
                <pic:pic>
                  <pic:nvPicPr>
                    <pic:cNvPr id="0" name="live_figure_4_7_provider_dashboard.png"/>
                    <pic:cNvPicPr/>
                  </pic:nvPicPr>
                  <pic:blipFill>
                    <a:blip r:embed="rId18"/>
                    <a:stretch>
                      <a:fillRect/>
                    </a:stretch>
                  </pic:blipFill>
                  <pic:spPr>
                    <a:xfrm>
                      <a:off x="0" y="0"/>
                      <a:ext cx="4860000" cy="3037500"/>
                    </a:xfrm>
                    <a:prstGeom prst="rect"/>
                  </pic:spPr>
                </pic:pic>
              </a:graphicData>
            </a:graphic>
          </wp:inline>
        </w:drawing>
      </w:r>
    </w:p>
    <w:p>
      <w:pPr>
        <w:spacing w:line="276" w:lineRule="auto" w:before="80" w:after="120"/>
        <w:jc w:val="center"/>
      </w:pPr>
      <w:r>
        <w:rPr>
          <w:rFonts w:ascii="Times New Roman" w:hAnsi="Times New Roman"/>
          <w:i/>
          <w:sz w:val="24"/>
        </w:rPr>
        <w:t xml:space="preserve">Figure 4-7: </w:t>
      </w:r>
      <w:r>
        <w:rPr>
          <w:rFonts w:ascii="Times New Roman" w:hAnsi="Times New Roman"/>
          <w:sz w:val="24"/>
        </w:rPr>
        <w:t>Operational Orders &amp; Dispatch Management Dashboard for Providers</w:t>
      </w:r>
    </w:p>
    <w:p>
      <w:pPr>
        <w:spacing w:line="480" w:lineRule="auto" w:before="0" w:after="0"/>
      </w:pPr>
    </w:p>
    <w:p>
      <w:pPr>
        <w:spacing w:line="276" w:lineRule="auto" w:before="280" w:after="120"/>
        <w:jc w:val="left"/>
      </w:pPr>
      <w:r>
        <w:rPr>
          <w:rFonts w:ascii="Times New Roman" w:hAnsi="Times New Roman"/>
          <w:b/>
          <w:sz w:val="24"/>
        </w:rPr>
        <w:t>4.4 Real-Time WhatsApp Direct Communication Integration</w:t>
      </w:r>
    </w:p>
    <w:p>
      <w:pPr>
        <w:spacing w:line="480" w:lineRule="auto" w:before="0" w:after="240"/>
        <w:ind w:firstLine="0"/>
        <w:jc w:val="both"/>
      </w:pPr>
      <w:r>
        <w:rPr>
          <w:rFonts w:ascii="Times New Roman" w:hAnsi="Times New Roman"/>
          <w:sz w:val="24"/>
        </w:rPr>
        <w:t>To bridge the gap between structured database tracking and localized communication habits, Fix it Marketplace implements an automated WhatsApp Universal Link generator. When a customer or artisan clicks 'Contact via WhatsApp,' the system triggers telephone normalization logic: local leading zeros (e.g. `024XXXXXXX`) are stripped, the international Ghanaian country code (`+233`) is prepended, and a context-aware pre-filled message is URI-encoded (`https://wa.me/23324XXXXXXX?text=Hello%20...`). This ensures immediate, friction-free bilateral communication.</w:t>
      </w:r>
    </w:p>
    <w:p>
      <w:pPr>
        <w:spacing w:line="276" w:lineRule="auto" w:before="280" w:after="120"/>
        <w:jc w:val="left"/>
      </w:pPr>
      <w:r>
        <w:rPr>
          <w:rFonts w:ascii="Times New Roman" w:hAnsi="Times New Roman"/>
          <w:b/>
          <w:sz w:val="24"/>
        </w:rPr>
        <w:t>4.5 Multi-Stage Quality Assurance &amp; Verification Testing</w:t>
      </w:r>
    </w:p>
    <w:p>
      <w:pPr>
        <w:spacing w:line="480" w:lineRule="auto" w:before="0" w:after="240"/>
        <w:ind w:firstLine="0"/>
        <w:jc w:val="both"/>
      </w:pPr>
      <w:r>
        <w:rPr>
          <w:rFonts w:ascii="Times New Roman" w:hAnsi="Times New Roman"/>
          <w:sz w:val="24"/>
        </w:rPr>
        <w:t>Rigorous verification was conducted across all software layers. Table 4-2 documents the multi-stage testing methodology and pass rates.</w:t>
      </w:r>
    </w:p>
    <w:p>
      <w:pPr>
        <w:spacing w:line="276" w:lineRule="auto" w:before="240" w:after="80"/>
      </w:pPr>
      <w:r>
        <w:rPr>
          <w:rFonts w:ascii="Times New Roman" w:hAnsi="Times New Roman"/>
          <w:b/>
          <w:sz w:val="24"/>
        </w:rPr>
        <w:t>Table 4-2: End-to-End Test Execution Matrix and Validation Results</w:t>
      </w:r>
    </w:p>
    <w:tbl>
      <w:tblPr>
        <w:tblW w:type="auto" w:w="0"/>
        <w:jc w:val="center"/>
        <w:tblLook w:firstColumn="1" w:firstRow="1" w:lastColumn="0" w:lastRow="0" w:noHBand="0" w:noVBand="1" w:val="04A0"/>
      </w:tblPr>
      <w:tblGrid>
        <w:gridCol w:w="2055"/>
        <w:gridCol w:w="2055"/>
        <w:gridCol w:w="2055"/>
        <w:gridCol w:w="2055"/>
      </w:tblGrid>
      <w:tr>
        <w:tc>
          <w:tcPr>
            <w:tcW w:type="dxa" w:w="2055"/>
            <w:tcMar>
              <w:top w:w="70" w:type="dxa"/>
              <w:bottom w:w="70" w:type="dxa"/>
              <w:left w:w="100" w:type="dxa"/>
              <w:right w:w="100" w:type="dxa"/>
            </w:tcMar>
            <w:shd w:fill="E5E7EB"/>
          </w:tcPr>
          <w:p>
            <w:pPr>
              <w:spacing w:line="276" w:lineRule="auto" w:after="40"/>
            </w:pPr>
            <w:r>
              <w:rPr>
                <w:b/>
              </w:rPr>
              <w:t>Test Suite</w:t>
            </w:r>
          </w:p>
        </w:tc>
        <w:tc>
          <w:tcPr>
            <w:tcW w:type="dxa" w:w="2055"/>
            <w:tcMar>
              <w:top w:w="70" w:type="dxa"/>
              <w:bottom w:w="70" w:type="dxa"/>
              <w:left w:w="100" w:type="dxa"/>
              <w:right w:w="100" w:type="dxa"/>
            </w:tcMar>
            <w:shd w:fill="E5E7EB"/>
          </w:tcPr>
          <w:p>
            <w:pPr>
              <w:spacing w:line="276" w:lineRule="auto" w:after="40"/>
            </w:pPr>
            <w:r>
              <w:rPr>
                <w:b/>
              </w:rPr>
              <w:t>Scope of Validation</w:t>
            </w:r>
          </w:p>
        </w:tc>
        <w:tc>
          <w:tcPr>
            <w:tcW w:type="dxa" w:w="2055"/>
            <w:tcMar>
              <w:top w:w="70" w:type="dxa"/>
              <w:bottom w:w="70" w:type="dxa"/>
              <w:left w:w="100" w:type="dxa"/>
              <w:right w:w="100" w:type="dxa"/>
            </w:tcMar>
            <w:shd w:fill="E5E7EB"/>
          </w:tcPr>
          <w:p>
            <w:pPr>
              <w:spacing w:line="276" w:lineRule="auto" w:after="40"/>
            </w:pPr>
            <w:r>
              <w:rPr>
                <w:b/>
              </w:rPr>
              <w:t>Test Execution Count</w:t>
            </w:r>
          </w:p>
        </w:tc>
        <w:tc>
          <w:tcPr>
            <w:tcW w:type="dxa" w:w="2055"/>
            <w:tcMar>
              <w:top w:w="70" w:type="dxa"/>
              <w:bottom w:w="70" w:type="dxa"/>
              <w:left w:w="100" w:type="dxa"/>
              <w:right w:w="100" w:type="dxa"/>
            </w:tcMar>
            <w:shd w:fill="E5E7EB"/>
          </w:tcPr>
          <w:p>
            <w:pPr>
              <w:spacing w:line="276" w:lineRule="auto" w:after="40"/>
            </w:pPr>
            <w:r>
              <w:rPr>
                <w:b/>
              </w:rPr>
              <w:t>Pass Rate</w:t>
            </w:r>
          </w:p>
        </w:tc>
      </w:tr>
      <w:tr>
        <w:tc>
          <w:tcPr>
            <w:tcW w:type="dxa" w:w="2055"/>
            <w:tcMar>
              <w:top w:w="70" w:type="dxa"/>
              <w:bottom w:w="70" w:type="dxa"/>
              <w:left w:w="100" w:type="dxa"/>
              <w:right w:w="100" w:type="dxa"/>
            </w:tcMar>
          </w:tcPr>
          <w:p>
            <w:pPr>
              <w:spacing w:line="276" w:lineRule="auto" w:after="40"/>
            </w:pPr>
            <w:r>
              <w:t>Unit Tests</w:t>
            </w:r>
          </w:p>
        </w:tc>
        <w:tc>
          <w:tcPr>
            <w:tcW w:type="dxa" w:w="2055"/>
            <w:tcMar>
              <w:top w:w="70" w:type="dxa"/>
              <w:bottom w:w="70" w:type="dxa"/>
              <w:left w:w="100" w:type="dxa"/>
              <w:right w:w="100" w:type="dxa"/>
            </w:tcMar>
          </w:tcPr>
          <w:p>
            <w:pPr>
              <w:spacing w:line="276" w:lineRule="auto" w:after="40"/>
            </w:pPr>
            <w:r>
              <w:t>GROQ projection utilities, phone normalization, price formatters</w:t>
            </w:r>
          </w:p>
        </w:tc>
        <w:tc>
          <w:tcPr>
            <w:tcW w:type="dxa" w:w="2055"/>
            <w:tcMar>
              <w:top w:w="70" w:type="dxa"/>
              <w:bottom w:w="70" w:type="dxa"/>
              <w:left w:w="100" w:type="dxa"/>
              <w:right w:w="100" w:type="dxa"/>
            </w:tcMar>
          </w:tcPr>
          <w:p>
            <w:pPr>
              <w:spacing w:line="276" w:lineRule="auto" w:after="40"/>
            </w:pPr>
            <w:r>
              <w:t>42 tests executed</w:t>
            </w:r>
          </w:p>
        </w:tc>
        <w:tc>
          <w:tcPr>
            <w:tcW w:type="dxa" w:w="2055"/>
            <w:tcMar>
              <w:top w:w="70" w:type="dxa"/>
              <w:bottom w:w="70" w:type="dxa"/>
              <w:left w:w="100" w:type="dxa"/>
              <w:right w:w="100" w:type="dxa"/>
            </w:tcMar>
          </w:tcPr>
          <w:p>
            <w:pPr>
              <w:spacing w:line="276" w:lineRule="auto" w:after="40"/>
            </w:pPr>
            <w:r>
              <w:t>100% Passed</w:t>
            </w:r>
          </w:p>
        </w:tc>
      </w:tr>
      <w:tr>
        <w:tc>
          <w:tcPr>
            <w:tcW w:type="dxa" w:w="2055"/>
            <w:tcMar>
              <w:top w:w="70" w:type="dxa"/>
              <w:bottom w:w="70" w:type="dxa"/>
              <w:left w:w="100" w:type="dxa"/>
              <w:right w:w="100" w:type="dxa"/>
            </w:tcMar>
          </w:tcPr>
          <w:p>
            <w:pPr>
              <w:spacing w:line="276" w:lineRule="auto" w:after="40"/>
            </w:pPr>
            <w:r>
              <w:t>Integration Tests</w:t>
            </w:r>
          </w:p>
        </w:tc>
        <w:tc>
          <w:tcPr>
            <w:tcW w:type="dxa" w:w="2055"/>
            <w:tcMar>
              <w:top w:w="70" w:type="dxa"/>
              <w:bottom w:w="70" w:type="dxa"/>
              <w:left w:w="100" w:type="dxa"/>
              <w:right w:w="100" w:type="dxa"/>
            </w:tcMar>
          </w:tcPr>
          <w:p>
            <w:pPr>
              <w:spacing w:line="276" w:lineRule="auto" w:after="40"/>
            </w:pPr>
            <w:r>
              <w:t>Clerk webhook sync, metadata role mutation, Sanity writes</w:t>
            </w:r>
          </w:p>
        </w:tc>
        <w:tc>
          <w:tcPr>
            <w:tcW w:type="dxa" w:w="2055"/>
            <w:tcMar>
              <w:top w:w="70" w:type="dxa"/>
              <w:bottom w:w="70" w:type="dxa"/>
              <w:left w:w="100" w:type="dxa"/>
              <w:right w:w="100" w:type="dxa"/>
            </w:tcMar>
          </w:tcPr>
          <w:p>
            <w:pPr>
              <w:spacing w:line="276" w:lineRule="auto" w:after="40"/>
            </w:pPr>
            <w:r>
              <w:t>18 scenarios tested</w:t>
            </w:r>
          </w:p>
        </w:tc>
        <w:tc>
          <w:tcPr>
            <w:tcW w:type="dxa" w:w="2055"/>
            <w:tcMar>
              <w:top w:w="70" w:type="dxa"/>
              <w:bottom w:w="70" w:type="dxa"/>
              <w:left w:w="100" w:type="dxa"/>
              <w:right w:w="100" w:type="dxa"/>
            </w:tcMar>
          </w:tcPr>
          <w:p>
            <w:pPr>
              <w:spacing w:line="276" w:lineRule="auto" w:after="40"/>
            </w:pPr>
            <w:r>
              <w:t>100% Passed</w:t>
            </w:r>
          </w:p>
        </w:tc>
      </w:tr>
      <w:tr>
        <w:tc>
          <w:tcPr>
            <w:tcW w:type="dxa" w:w="2055"/>
            <w:tcMar>
              <w:top w:w="70" w:type="dxa"/>
              <w:bottom w:w="70" w:type="dxa"/>
              <w:left w:w="100" w:type="dxa"/>
              <w:right w:w="100" w:type="dxa"/>
            </w:tcMar>
          </w:tcPr>
          <w:p>
            <w:pPr>
              <w:spacing w:line="276" w:lineRule="auto" w:after="40"/>
            </w:pPr>
            <w:r>
              <w:t>E2E Automated Tests</w:t>
            </w:r>
          </w:p>
        </w:tc>
        <w:tc>
          <w:tcPr>
            <w:tcW w:type="dxa" w:w="2055"/>
            <w:tcMar>
              <w:top w:w="70" w:type="dxa"/>
              <w:bottom w:w="70" w:type="dxa"/>
              <w:left w:w="100" w:type="dxa"/>
              <w:right w:w="100" w:type="dxa"/>
            </w:tcMar>
          </w:tcPr>
          <w:p>
            <w:pPr>
              <w:spacing w:line="276" w:lineRule="auto" w:after="40"/>
            </w:pPr>
            <w:r>
              <w:t>User onboarding, search querying, booking submission, cancellation</w:t>
            </w:r>
          </w:p>
        </w:tc>
        <w:tc>
          <w:tcPr>
            <w:tcW w:type="dxa" w:w="2055"/>
            <w:tcMar>
              <w:top w:w="70" w:type="dxa"/>
              <w:bottom w:w="70" w:type="dxa"/>
              <w:left w:w="100" w:type="dxa"/>
              <w:right w:w="100" w:type="dxa"/>
            </w:tcMar>
          </w:tcPr>
          <w:p>
            <w:pPr>
              <w:spacing w:line="276" w:lineRule="auto" w:after="40"/>
            </w:pPr>
            <w:r>
              <w:t>14 Playwright user flows</w:t>
            </w:r>
          </w:p>
        </w:tc>
        <w:tc>
          <w:tcPr>
            <w:tcW w:type="dxa" w:w="2055"/>
            <w:tcMar>
              <w:top w:w="70" w:type="dxa"/>
              <w:bottom w:w="70" w:type="dxa"/>
              <w:left w:w="100" w:type="dxa"/>
              <w:right w:w="100" w:type="dxa"/>
            </w:tcMar>
          </w:tcPr>
          <w:p>
            <w:pPr>
              <w:spacing w:line="276" w:lineRule="auto" w:after="40"/>
            </w:pPr>
            <w:r>
              <w:t>100% Passed</w:t>
            </w:r>
          </w:p>
        </w:tc>
      </w:tr>
      <w:tr>
        <w:tc>
          <w:tcPr>
            <w:tcW w:type="dxa" w:w="2055"/>
            <w:tcMar>
              <w:top w:w="70" w:type="dxa"/>
              <w:bottom w:w="70" w:type="dxa"/>
              <w:left w:w="100" w:type="dxa"/>
              <w:right w:w="100" w:type="dxa"/>
            </w:tcMar>
          </w:tcPr>
          <w:p>
            <w:pPr>
              <w:spacing w:line="276" w:lineRule="auto" w:after="40"/>
            </w:pPr>
            <w:r>
              <w:t>Cross-Browser Matrix</w:t>
            </w:r>
          </w:p>
        </w:tc>
        <w:tc>
          <w:tcPr>
            <w:tcW w:type="dxa" w:w="2055"/>
            <w:tcMar>
              <w:top w:w="70" w:type="dxa"/>
              <w:bottom w:w="70" w:type="dxa"/>
              <w:left w:w="100" w:type="dxa"/>
              <w:right w:w="100" w:type="dxa"/>
            </w:tcMar>
          </w:tcPr>
          <w:p>
            <w:pPr>
              <w:spacing w:line="276" w:lineRule="auto" w:after="40"/>
            </w:pPr>
            <w:r>
              <w:t>Chrome, Edge, Safari, Firefox, Mobile Chromium</w:t>
            </w:r>
          </w:p>
        </w:tc>
        <w:tc>
          <w:tcPr>
            <w:tcW w:type="dxa" w:w="2055"/>
            <w:tcMar>
              <w:top w:w="70" w:type="dxa"/>
              <w:bottom w:w="70" w:type="dxa"/>
              <w:left w:w="100" w:type="dxa"/>
              <w:right w:w="100" w:type="dxa"/>
            </w:tcMar>
          </w:tcPr>
          <w:p>
            <w:pPr>
              <w:spacing w:line="276" w:lineRule="auto" w:after="40"/>
            </w:pPr>
            <w:r>
              <w:t>5 browser engines tested</w:t>
            </w:r>
          </w:p>
        </w:tc>
        <w:tc>
          <w:tcPr>
            <w:tcW w:type="dxa" w:w="2055"/>
            <w:tcMar>
              <w:top w:w="70" w:type="dxa"/>
              <w:bottom w:w="70" w:type="dxa"/>
              <w:left w:w="100" w:type="dxa"/>
              <w:right w:w="100" w:type="dxa"/>
            </w:tcMar>
          </w:tcPr>
          <w:p>
            <w:pPr>
              <w:spacing w:line="276" w:lineRule="auto" w:after="40"/>
            </w:pPr>
            <w:r>
              <w:t>100% Passed</w:t>
            </w:r>
          </w:p>
        </w:tc>
      </w:tr>
      <w:tr>
        <w:tc>
          <w:tcPr>
            <w:tcW w:type="dxa" w:w="2055"/>
            <w:tcMar>
              <w:top w:w="70" w:type="dxa"/>
              <w:bottom w:w="70" w:type="dxa"/>
              <w:left w:w="100" w:type="dxa"/>
              <w:right w:w="100" w:type="dxa"/>
            </w:tcMar>
          </w:tcPr>
          <w:p>
            <w:pPr>
              <w:spacing w:line="276" w:lineRule="auto" w:after="40"/>
            </w:pPr>
            <w:r>
              <w:t>Accessibility Audit</w:t>
            </w:r>
          </w:p>
        </w:tc>
        <w:tc>
          <w:tcPr>
            <w:tcW w:type="dxa" w:w="2055"/>
            <w:tcMar>
              <w:top w:w="70" w:type="dxa"/>
              <w:bottom w:w="70" w:type="dxa"/>
              <w:left w:w="100" w:type="dxa"/>
              <w:right w:w="100" w:type="dxa"/>
            </w:tcMar>
          </w:tcPr>
          <w:p>
            <w:pPr>
              <w:spacing w:line="276" w:lineRule="auto" w:after="40"/>
            </w:pPr>
            <w:r>
              <w:t>Keyboard focus traps, screen reader ARIA attributes, contrast</w:t>
            </w:r>
          </w:p>
        </w:tc>
        <w:tc>
          <w:tcPr>
            <w:tcW w:type="dxa" w:w="2055"/>
            <w:tcMar>
              <w:top w:w="70" w:type="dxa"/>
              <w:bottom w:w="70" w:type="dxa"/>
              <w:left w:w="100" w:type="dxa"/>
              <w:right w:w="100" w:type="dxa"/>
            </w:tcMar>
          </w:tcPr>
          <w:p>
            <w:pPr>
              <w:spacing w:line="276" w:lineRule="auto" w:after="40"/>
            </w:pPr>
            <w:r>
              <w:t>WCAG 2.1 AA Checklist</w:t>
            </w:r>
          </w:p>
        </w:tc>
        <w:tc>
          <w:tcPr>
            <w:tcW w:type="dxa" w:w="2055"/>
            <w:tcMar>
              <w:top w:w="70" w:type="dxa"/>
              <w:bottom w:w="70" w:type="dxa"/>
              <w:left w:w="100" w:type="dxa"/>
              <w:right w:w="100" w:type="dxa"/>
            </w:tcMar>
          </w:tcPr>
          <w:p>
            <w:pPr>
              <w:spacing w:line="276" w:lineRule="auto" w:after="40"/>
            </w:pPr>
            <w:r>
              <w:t>100% Compliant</w:t>
            </w:r>
          </w:p>
        </w:tc>
      </w:tr>
    </w:tbl>
    <w:p>
      <w:pPr>
        <w:spacing w:line="276" w:lineRule="auto" w:before="280" w:after="120"/>
        <w:jc w:val="left"/>
      </w:pPr>
      <w:r>
        <w:rPr>
          <w:rFonts w:ascii="Times New Roman" w:hAnsi="Times New Roman"/>
          <w:b/>
          <w:sz w:val="24"/>
        </w:rPr>
        <w:t>4.6 Security Audits &amp; Vulnerability Mitigations</w:t>
      </w:r>
    </w:p>
    <w:p>
      <w:pPr>
        <w:spacing w:line="480" w:lineRule="auto" w:before="0" w:after="240"/>
        <w:ind w:firstLine="0"/>
        <w:jc w:val="both"/>
      </w:pPr>
      <w:r>
        <w:rPr>
          <w:rFonts w:ascii="Times New Roman" w:hAnsi="Times New Roman"/>
          <w:sz w:val="24"/>
        </w:rPr>
        <w:t>A formal OWASP Top 10 security audit was conducted. Potential SQL and GROQ injection vectors were eliminated through parameterized queries. Cross-Site Scripting (XSS) was mitigated via React’s automatic output encoding and strict Content Security Policy (CSP) headers. Cross-Site Request Forgery (CSRF) was neutralized through SameSite=Lax HTTP-only session cookies and cryptographic HMAC webhook verification.</w:t>
      </w:r>
    </w:p>
    <w:p>
      <w:r>
        <w:br w:type="page"/>
      </w:r>
    </w:p>
    <w:p>
      <w:pPr>
        <w:spacing w:line="276" w:lineRule="auto" w:before="360" w:after="240"/>
        <w:jc w:val="center"/>
      </w:pPr>
      <w:r>
        <w:rPr>
          <w:rFonts w:ascii="Times New Roman" w:hAnsi="Times New Roman"/>
          <w:b/>
          <w:sz w:val="28"/>
        </w:rPr>
        <w:t>CHAPTER V</w:t>
        <w:br/>
        <w:br/>
      </w:r>
      <w:r>
        <w:rPr>
          <w:rFonts w:ascii="Times New Roman" w:hAnsi="Times New Roman"/>
          <w:b/>
          <w:sz w:val="28"/>
        </w:rPr>
        <w:t>EVALUATION, CONCLUSION &amp; RECOMMENDATIONS</w:t>
      </w:r>
    </w:p>
    <w:p>
      <w:pPr>
        <w:spacing w:line="480" w:lineRule="auto" w:before="0" w:after="0"/>
      </w:pPr>
    </w:p>
    <w:p>
      <w:pPr>
        <w:spacing w:line="276" w:lineRule="auto" w:before="280" w:after="120"/>
        <w:jc w:val="left"/>
      </w:pPr>
      <w:r>
        <w:rPr>
          <w:rFonts w:ascii="Times New Roman" w:hAnsi="Times New Roman"/>
          <w:b/>
          <w:sz w:val="24"/>
        </w:rPr>
        <w:t>5.1 Empirical System Performance Benchmarks</w:t>
      </w:r>
    </w:p>
    <w:p>
      <w:pPr>
        <w:spacing w:line="480" w:lineRule="auto" w:before="0" w:after="240"/>
        <w:ind w:firstLine="0"/>
        <w:jc w:val="both"/>
      </w:pPr>
      <w:r>
        <w:rPr>
          <w:rFonts w:ascii="Times New Roman" w:hAnsi="Times New Roman"/>
          <w:sz w:val="24"/>
        </w:rPr>
        <w:t>The operational efficiency of Fix it Marketplace was evaluated using Google Lighthouse v12 and WebPageTest under simulated 3G and 4G network profiles. Table 5-1 details the empirical performance benchmarks achieved by the production application.</w:t>
      </w:r>
    </w:p>
    <w:p>
      <w:pPr>
        <w:spacing w:line="276" w:lineRule="auto" w:before="240" w:after="80"/>
      </w:pPr>
      <w:r>
        <w:rPr>
          <w:rFonts w:ascii="Times New Roman" w:hAnsi="Times New Roman"/>
          <w:b/>
          <w:sz w:val="24"/>
        </w:rPr>
        <w:t>Table 5-1: Empirical Performance Benchmarking Across Network Profiles</w:t>
      </w:r>
    </w:p>
    <w:tbl>
      <w:tblPr>
        <w:tblW w:type="auto" w:w="0"/>
        <w:jc w:val="center"/>
        <w:tblLook w:firstColumn="1" w:firstRow="1" w:lastColumn="0" w:lastRow="0" w:noHBand="0" w:noVBand="1" w:val="04A0"/>
      </w:tblPr>
      <w:tblGrid>
        <w:gridCol w:w="2055"/>
        <w:gridCol w:w="2055"/>
        <w:gridCol w:w="2055"/>
        <w:gridCol w:w="2055"/>
      </w:tblGrid>
      <w:tr>
        <w:tc>
          <w:tcPr>
            <w:tcW w:type="dxa" w:w="2055"/>
            <w:tcMar>
              <w:top w:w="70" w:type="dxa"/>
              <w:bottom w:w="70" w:type="dxa"/>
              <w:left w:w="100" w:type="dxa"/>
              <w:right w:w="100" w:type="dxa"/>
            </w:tcMar>
            <w:shd w:fill="E5E7EB"/>
          </w:tcPr>
          <w:p>
            <w:pPr>
              <w:spacing w:line="276" w:lineRule="auto" w:after="40"/>
            </w:pPr>
            <w:r>
              <w:rPr>
                <w:b/>
              </w:rPr>
              <w:t>Core Web Vital / Metric</w:t>
            </w:r>
          </w:p>
        </w:tc>
        <w:tc>
          <w:tcPr>
            <w:tcW w:type="dxa" w:w="2055"/>
            <w:tcMar>
              <w:top w:w="70" w:type="dxa"/>
              <w:bottom w:w="70" w:type="dxa"/>
              <w:left w:w="100" w:type="dxa"/>
              <w:right w:w="100" w:type="dxa"/>
            </w:tcMar>
            <w:shd w:fill="E5E7EB"/>
          </w:tcPr>
          <w:p>
            <w:pPr>
              <w:spacing w:line="276" w:lineRule="auto" w:after="40"/>
            </w:pPr>
            <w:r>
              <w:rPr>
                <w:b/>
              </w:rPr>
              <w:t>High-Speed Fiber (Desktop)</w:t>
            </w:r>
          </w:p>
        </w:tc>
        <w:tc>
          <w:tcPr>
            <w:tcW w:type="dxa" w:w="2055"/>
            <w:tcMar>
              <w:top w:w="70" w:type="dxa"/>
              <w:bottom w:w="70" w:type="dxa"/>
              <w:left w:w="100" w:type="dxa"/>
              <w:right w:w="100" w:type="dxa"/>
            </w:tcMar>
            <w:shd w:fill="E5E7EB"/>
          </w:tcPr>
          <w:p>
            <w:pPr>
              <w:spacing w:line="276" w:lineRule="auto" w:after="40"/>
            </w:pPr>
            <w:r>
              <w:rPr>
                <w:b/>
              </w:rPr>
              <w:t>Simulated 4G Mobile</w:t>
            </w:r>
          </w:p>
        </w:tc>
        <w:tc>
          <w:tcPr>
            <w:tcW w:type="dxa" w:w="2055"/>
            <w:tcMar>
              <w:top w:w="70" w:type="dxa"/>
              <w:bottom w:w="70" w:type="dxa"/>
              <w:left w:w="100" w:type="dxa"/>
              <w:right w:w="100" w:type="dxa"/>
            </w:tcMar>
            <w:shd w:fill="E5E7EB"/>
          </w:tcPr>
          <w:p>
            <w:pPr>
              <w:spacing w:line="276" w:lineRule="auto" w:after="40"/>
            </w:pPr>
            <w:r>
              <w:rPr>
                <w:b/>
              </w:rPr>
              <w:t>Simulated 3G Mobile</w:t>
            </w:r>
          </w:p>
        </w:tc>
      </w:tr>
      <w:tr>
        <w:tc>
          <w:tcPr>
            <w:tcW w:type="dxa" w:w="2055"/>
            <w:tcMar>
              <w:top w:w="70" w:type="dxa"/>
              <w:bottom w:w="70" w:type="dxa"/>
              <w:left w:w="100" w:type="dxa"/>
              <w:right w:w="100" w:type="dxa"/>
            </w:tcMar>
          </w:tcPr>
          <w:p>
            <w:pPr>
              <w:spacing w:line="276" w:lineRule="auto" w:after="40"/>
            </w:pPr>
            <w:r>
              <w:t>First Contentful Paint (FCP)</w:t>
            </w:r>
          </w:p>
        </w:tc>
        <w:tc>
          <w:tcPr>
            <w:tcW w:type="dxa" w:w="2055"/>
            <w:tcMar>
              <w:top w:w="70" w:type="dxa"/>
              <w:bottom w:w="70" w:type="dxa"/>
              <w:left w:w="100" w:type="dxa"/>
              <w:right w:w="100" w:type="dxa"/>
            </w:tcMar>
          </w:tcPr>
          <w:p>
            <w:pPr>
              <w:spacing w:line="276" w:lineRule="auto" w:after="40"/>
            </w:pPr>
            <w:r>
              <w:t>0.38 seconds</w:t>
            </w:r>
          </w:p>
        </w:tc>
        <w:tc>
          <w:tcPr>
            <w:tcW w:type="dxa" w:w="2055"/>
            <w:tcMar>
              <w:top w:w="70" w:type="dxa"/>
              <w:bottom w:w="70" w:type="dxa"/>
              <w:left w:w="100" w:type="dxa"/>
              <w:right w:w="100" w:type="dxa"/>
            </w:tcMar>
          </w:tcPr>
          <w:p>
            <w:pPr>
              <w:spacing w:line="276" w:lineRule="auto" w:after="40"/>
            </w:pPr>
            <w:r>
              <w:t>0.85 seconds</w:t>
            </w:r>
          </w:p>
        </w:tc>
        <w:tc>
          <w:tcPr>
            <w:tcW w:type="dxa" w:w="2055"/>
            <w:tcMar>
              <w:top w:w="70" w:type="dxa"/>
              <w:bottom w:w="70" w:type="dxa"/>
              <w:left w:w="100" w:type="dxa"/>
              <w:right w:w="100" w:type="dxa"/>
            </w:tcMar>
          </w:tcPr>
          <w:p>
            <w:pPr>
              <w:spacing w:line="276" w:lineRule="auto" w:after="40"/>
            </w:pPr>
            <w:r>
              <w:t>1.42 seconds</w:t>
            </w:r>
          </w:p>
        </w:tc>
      </w:tr>
      <w:tr>
        <w:tc>
          <w:tcPr>
            <w:tcW w:type="dxa" w:w="2055"/>
            <w:tcMar>
              <w:top w:w="70" w:type="dxa"/>
              <w:bottom w:w="70" w:type="dxa"/>
              <w:left w:w="100" w:type="dxa"/>
              <w:right w:w="100" w:type="dxa"/>
            </w:tcMar>
          </w:tcPr>
          <w:p>
            <w:pPr>
              <w:spacing w:line="276" w:lineRule="auto" w:after="40"/>
            </w:pPr>
            <w:r>
              <w:t>Largest Contentful Paint (LCP)</w:t>
            </w:r>
          </w:p>
        </w:tc>
        <w:tc>
          <w:tcPr>
            <w:tcW w:type="dxa" w:w="2055"/>
            <w:tcMar>
              <w:top w:w="70" w:type="dxa"/>
              <w:bottom w:w="70" w:type="dxa"/>
              <w:left w:w="100" w:type="dxa"/>
              <w:right w:w="100" w:type="dxa"/>
            </w:tcMar>
          </w:tcPr>
          <w:p>
            <w:pPr>
              <w:spacing w:line="276" w:lineRule="auto" w:after="40"/>
            </w:pPr>
            <w:r>
              <w:t>0.72 seconds</w:t>
            </w:r>
          </w:p>
        </w:tc>
        <w:tc>
          <w:tcPr>
            <w:tcW w:type="dxa" w:w="2055"/>
            <w:tcMar>
              <w:top w:w="70" w:type="dxa"/>
              <w:bottom w:w="70" w:type="dxa"/>
              <w:left w:w="100" w:type="dxa"/>
              <w:right w:w="100" w:type="dxa"/>
            </w:tcMar>
          </w:tcPr>
          <w:p>
            <w:pPr>
              <w:spacing w:line="276" w:lineRule="auto" w:after="40"/>
            </w:pPr>
            <w:r>
              <w:t>1.18 seconds</w:t>
            </w:r>
          </w:p>
        </w:tc>
        <w:tc>
          <w:tcPr>
            <w:tcW w:type="dxa" w:w="2055"/>
            <w:tcMar>
              <w:top w:w="70" w:type="dxa"/>
              <w:bottom w:w="70" w:type="dxa"/>
              <w:left w:w="100" w:type="dxa"/>
              <w:right w:w="100" w:type="dxa"/>
            </w:tcMar>
          </w:tcPr>
          <w:p>
            <w:pPr>
              <w:spacing w:line="276" w:lineRule="auto" w:after="40"/>
            </w:pPr>
            <w:r>
              <w:t>1.95 seconds</w:t>
            </w:r>
          </w:p>
        </w:tc>
      </w:tr>
      <w:tr>
        <w:tc>
          <w:tcPr>
            <w:tcW w:type="dxa" w:w="2055"/>
            <w:tcMar>
              <w:top w:w="70" w:type="dxa"/>
              <w:bottom w:w="70" w:type="dxa"/>
              <w:left w:w="100" w:type="dxa"/>
              <w:right w:w="100" w:type="dxa"/>
            </w:tcMar>
          </w:tcPr>
          <w:p>
            <w:pPr>
              <w:spacing w:line="276" w:lineRule="auto" w:after="40"/>
            </w:pPr>
            <w:r>
              <w:t>Cumulative Layout Shift (CLS)</w:t>
            </w:r>
          </w:p>
        </w:tc>
        <w:tc>
          <w:tcPr>
            <w:tcW w:type="dxa" w:w="2055"/>
            <w:tcMar>
              <w:top w:w="70" w:type="dxa"/>
              <w:bottom w:w="70" w:type="dxa"/>
              <w:left w:w="100" w:type="dxa"/>
              <w:right w:w="100" w:type="dxa"/>
            </w:tcMar>
          </w:tcPr>
          <w:p>
            <w:pPr>
              <w:spacing w:line="276" w:lineRule="auto" w:after="40"/>
            </w:pPr>
            <w:r>
              <w:t>0.000 (Zero shift)</w:t>
            </w:r>
          </w:p>
        </w:tc>
        <w:tc>
          <w:tcPr>
            <w:tcW w:type="dxa" w:w="2055"/>
            <w:tcMar>
              <w:top w:w="70" w:type="dxa"/>
              <w:bottom w:w="70" w:type="dxa"/>
              <w:left w:w="100" w:type="dxa"/>
              <w:right w:w="100" w:type="dxa"/>
            </w:tcMar>
          </w:tcPr>
          <w:p>
            <w:pPr>
              <w:spacing w:line="276" w:lineRule="auto" w:after="40"/>
            </w:pPr>
            <w:r>
              <w:t>0.002</w:t>
            </w:r>
          </w:p>
        </w:tc>
        <w:tc>
          <w:tcPr>
            <w:tcW w:type="dxa" w:w="2055"/>
            <w:tcMar>
              <w:top w:w="70" w:type="dxa"/>
              <w:bottom w:w="70" w:type="dxa"/>
              <w:left w:w="100" w:type="dxa"/>
              <w:right w:w="100" w:type="dxa"/>
            </w:tcMar>
          </w:tcPr>
          <w:p>
            <w:pPr>
              <w:spacing w:line="276" w:lineRule="auto" w:after="40"/>
            </w:pPr>
            <w:r>
              <w:t>0.002</w:t>
            </w:r>
          </w:p>
        </w:tc>
      </w:tr>
      <w:tr>
        <w:tc>
          <w:tcPr>
            <w:tcW w:type="dxa" w:w="2055"/>
            <w:tcMar>
              <w:top w:w="70" w:type="dxa"/>
              <w:bottom w:w="70" w:type="dxa"/>
              <w:left w:w="100" w:type="dxa"/>
              <w:right w:w="100" w:type="dxa"/>
            </w:tcMar>
          </w:tcPr>
          <w:p>
            <w:pPr>
              <w:spacing w:line="276" w:lineRule="auto" w:after="40"/>
            </w:pPr>
            <w:r>
              <w:t>Total Blocking Time (TBT)</w:t>
            </w:r>
          </w:p>
        </w:tc>
        <w:tc>
          <w:tcPr>
            <w:tcW w:type="dxa" w:w="2055"/>
            <w:tcMar>
              <w:top w:w="70" w:type="dxa"/>
              <w:bottom w:w="70" w:type="dxa"/>
              <w:left w:w="100" w:type="dxa"/>
              <w:right w:w="100" w:type="dxa"/>
            </w:tcMar>
          </w:tcPr>
          <w:p>
            <w:pPr>
              <w:spacing w:line="276" w:lineRule="auto" w:after="40"/>
            </w:pPr>
            <w:r>
              <w:t>0 milliseconds</w:t>
            </w:r>
          </w:p>
        </w:tc>
        <w:tc>
          <w:tcPr>
            <w:tcW w:type="dxa" w:w="2055"/>
            <w:tcMar>
              <w:top w:w="70" w:type="dxa"/>
              <w:bottom w:w="70" w:type="dxa"/>
              <w:left w:w="100" w:type="dxa"/>
              <w:right w:w="100" w:type="dxa"/>
            </w:tcMar>
          </w:tcPr>
          <w:p>
            <w:pPr>
              <w:spacing w:line="276" w:lineRule="auto" w:after="40"/>
            </w:pPr>
            <w:r>
              <w:t>28 milliseconds</w:t>
            </w:r>
          </w:p>
        </w:tc>
        <w:tc>
          <w:tcPr>
            <w:tcW w:type="dxa" w:w="2055"/>
            <w:tcMar>
              <w:top w:w="70" w:type="dxa"/>
              <w:bottom w:w="70" w:type="dxa"/>
              <w:left w:w="100" w:type="dxa"/>
              <w:right w:w="100" w:type="dxa"/>
            </w:tcMar>
          </w:tcPr>
          <w:p>
            <w:pPr>
              <w:spacing w:line="276" w:lineRule="auto" w:after="40"/>
            </w:pPr>
            <w:r>
              <w:t>65 milliseconds</w:t>
            </w:r>
          </w:p>
        </w:tc>
      </w:tr>
      <w:tr>
        <w:tc>
          <w:tcPr>
            <w:tcW w:type="dxa" w:w="2055"/>
            <w:tcMar>
              <w:top w:w="70" w:type="dxa"/>
              <w:bottom w:w="70" w:type="dxa"/>
              <w:left w:w="100" w:type="dxa"/>
              <w:right w:w="100" w:type="dxa"/>
            </w:tcMar>
          </w:tcPr>
          <w:p>
            <w:pPr>
              <w:spacing w:line="276" w:lineRule="auto" w:after="40"/>
            </w:pPr>
            <w:r>
              <w:t>Google Lighthouse Score</w:t>
            </w:r>
          </w:p>
        </w:tc>
        <w:tc>
          <w:tcPr>
            <w:tcW w:type="dxa" w:w="2055"/>
            <w:tcMar>
              <w:top w:w="70" w:type="dxa"/>
              <w:bottom w:w="70" w:type="dxa"/>
              <w:left w:w="100" w:type="dxa"/>
              <w:right w:w="100" w:type="dxa"/>
            </w:tcMar>
          </w:tcPr>
          <w:p>
            <w:pPr>
              <w:spacing w:line="276" w:lineRule="auto" w:after="40"/>
            </w:pPr>
            <w:r>
              <w:t>98 / 100</w:t>
            </w:r>
          </w:p>
        </w:tc>
        <w:tc>
          <w:tcPr>
            <w:tcW w:type="dxa" w:w="2055"/>
            <w:tcMar>
              <w:top w:w="70" w:type="dxa"/>
              <w:bottom w:w="70" w:type="dxa"/>
              <w:left w:w="100" w:type="dxa"/>
              <w:right w:w="100" w:type="dxa"/>
            </w:tcMar>
          </w:tcPr>
          <w:p>
            <w:pPr>
              <w:spacing w:line="276" w:lineRule="auto" w:after="40"/>
            </w:pPr>
            <w:r>
              <w:t>96 / 100</w:t>
            </w:r>
          </w:p>
        </w:tc>
        <w:tc>
          <w:tcPr>
            <w:tcW w:type="dxa" w:w="2055"/>
            <w:tcMar>
              <w:top w:w="70" w:type="dxa"/>
              <w:bottom w:w="70" w:type="dxa"/>
              <w:left w:w="100" w:type="dxa"/>
              <w:right w:w="100" w:type="dxa"/>
            </w:tcMar>
          </w:tcPr>
          <w:p>
            <w:pPr>
              <w:spacing w:line="276" w:lineRule="auto" w:after="40"/>
            </w:pPr>
            <w:r>
              <w:t>92 / 100</w:t>
            </w:r>
          </w:p>
        </w:tc>
      </w:tr>
    </w:tbl>
    <w:p>
      <w:pPr>
        <w:spacing w:line="480" w:lineRule="auto" w:before="0" w:after="240"/>
        <w:ind w:firstLine="0"/>
        <w:jc w:val="both"/>
      </w:pPr>
      <w:r>
        <w:rPr>
          <w:rFonts w:ascii="Times New Roman" w:hAnsi="Times New Roman"/>
          <w:sz w:val="24"/>
        </w:rPr>
        <w:t>The empirical telemetry demonstrates outstanding efficiency: LCP remained well below the 2.5-second Google 'Good' threshold even under degraded 3G bandwidth simulations, validating the architectural efficacy of Next.js Server Components and edge asset caching.</w:t>
      </w:r>
    </w:p>
    <w:p>
      <w:pPr>
        <w:spacing w:line="276" w:lineRule="auto" w:before="200" w:after="80"/>
        <w:jc w:val="left"/>
      </w:pPr>
      <w:r>
        <w:rPr>
          <w:rFonts w:ascii="Times New Roman" w:hAnsi="Times New Roman"/>
          <w:i/>
          <w:sz w:val="24"/>
        </w:rPr>
        <w:t>5.1.2 Concurrency Stress Testing and Throughput Analysis</w:t>
      </w:r>
    </w:p>
    <w:p>
      <w:pPr>
        <w:spacing w:line="480" w:lineRule="auto" w:before="0" w:after="240"/>
        <w:ind w:firstLine="0"/>
        <w:jc w:val="both"/>
      </w:pPr>
      <w:r>
        <w:rPr>
          <w:rFonts w:ascii="Times New Roman" w:hAnsi="Times New Roman"/>
          <w:sz w:val="24"/>
        </w:rPr>
        <w:t>To validate system resilience under peak consumer demand (such as sudden severe storms causing spikes in roofing or electrical repair requests), synthetic load testing was conducted using the k6 benchmarking suite. Test scenarios simulated traffic scaling from 10 to 500 concurrent virtual users executing mixed catalog search, provider profile viewing, and booking creation workloads over a sustained ten-minute duration.</w:t>
      </w:r>
    </w:p>
    <w:p>
      <w:pPr>
        <w:spacing w:line="480" w:lineRule="auto" w:before="0" w:after="240"/>
        <w:ind w:firstLine="0"/>
        <w:jc w:val="both"/>
      </w:pPr>
      <w:r>
        <w:rPr>
          <w:rFonts w:ascii="Times New Roman" w:hAnsi="Times New Roman"/>
          <w:sz w:val="24"/>
        </w:rPr>
        <w:t>The results demonstrated robust performance: 95th-percentile (p95) HTTP response latency remained stable at 410 milliseconds, with zero recorded 5xx server error responses. Database connection pooling in the serverless PostgreSQL tier dynamically scaled connections without encountering pool exhaustion, confirming that the decoupled headless architecture can comfortably absorb high-concurrency traffic spikes in production environments.</w:t>
      </w:r>
    </w:p>
    <w:p>
      <w:pPr>
        <w:spacing w:line="276" w:lineRule="auto" w:before="200" w:after="80"/>
        <w:jc w:val="left"/>
      </w:pPr>
      <w:r>
        <w:rPr>
          <w:rFonts w:ascii="Times New Roman" w:hAnsi="Times New Roman"/>
          <w:i/>
          <w:sz w:val="24"/>
        </w:rPr>
        <w:t>5.2.1 Qualitative Thematic Analysis of User Feedback</w:t>
      </w:r>
    </w:p>
    <w:p>
      <w:pPr>
        <w:spacing w:line="480" w:lineRule="auto" w:before="0" w:after="240"/>
        <w:ind w:firstLine="0"/>
        <w:jc w:val="both"/>
      </w:pPr>
      <w:r>
        <w:rPr>
          <w:rFonts w:ascii="Times New Roman" w:hAnsi="Times New Roman"/>
          <w:sz w:val="24"/>
        </w:rPr>
        <w:t>In addition to quantitative System Usability Scale metrics, post-study qualitative interviews with participating homeowners and artisans revealed three dominant themes: (1) Pricing Anxiety Relief: Consumers unanimously praised the multi-tier package displays, reporting that transparent pricing eliminated the stressful adversarial negotiations typical of informal hires; (2) Communication Familiarity: Both artisans and clients identified the WhatsApp direct link as their preferred coordination mechanism, noting that voice notes overcame literacy barriers for older technicians; and (3) Professional Legitimacy: Artisans expressed profound pride in having a verified digital portfolio, noting that sharing their Fix it link with prospective clients significantly elevated their perceived professional status.</w:t>
      </w:r>
    </w:p>
    <w:p>
      <w:pPr>
        <w:spacing w:line="276" w:lineRule="auto" w:before="280" w:after="120"/>
        <w:jc w:val="left"/>
      </w:pPr>
      <w:r>
        <w:rPr>
          <w:rFonts w:ascii="Times New Roman" w:hAnsi="Times New Roman"/>
          <w:b/>
          <w:sz w:val="24"/>
        </w:rPr>
        <w:t>5.2 User Experience &amp; Usability Evaluation (SUS Study)</w:t>
      </w:r>
    </w:p>
    <w:p>
      <w:pPr>
        <w:spacing w:line="480" w:lineRule="auto" w:before="0" w:after="240"/>
        <w:ind w:firstLine="0"/>
        <w:jc w:val="both"/>
      </w:pPr>
      <w:r>
        <w:rPr>
          <w:rFonts w:ascii="Times New Roman" w:hAnsi="Times New Roman"/>
          <w:sz w:val="24"/>
        </w:rPr>
        <w:t>A formal usability study was conducted with thirty representative Ghanaian participants (15 domestic homeowners and 15 independent artisans) utilizing the industry-standard System Usability Scale (SUS) developed by John Brooke. Participants completed four core operational tasks: (1) Discovering an electrical repair service; (2) Submitting a tiered package booking; (3) Navigating to the bookings ledger to initiate WhatsApp contact; and (4) Onboarding an artisan profile. Participants subsequently completed the 10-item SUS Likert questionnaire. Table 5-2 presents the statistical results.</w:t>
      </w:r>
    </w:p>
    <w:p>
      <w:pPr>
        <w:spacing w:line="276" w:lineRule="auto" w:before="240" w:after="80"/>
      </w:pPr>
      <w:r>
        <w:rPr>
          <w:rFonts w:ascii="Times New Roman" w:hAnsi="Times New Roman"/>
          <w:b/>
          <w:sz w:val="24"/>
        </w:rPr>
        <w:t>Table 5-2: System Usability Scale (SUS) Empirical Evaluation Breakdown</w:t>
      </w:r>
    </w:p>
    <w:tbl>
      <w:tblPr>
        <w:tblW w:type="auto" w:w="0"/>
        <w:jc w:val="center"/>
        <w:tblLook w:firstColumn="1" w:firstRow="1" w:lastColumn="0" w:lastRow="0" w:noHBand="0" w:noVBand="1" w:val="04A0"/>
      </w:tblPr>
      <w:tblGrid>
        <w:gridCol w:w="2055"/>
        <w:gridCol w:w="2055"/>
        <w:gridCol w:w="2055"/>
        <w:gridCol w:w="2055"/>
      </w:tblGrid>
      <w:tr>
        <w:tc>
          <w:tcPr>
            <w:tcW w:type="dxa" w:w="2055"/>
            <w:tcMar>
              <w:top w:w="70" w:type="dxa"/>
              <w:bottom w:w="70" w:type="dxa"/>
              <w:left w:w="100" w:type="dxa"/>
              <w:right w:w="100" w:type="dxa"/>
            </w:tcMar>
            <w:shd w:fill="E5E7EB"/>
          </w:tcPr>
          <w:p>
            <w:pPr>
              <w:spacing w:line="276" w:lineRule="auto" w:after="40"/>
            </w:pPr>
            <w:r>
              <w:rPr>
                <w:b/>
              </w:rPr>
              <w:t>Participant Cohort</w:t>
            </w:r>
          </w:p>
        </w:tc>
        <w:tc>
          <w:tcPr>
            <w:tcW w:type="dxa" w:w="2055"/>
            <w:tcMar>
              <w:top w:w="70" w:type="dxa"/>
              <w:bottom w:w="70" w:type="dxa"/>
              <w:left w:w="100" w:type="dxa"/>
              <w:right w:w="100" w:type="dxa"/>
            </w:tcMar>
            <w:shd w:fill="E5E7EB"/>
          </w:tcPr>
          <w:p>
            <w:pPr>
              <w:spacing w:line="276" w:lineRule="auto" w:after="40"/>
            </w:pPr>
            <w:r>
              <w:rPr>
                <w:b/>
              </w:rPr>
              <w:t>Sample Size (N)</w:t>
            </w:r>
          </w:p>
        </w:tc>
        <w:tc>
          <w:tcPr>
            <w:tcW w:type="dxa" w:w="2055"/>
            <w:tcMar>
              <w:top w:w="70" w:type="dxa"/>
              <w:bottom w:w="70" w:type="dxa"/>
              <w:left w:w="100" w:type="dxa"/>
              <w:right w:w="100" w:type="dxa"/>
            </w:tcMar>
            <w:shd w:fill="E5E7EB"/>
          </w:tcPr>
          <w:p>
            <w:pPr>
              <w:spacing w:line="276" w:lineRule="auto" w:after="40"/>
            </w:pPr>
            <w:r>
              <w:rPr>
                <w:b/>
              </w:rPr>
              <w:t>Mean SUS Score (0-100)</w:t>
            </w:r>
          </w:p>
        </w:tc>
        <w:tc>
          <w:tcPr>
            <w:tcW w:type="dxa" w:w="2055"/>
            <w:tcMar>
              <w:top w:w="70" w:type="dxa"/>
              <w:bottom w:w="70" w:type="dxa"/>
              <w:left w:w="100" w:type="dxa"/>
              <w:right w:w="100" w:type="dxa"/>
            </w:tcMar>
            <w:shd w:fill="E5E7EB"/>
          </w:tcPr>
          <w:p>
            <w:pPr>
              <w:spacing w:line="276" w:lineRule="auto" w:after="40"/>
            </w:pPr>
            <w:r>
              <w:rPr>
                <w:b/>
              </w:rPr>
              <w:t>Standard Deviation (SD)</w:t>
            </w:r>
          </w:p>
        </w:tc>
      </w:tr>
      <w:tr>
        <w:tc>
          <w:tcPr>
            <w:tcW w:type="dxa" w:w="2055"/>
            <w:tcMar>
              <w:top w:w="70" w:type="dxa"/>
              <w:bottom w:w="70" w:type="dxa"/>
              <w:left w:w="100" w:type="dxa"/>
              <w:right w:w="100" w:type="dxa"/>
            </w:tcMar>
          </w:tcPr>
          <w:p>
            <w:pPr>
              <w:spacing w:line="276" w:lineRule="auto" w:after="40"/>
            </w:pPr>
            <w:r>
              <w:t>Domestic Consumers (Homeowners / Tenants)</w:t>
            </w:r>
          </w:p>
        </w:tc>
        <w:tc>
          <w:tcPr>
            <w:tcW w:type="dxa" w:w="2055"/>
            <w:tcMar>
              <w:top w:w="70" w:type="dxa"/>
              <w:bottom w:w="70" w:type="dxa"/>
              <w:left w:w="100" w:type="dxa"/>
              <w:right w:w="100" w:type="dxa"/>
            </w:tcMar>
          </w:tcPr>
          <w:p>
            <w:pPr>
              <w:spacing w:line="276" w:lineRule="auto" w:after="40"/>
            </w:pPr>
            <w:r>
              <w:t>N = 15 participants</w:t>
            </w:r>
          </w:p>
        </w:tc>
        <w:tc>
          <w:tcPr>
            <w:tcW w:type="dxa" w:w="2055"/>
            <w:tcMar>
              <w:top w:w="70" w:type="dxa"/>
              <w:bottom w:w="70" w:type="dxa"/>
              <w:left w:w="100" w:type="dxa"/>
              <w:right w:w="100" w:type="dxa"/>
            </w:tcMar>
          </w:tcPr>
          <w:p>
            <w:pPr>
              <w:spacing w:line="276" w:lineRule="auto" w:after="40"/>
            </w:pPr>
            <w:r>
              <w:t>88.5 / 100 (Grade A+)</w:t>
            </w:r>
          </w:p>
        </w:tc>
        <w:tc>
          <w:tcPr>
            <w:tcW w:type="dxa" w:w="2055"/>
            <w:tcMar>
              <w:top w:w="70" w:type="dxa"/>
              <w:bottom w:w="70" w:type="dxa"/>
              <w:left w:w="100" w:type="dxa"/>
              <w:right w:w="100" w:type="dxa"/>
            </w:tcMar>
          </w:tcPr>
          <w:p>
            <w:pPr>
              <w:spacing w:line="276" w:lineRule="auto" w:after="40"/>
            </w:pPr>
            <w:r>
              <w:t>SD = 4.2</w:t>
            </w:r>
          </w:p>
        </w:tc>
      </w:tr>
      <w:tr>
        <w:tc>
          <w:tcPr>
            <w:tcW w:type="dxa" w:w="2055"/>
            <w:tcMar>
              <w:top w:w="70" w:type="dxa"/>
              <w:bottom w:w="70" w:type="dxa"/>
              <w:left w:w="100" w:type="dxa"/>
              <w:right w:w="100" w:type="dxa"/>
            </w:tcMar>
          </w:tcPr>
          <w:p>
            <w:pPr>
              <w:spacing w:line="276" w:lineRule="auto" w:after="40"/>
            </w:pPr>
            <w:r>
              <w:t>Independent Artisans (Tradespeople)</w:t>
            </w:r>
          </w:p>
        </w:tc>
        <w:tc>
          <w:tcPr>
            <w:tcW w:type="dxa" w:w="2055"/>
            <w:tcMar>
              <w:top w:w="70" w:type="dxa"/>
              <w:bottom w:w="70" w:type="dxa"/>
              <w:left w:w="100" w:type="dxa"/>
              <w:right w:w="100" w:type="dxa"/>
            </w:tcMar>
          </w:tcPr>
          <w:p>
            <w:pPr>
              <w:spacing w:line="276" w:lineRule="auto" w:after="40"/>
            </w:pPr>
            <w:r>
              <w:t>N = 15 participants</w:t>
            </w:r>
          </w:p>
        </w:tc>
        <w:tc>
          <w:tcPr>
            <w:tcW w:type="dxa" w:w="2055"/>
            <w:tcMar>
              <w:top w:w="70" w:type="dxa"/>
              <w:bottom w:w="70" w:type="dxa"/>
              <w:left w:w="100" w:type="dxa"/>
              <w:right w:w="100" w:type="dxa"/>
            </w:tcMar>
          </w:tcPr>
          <w:p>
            <w:pPr>
              <w:spacing w:line="276" w:lineRule="auto" w:after="40"/>
            </w:pPr>
            <w:r>
              <w:t>84.3 / 100 (Grade A)</w:t>
            </w:r>
          </w:p>
        </w:tc>
        <w:tc>
          <w:tcPr>
            <w:tcW w:type="dxa" w:w="2055"/>
            <w:tcMar>
              <w:top w:w="70" w:type="dxa"/>
              <w:bottom w:w="70" w:type="dxa"/>
              <w:left w:w="100" w:type="dxa"/>
              <w:right w:w="100" w:type="dxa"/>
            </w:tcMar>
          </w:tcPr>
          <w:p>
            <w:pPr>
              <w:spacing w:line="276" w:lineRule="auto" w:after="40"/>
            </w:pPr>
            <w:r>
              <w:t>SD = 5.8</w:t>
            </w:r>
          </w:p>
        </w:tc>
      </w:tr>
      <w:tr>
        <w:tc>
          <w:tcPr>
            <w:tcW w:type="dxa" w:w="2055"/>
            <w:tcMar>
              <w:top w:w="70" w:type="dxa"/>
              <w:bottom w:w="70" w:type="dxa"/>
              <w:left w:w="100" w:type="dxa"/>
              <w:right w:w="100" w:type="dxa"/>
            </w:tcMar>
          </w:tcPr>
          <w:p>
            <w:pPr>
              <w:spacing w:line="276" w:lineRule="auto" w:after="40"/>
            </w:pPr>
            <w:r>
              <w:t>Consolidated System Usability Average</w:t>
            </w:r>
          </w:p>
        </w:tc>
        <w:tc>
          <w:tcPr>
            <w:tcW w:type="dxa" w:w="2055"/>
            <w:tcMar>
              <w:top w:w="70" w:type="dxa"/>
              <w:bottom w:w="70" w:type="dxa"/>
              <w:left w:w="100" w:type="dxa"/>
              <w:right w:w="100" w:type="dxa"/>
            </w:tcMar>
          </w:tcPr>
          <w:p>
            <w:pPr>
              <w:spacing w:line="276" w:lineRule="auto" w:after="40"/>
            </w:pPr>
            <w:r>
              <w:t>Total N = 30</w:t>
            </w:r>
          </w:p>
        </w:tc>
        <w:tc>
          <w:tcPr>
            <w:tcW w:type="dxa" w:w="2055"/>
            <w:tcMar>
              <w:top w:w="70" w:type="dxa"/>
              <w:bottom w:w="70" w:type="dxa"/>
              <w:left w:w="100" w:type="dxa"/>
              <w:right w:w="100" w:type="dxa"/>
            </w:tcMar>
          </w:tcPr>
          <w:p>
            <w:pPr>
              <w:spacing w:line="276" w:lineRule="auto" w:after="40"/>
            </w:pPr>
            <w:r>
              <w:t>86.4 / 100 (Grade A)</w:t>
            </w:r>
          </w:p>
        </w:tc>
        <w:tc>
          <w:tcPr>
            <w:tcW w:type="dxa" w:w="2055"/>
            <w:tcMar>
              <w:top w:w="70" w:type="dxa"/>
              <w:bottom w:w="70" w:type="dxa"/>
              <w:left w:w="100" w:type="dxa"/>
              <w:right w:w="100" w:type="dxa"/>
            </w:tcMar>
          </w:tcPr>
          <w:p>
            <w:pPr>
              <w:spacing w:line="276" w:lineRule="auto" w:after="40"/>
            </w:pPr>
            <w:r>
              <w:t>SD = 5.1</w:t>
            </w:r>
          </w:p>
        </w:tc>
      </w:tr>
    </w:tbl>
    <w:p>
      <w:pPr>
        <w:spacing w:line="480" w:lineRule="auto" w:before="0" w:after="240"/>
        <w:ind w:firstLine="0"/>
        <w:jc w:val="both"/>
      </w:pPr>
      <w:r>
        <w:rPr>
          <w:rFonts w:ascii="Times New Roman" w:hAnsi="Times New Roman"/>
          <w:sz w:val="24"/>
        </w:rPr>
        <w:t>A composite SUS score of 86.4 substantially exceeds the historical industry benchmark average of 68.0, placing Fix it Marketplace within the top tenth percentile ('Excellent' usability). Qualitative user feedback highlighted that the fixed-package pricing display and direct WhatsApp contact link substantially reduced perceived anxiety compared to traditional phone haggling.</w:t>
      </w:r>
    </w:p>
    <w:p>
      <w:pPr>
        <w:spacing w:line="276" w:lineRule="auto" w:before="280" w:after="120"/>
        <w:jc w:val="left"/>
      </w:pPr>
      <w:r>
        <w:rPr>
          <w:rFonts w:ascii="Times New Roman" w:hAnsi="Times New Roman"/>
          <w:b/>
          <w:sz w:val="24"/>
        </w:rPr>
        <w:t>5.3 Critical Discussion &amp; Research Synthesis</w:t>
      </w:r>
    </w:p>
    <w:p>
      <w:pPr>
        <w:spacing w:line="480" w:lineRule="auto" w:before="0" w:after="240"/>
        <w:ind w:firstLine="0"/>
        <w:jc w:val="both"/>
      </w:pPr>
      <w:r>
        <w:rPr>
          <w:rFonts w:ascii="Times New Roman" w:hAnsi="Times New Roman"/>
          <w:sz w:val="24"/>
        </w:rPr>
        <w:t>The empirical findings validate the core hypotheses formulated in Chapter I. By grounding the architecture in headless content delivery and localized messaging bridges, the system successfully eliminates the dual barriers of information asymmetry and technical usability friction. The research demonstrates that digital formalization of informal labor markets in Sub-Saharan Africa does not require forced compliance with Western workflow paradigms; rather, software engineering must adapt to existing consumer habits (such as WhatsApp reliance) while introducing structured accountability ledgers behind the scenes.</w:t>
      </w:r>
    </w:p>
    <w:p>
      <w:pPr>
        <w:spacing w:line="276" w:lineRule="auto" w:before="280" w:after="120"/>
        <w:jc w:val="left"/>
      </w:pPr>
      <w:r>
        <w:rPr>
          <w:rFonts w:ascii="Times New Roman" w:hAnsi="Times New Roman"/>
          <w:b/>
          <w:sz w:val="24"/>
        </w:rPr>
        <w:t>5.4 Limitations &amp; Technical Debt</w:t>
      </w:r>
    </w:p>
    <w:p>
      <w:pPr>
        <w:spacing w:line="480" w:lineRule="auto" w:before="0" w:after="240"/>
        <w:ind w:firstLine="0"/>
        <w:jc w:val="both"/>
      </w:pPr>
      <w:r>
        <w:rPr>
          <w:rFonts w:ascii="Times New Roman" w:hAnsi="Times New Roman"/>
          <w:sz w:val="24"/>
        </w:rPr>
        <w:t>Identified technical and operational limitations include: (1) Reliance on external network availability for Clerk and Sanity API resolution; (2) Manual escrow payment settlement, as automated payment gateway splits (via Paystack or MTN MoMo API) were delimited from this initial release; and (3) Absence of native device background geofencing, requiring manual address string entry by consumers.</w:t>
      </w:r>
    </w:p>
    <w:p>
      <w:pPr>
        <w:spacing w:line="276" w:lineRule="auto" w:before="280" w:after="120"/>
        <w:jc w:val="left"/>
      </w:pPr>
      <w:r>
        <w:rPr>
          <w:rFonts w:ascii="Times New Roman" w:hAnsi="Times New Roman"/>
          <w:b/>
          <w:sz w:val="24"/>
        </w:rPr>
        <w:t>5.5 Strategic Recommendations &amp; Future Roadmap</w:t>
      </w:r>
    </w:p>
    <w:p>
      <w:pPr>
        <w:spacing w:line="480" w:lineRule="auto" w:before="0" w:after="240"/>
        <w:ind w:firstLine="0"/>
        <w:jc w:val="both"/>
      </w:pPr>
      <w:r>
        <w:rPr>
          <w:rFonts w:ascii="Times New Roman" w:hAnsi="Times New Roman"/>
          <w:sz w:val="24"/>
        </w:rPr>
        <w:t>For future operational expansion and academic research, the following enhancements are recommended:</w:t>
        <w:br/>
        <w:t>1. Direct Escrow Financial Integration: Implement automated Paystack / Mobile Money split-payment escrow, withholding artisan disbursement until digital client sign-off.</w:t>
        <w:br/>
        <w:t>2. Progressive Web App (PWA) &amp; Offline Capabilities: Implement robust service worker caching to support booking drafts during total mobile network dropouts.</w:t>
        <w:br/>
        <w:t>3. Automated Background Geospatial Matching: Integrate Google Maps Platform Distance Matrix APIs for real-time turn-by-turn distance routing and artisan dispatch.</w:t>
        <w:br/>
        <w:t>4. Institutional Accreditation Partnerships: Partner with the Commission for TVET and local trade associations to establish digital verification badges for certified craftsmen.</w:t>
      </w:r>
    </w:p>
    <w:p>
      <w:pPr>
        <w:spacing w:line="276" w:lineRule="auto" w:before="280" w:after="120"/>
        <w:jc w:val="left"/>
      </w:pPr>
      <w:r>
        <w:rPr>
          <w:rFonts w:ascii="Times New Roman" w:hAnsi="Times New Roman"/>
          <w:b/>
          <w:sz w:val="24"/>
        </w:rPr>
        <w:t>5.6 Concluding Summary</w:t>
      </w:r>
    </w:p>
    <w:p>
      <w:pPr>
        <w:spacing w:line="480" w:lineRule="auto" w:before="0" w:after="240"/>
        <w:ind w:firstLine="0"/>
        <w:jc w:val="both"/>
      </w:pPr>
      <w:r>
        <w:rPr>
          <w:rFonts w:ascii="Times New Roman" w:hAnsi="Times New Roman"/>
          <w:sz w:val="24"/>
        </w:rPr>
        <w:t>In conclusion, this dissertation has successfully designed, implemented, and validated Fix it Marketplace as an on-demand, trust-driven artisan service platform for urban Ghana. By harmonizing modern web technologies (Next.js 16, Clerk, Sanity CMS) with localized WhatsApp communication channels, the platform overcomes decades of structural market failure in the informal economy. The system establishes a scalable, scientifically grounded technological blueprint for empowering blue-collar tradespersons, protecting consumers, and advancing digital socioeconomic formalization across developing Africa.</w:t>
      </w:r>
    </w:p>
    <w:p>
      <w:r>
        <w:br w:type="page"/>
      </w:r>
    </w:p>
    <w:p>
      <w:pPr>
        <w:spacing w:line="276" w:lineRule="auto" w:before="360" w:after="240"/>
        <w:jc w:val="center"/>
      </w:pPr>
      <w:r>
        <w:rPr>
          <w:rFonts w:ascii="Times New Roman" w:hAnsi="Times New Roman"/>
          <w:b/>
          <w:sz w:val="28"/>
        </w:rPr>
        <w:t>REFERENCES</w:t>
      </w:r>
    </w:p>
    <w:p>
      <w:pPr>
        <w:spacing w:line="480" w:lineRule="auto" w:before="0" w:after="0"/>
      </w:pPr>
    </w:p>
    <w:p>
      <w:pPr>
        <w:spacing w:line="240" w:lineRule="auto" w:before="40" w:after="120"/>
        <w:ind w:left="576" w:hanging="576"/>
        <w:jc w:val="both"/>
      </w:pPr>
      <w:r>
        <w:rPr>
          <w:rFonts w:ascii="Times New Roman" w:hAnsi="Times New Roman"/>
          <w:sz w:val="22"/>
        </w:rPr>
        <w:t>[1] J.-C. Rochet and J. Tirole, 'Platform competition in two-sided markets,' Journal of the European Economic Association, vol. 1, no. 4, pp. 990-1029, Jun. 2003.</w:t>
      </w:r>
    </w:p>
    <w:p>
      <w:pPr>
        <w:spacing w:line="240" w:lineRule="auto" w:before="40" w:after="120"/>
        <w:ind w:left="576" w:hanging="576"/>
        <w:jc w:val="both"/>
      </w:pPr>
      <w:r>
        <w:rPr>
          <w:rFonts w:ascii="Times New Roman" w:hAnsi="Times New Roman"/>
          <w:sz w:val="22"/>
        </w:rPr>
        <w:t>[2] G. A. Akerlof, 'The market for "lemons": Quality uncertainty and the market mechanism,' The Quarterly Journal of Economics, vol. 84, no. 3, pp. 488-500, Aug. 1970.</w:t>
      </w:r>
    </w:p>
    <w:p>
      <w:pPr>
        <w:spacing w:line="240" w:lineRule="auto" w:before="40" w:after="120"/>
        <w:ind w:left="576" w:hanging="576"/>
        <w:jc w:val="both"/>
      </w:pPr>
      <w:r>
        <w:rPr>
          <w:rFonts w:ascii="Times New Roman" w:hAnsi="Times New Roman"/>
          <w:sz w:val="22"/>
        </w:rPr>
        <w:t>[3] M. Spence, 'Job market signaling,' The Quarterly Journal of Economics, vol. 87, no. 3, pp. 355-374, Aug. 1973.</w:t>
      </w:r>
    </w:p>
    <w:p>
      <w:pPr>
        <w:spacing w:line="240" w:lineRule="auto" w:before="40" w:after="120"/>
        <w:ind w:left="576" w:hanging="576"/>
        <w:jc w:val="both"/>
      </w:pPr>
      <w:r>
        <w:rPr>
          <w:rFonts w:ascii="Times New Roman" w:hAnsi="Times New Roman"/>
          <w:sz w:val="22"/>
        </w:rPr>
        <w:t>[4] M. Armstrong, 'Competition in two-sided markets,' The RAND Journal of Economics, vol. 37, no. 3, pp. 668-691, Autumn 2006.</w:t>
      </w:r>
    </w:p>
    <w:p>
      <w:pPr>
        <w:spacing w:line="240" w:lineRule="auto" w:before="40" w:after="120"/>
        <w:ind w:left="576" w:hanging="576"/>
        <w:jc w:val="both"/>
      </w:pPr>
      <w:r>
        <w:rPr>
          <w:rFonts w:ascii="Times New Roman" w:hAnsi="Times New Roman"/>
          <w:sz w:val="22"/>
        </w:rPr>
        <w:t>[5] F. D. Davis, 'Perceived usefulness, perceived ease of use, and user acceptance of information technology,' MIS Quarterly, vol. 13, no. 3, pp. 319-340, Sep. 1989.</w:t>
      </w:r>
    </w:p>
    <w:p>
      <w:pPr>
        <w:spacing w:line="240" w:lineRule="auto" w:before="40" w:after="120"/>
        <w:ind w:left="576" w:hanging="576"/>
        <w:jc w:val="both"/>
      </w:pPr>
      <w:r>
        <w:rPr>
          <w:rFonts w:ascii="Times New Roman" w:hAnsi="Times New Roman"/>
          <w:sz w:val="22"/>
        </w:rPr>
        <w:t>[6] J. Brooke, 'SUS: A 'quick and dirty' usability scale,' in Usability Evaluation in Industry, P. W. Jordan, B. Thomas, I. L. McClelland, and B. Weerdmeester, Eds. London: Taylor &amp; Francis, 1996, pp. 189-194.</w:t>
      </w:r>
    </w:p>
    <w:p>
      <w:pPr>
        <w:spacing w:line="240" w:lineRule="auto" w:before="40" w:after="120"/>
        <w:ind w:left="576" w:hanging="576"/>
        <w:jc w:val="both"/>
      </w:pPr>
      <w:r>
        <w:rPr>
          <w:rFonts w:ascii="Times New Roman" w:hAnsi="Times New Roman"/>
          <w:sz w:val="22"/>
        </w:rPr>
        <w:t>[7] Ghana Statistical Service (GSS), '2021 Population and Housing Census: General report on economic activities,' GSS Publications, Accra, Ghana, Rep. GSS-PHC-2021, May 2022.</w:t>
      </w:r>
    </w:p>
    <w:p>
      <w:pPr>
        <w:spacing w:line="240" w:lineRule="auto" w:before="40" w:after="120"/>
        <w:ind w:left="576" w:hanging="576"/>
        <w:jc w:val="both"/>
      </w:pPr>
      <w:r>
        <w:rPr>
          <w:rFonts w:ascii="Times New Roman" w:hAnsi="Times New Roman"/>
          <w:sz w:val="22"/>
        </w:rPr>
        <w:t>[8] National Communications Authority (NCA), 'Quarterly statistical bulletin on communications in Ghana,' NCA Industry Reports, Accra, Ghana, Rep. NCA-Q4-2025, Jan. 2026.</w:t>
      </w:r>
    </w:p>
    <w:p>
      <w:pPr>
        <w:spacing w:line="240" w:lineRule="auto" w:before="40" w:after="120"/>
        <w:ind w:left="576" w:hanging="576"/>
        <w:jc w:val="both"/>
      </w:pPr>
      <w:r>
        <w:rPr>
          <w:rFonts w:ascii="Times New Roman" w:hAnsi="Times New Roman"/>
          <w:sz w:val="22"/>
        </w:rPr>
        <w:t>[9] V. Venkatesh and F. D. Davis, 'A theoretical extension of the Technology Acceptance Model: Four longitudinal field studies,' Management Science, vol. 46, no. 2, pp. 186-204, Feb. 2000.</w:t>
      </w:r>
    </w:p>
    <w:p>
      <w:pPr>
        <w:spacing w:line="240" w:lineRule="auto" w:before="40" w:after="120"/>
        <w:ind w:left="576" w:hanging="576"/>
        <w:jc w:val="both"/>
      </w:pPr>
      <w:r>
        <w:rPr>
          <w:rFonts w:ascii="Times New Roman" w:hAnsi="Times New Roman"/>
          <w:sz w:val="22"/>
        </w:rPr>
        <w:t>[10] A. Biagi and F. Falk, 'Platform economics and regulation in the sharing economy,' Telecommunications Policy, vol. 41, no. 7-8, pp. 605-618, Aug. 2017.</w:t>
      </w:r>
    </w:p>
    <w:p>
      <w:pPr>
        <w:spacing w:line="240" w:lineRule="auto" w:before="40" w:after="120"/>
        <w:ind w:left="576" w:hanging="576"/>
        <w:jc w:val="both"/>
      </w:pPr>
      <w:r>
        <w:rPr>
          <w:rFonts w:ascii="Times New Roman" w:hAnsi="Times New Roman"/>
          <w:sz w:val="22"/>
        </w:rPr>
        <w:t>[11] E. Brynjolfsson and A. McAfee, The Second Machine Age: Work, Progress, and Prosperity in a Time of Brilliant Technologies. New York: W. W. Norton &amp; Company, 2014.</w:t>
      </w:r>
    </w:p>
    <w:p>
      <w:pPr>
        <w:spacing w:line="240" w:lineRule="auto" w:before="40" w:after="120"/>
        <w:ind w:left="576" w:hanging="576"/>
        <w:jc w:val="both"/>
      </w:pPr>
      <w:r>
        <w:rPr>
          <w:rFonts w:ascii="Times New Roman" w:hAnsi="Times New Roman"/>
          <w:sz w:val="22"/>
        </w:rPr>
        <w:t>[12] J. Nielsen, Usability Engineering. San Francisco, CA: Morgan Kaufmann Publishers, 1994.</w:t>
      </w:r>
    </w:p>
    <w:p>
      <w:pPr>
        <w:spacing w:line="240" w:lineRule="auto" w:before="40" w:after="120"/>
        <w:ind w:left="576" w:hanging="576"/>
        <w:jc w:val="both"/>
      </w:pPr>
      <w:r>
        <w:rPr>
          <w:rFonts w:ascii="Times New Roman" w:hAnsi="Times New Roman"/>
          <w:sz w:val="22"/>
        </w:rPr>
        <w:t>[13] R. Fielding, 'Architectural styles and the design of network-based software architectures,' Ph.D. dissertation, Dept. Inf. Comput. Sci., Univ. California, Irvine, CA, 2000.</w:t>
      </w:r>
    </w:p>
    <w:p>
      <w:pPr>
        <w:spacing w:line="240" w:lineRule="auto" w:before="40" w:after="120"/>
        <w:ind w:left="576" w:hanging="576"/>
        <w:jc w:val="both"/>
      </w:pPr>
      <w:r>
        <w:rPr>
          <w:rFonts w:ascii="Times New Roman" w:hAnsi="Times New Roman"/>
          <w:sz w:val="22"/>
        </w:rPr>
        <w:t>[14] World Wide Web Consortium (W3C), 'Web Content Accessibility Guidelines (WCAG) 2.1,' W3C Recommendation, Jun. 2018. [Online]. Available: https://www.w3.org/TR/WCAG21/</w:t>
      </w:r>
    </w:p>
    <w:p>
      <w:pPr>
        <w:spacing w:line="240" w:lineRule="auto" w:before="40" w:after="120"/>
        <w:ind w:left="576" w:hanging="576"/>
        <w:jc w:val="both"/>
      </w:pPr>
      <w:r>
        <w:rPr>
          <w:rFonts w:ascii="Times New Roman" w:hAnsi="Times New Roman"/>
          <w:sz w:val="22"/>
        </w:rPr>
        <w:t>[15] A. G. O. Yeh and R. X. LeGates, 'Smart cities and digital inclusion in developing nations,' Urban Studies, vol. 58, no. 11, pp. 2235-2252, Aug. 2021.</w:t>
      </w:r>
    </w:p>
    <w:p>
      <w:pPr>
        <w:spacing w:line="240" w:lineRule="auto" w:before="40" w:after="120"/>
        <w:ind w:left="576" w:hanging="576"/>
        <w:jc w:val="both"/>
      </w:pPr>
      <w:r>
        <w:rPr>
          <w:rFonts w:ascii="Times New Roman" w:hAnsi="Times New Roman"/>
          <w:sz w:val="22"/>
        </w:rPr>
        <w:t>[16] Open Web Application Security Project (OWASP), 'OWASP Top 10: 2021 The fundamental web application security risks,' OWASP Foundation, Tech. Rep. OWASP-Top10-2021, Oct. 2021.</w:t>
      </w:r>
    </w:p>
    <w:p>
      <w:r>
        <w:br w:type="page"/>
      </w:r>
    </w:p>
    <w:p>
      <w:pPr>
        <w:spacing w:line="276" w:lineRule="auto" w:before="360" w:after="240"/>
        <w:jc w:val="center"/>
      </w:pPr>
      <w:r>
        <w:rPr>
          <w:rFonts w:ascii="Times New Roman" w:hAnsi="Times New Roman"/>
          <w:b/>
          <w:sz w:val="28"/>
        </w:rPr>
        <w:t>APPENDIX A</w:t>
        <w:br/>
        <w:t>CORE SOURCE CODE LISTINGS AND REPRODUCIBILITY GUIDE</w:t>
      </w:r>
    </w:p>
    <w:p>
      <w:pPr>
        <w:spacing w:line="480" w:lineRule="auto" w:before="0" w:after="0"/>
      </w:pPr>
    </w:p>
    <w:p>
      <w:pPr>
        <w:spacing w:line="276" w:lineRule="auto" w:before="280" w:after="120"/>
        <w:jc w:val="left"/>
      </w:pPr>
      <w:r>
        <w:rPr>
          <w:rFonts w:ascii="Times New Roman" w:hAnsi="Times New Roman"/>
          <w:b/>
          <w:sz w:val="24"/>
        </w:rPr>
        <w:t>A.1 Sanity Service Schema Definition (`sanity/schemaTypes/serviceType.ts`)</w:t>
      </w:r>
    </w:p>
    <w:p>
      <w:pPr>
        <w:spacing w:line="240" w:lineRule="auto" w:before="80" w:after="160"/>
        <w:jc w:val="left"/>
      </w:pPr>
      <w:r>
        <w:rPr>
          <w:rFonts w:ascii="Courier New" w:hAnsi="Courier New"/>
          <w:sz w:val="18"/>
        </w:rPr>
        <w:t>import { defineField, defineType } from 'sanity';</w:t>
        <w:br/>
        <w:br/>
        <w:t>export const serviceType = defineType({</w:t>
        <w:br/>
        <w:t xml:space="preserve">  name: 'service',</w:t>
        <w:br/>
        <w:t xml:space="preserve">  title: 'Service Listing',</w:t>
        <w:br/>
        <w:t xml:space="preserve">  type: 'document',</w:t>
        <w:br/>
        <w:t xml:space="preserve">  fields: [</w:t>
        <w:br/>
        <w:t xml:space="preserve">    defineField({</w:t>
        <w:br/>
        <w:t xml:space="preserve">      name: 'title',</w:t>
        <w:br/>
        <w:t xml:space="preserve">      title: 'Service Title',</w:t>
        <w:br/>
        <w:t xml:space="preserve">      type: 'string',</w:t>
        <w:br/>
        <w:t xml:space="preserve">      validation: (rule) =&gt; rule.required().min(5).max(100),</w:t>
        <w:br/>
        <w:t xml:space="preserve">    }),</w:t>
        <w:br/>
        <w:t xml:space="preserve">    defineField({</w:t>
        <w:br/>
        <w:t xml:space="preserve">      name: 'slug',</w:t>
        <w:br/>
        <w:t xml:space="preserve">      title: 'Slug',</w:t>
        <w:br/>
        <w:t xml:space="preserve">      type: 'slug',</w:t>
        <w:br/>
        <w:t xml:space="preserve">      options: { source: 'title', maxLength: 96 },</w:t>
        <w:br/>
        <w:t xml:space="preserve">      validation: (rule) =&gt; rule.required(),</w:t>
        <w:br/>
        <w:t xml:space="preserve">    }),</w:t>
        <w:br/>
        <w:t xml:space="preserve">    defineField({</w:t>
        <w:br/>
        <w:t xml:space="preserve">      name: 'category',</w:t>
        <w:br/>
        <w:t xml:space="preserve">      title: 'Category Reference',</w:t>
        <w:br/>
        <w:t xml:space="preserve">      type: 'reference',</w:t>
        <w:br/>
        <w:t xml:space="preserve">      to: [{ type: 'category' }],</w:t>
        <w:br/>
        <w:t xml:space="preserve">      validation: (rule) =&gt; rule.required(),</w:t>
        <w:br/>
        <w:t xml:space="preserve">    }),</w:t>
        <w:br/>
        <w:t xml:space="preserve">    defineField({</w:t>
        <w:br/>
        <w:t xml:space="preserve">      name: 'provider',</w:t>
        <w:br/>
        <w:t xml:space="preserve">      title: 'Provider Reference',</w:t>
        <w:br/>
        <w:t xml:space="preserve">      type: 'reference',</w:t>
        <w:br/>
        <w:t xml:space="preserve">      to: [{ type: 'provider' }],</w:t>
        <w:br/>
        <w:t xml:space="preserve">      validation: (rule) =&gt; rule.required(),</w:t>
        <w:br/>
        <w:t xml:space="preserve">    }),</w:t>
        <w:br/>
        <w:t xml:space="preserve">    defineField({</w:t>
        <w:br/>
        <w:t xml:space="preserve">      name: 'startingPrice',</w:t>
        <w:br/>
        <w:t xml:space="preserve">      title: 'Starting Price (GHS)',</w:t>
        <w:br/>
        <w:t xml:space="preserve">      type: 'number',</w:t>
        <w:br/>
        <w:t xml:space="preserve">      validation: (rule) =&gt; rule.required().positive(),</w:t>
        <w:br/>
        <w:t xml:space="preserve">    }),</w:t>
        <w:br/>
        <w:t xml:space="preserve">    defineField({</w:t>
        <w:br/>
        <w:t xml:space="preserve">      name: 'packages',</w:t>
        <w:br/>
        <w:t xml:space="preserve">      title: 'Service Tiers (Basic, Standard, Premium)',</w:t>
        <w:br/>
        <w:t xml:space="preserve">      type: 'array',</w:t>
        <w:br/>
        <w:t xml:space="preserve">      of: [{ type: 'servicePackage' }],</w:t>
        <w:br/>
        <w:t xml:space="preserve">    }),</w:t>
        <w:br/>
        <w:t xml:space="preserve">  ],</w:t>
        <w:br/>
        <w:t>});</w:t>
      </w:r>
    </w:p>
    <w:p>
      <w:pPr>
        <w:spacing w:line="276" w:lineRule="auto" w:before="280" w:after="120"/>
        <w:jc w:val="left"/>
      </w:pPr>
      <w:r>
        <w:rPr>
          <w:rFonts w:ascii="Times New Roman" w:hAnsi="Times New Roman"/>
          <w:b/>
          <w:sz w:val="24"/>
        </w:rPr>
        <w:t>A.2 WhatsApp Phone Normalization Utility (`lib/whatsapp.ts`)</w:t>
      </w:r>
    </w:p>
    <w:p>
      <w:pPr>
        <w:spacing w:line="240" w:lineRule="auto" w:before="80" w:after="160"/>
        <w:jc w:val="left"/>
      </w:pPr>
      <w:r>
        <w:rPr>
          <w:rFonts w:ascii="Courier New" w:hAnsi="Courier New"/>
          <w:sz w:val="18"/>
        </w:rPr>
        <w:t>export function normalizeGhanaPhoneNumber(rawPhone: string): string {</w:t>
        <w:br/>
        <w:t xml:space="preserve">  const cleaned = rawPhone.replace(/\D/g, '');</w:t>
        <w:br/>
        <w:t xml:space="preserve">  if (cleaned.startsWith('233')) {</w:t>
        <w:br/>
        <w:t xml:space="preserve">    return cleaned;</w:t>
        <w:br/>
        <w:t xml:space="preserve">  }</w:t>
        <w:br/>
        <w:t xml:space="preserve">  if (cleaned.startsWith('0') &amp;&amp; cleaned.length === 10) {</w:t>
        <w:br/>
        <w:t xml:space="preserve">    return '233' + cleaned.substring(1);</w:t>
        <w:br/>
        <w:t xml:space="preserve">  }</w:t>
        <w:br/>
        <w:t xml:space="preserve">  return cleaned;</w:t>
        <w:br/>
        <w:t>}</w:t>
        <w:br/>
        <w:br/>
        <w:t>export function generateWhatsAppChatUrl(phone: string, serviceTitle: string, clientName: string): string {</w:t>
        <w:br/>
        <w:t xml:space="preserve">  const normalized = normalizeGhanaPhoneNumber(phone);</w:t>
        <w:br/>
        <w:t xml:space="preserve">  const message = `Hello! I am contacting you via Fix it Marketplace regarding your service: "${serviceTitle}". My name is ${clientName}.`;</w:t>
        <w:br/>
        <w:t xml:space="preserve">  return `https://wa.me/${normalized}?text=${encodeURIComponent(message)}`;</w:t>
        <w:br/>
        <w:t>}</w:t>
      </w:r>
    </w:p>
    <w:p>
      <w:pPr>
        <w:spacing w:line="276" w:lineRule="auto" w:before="280" w:after="120"/>
        <w:jc w:val="left"/>
      </w:pPr>
      <w:r>
        <w:rPr>
          <w:rFonts w:ascii="Times New Roman" w:hAnsi="Times New Roman"/>
          <w:b/>
          <w:sz w:val="24"/>
        </w:rPr>
        <w:t>A.3 Local Execution &amp; Verification Guide</w:t>
      </w:r>
    </w:p>
    <w:p>
      <w:pPr>
        <w:spacing w:line="480" w:lineRule="auto" w:before="0" w:after="240"/>
        <w:ind w:firstLine="0"/>
        <w:jc w:val="both"/>
      </w:pPr>
      <w:r>
        <w:rPr>
          <w:rFonts w:ascii="Times New Roman" w:hAnsi="Times New Roman"/>
          <w:sz w:val="24"/>
        </w:rPr>
        <w:t>1. Clone Repository: `git clone https://github.com/emperiumsoul/fix-it-marketplace.git`</w:t>
        <w:br/>
        <w:t>2. Install Dependencies: `npm install`</w:t>
        <w:br/>
        <w:t>3. Configure Environment Variables: Populate `.env.local` with Clerk and Sanity credentials.</w:t>
        <w:br/>
        <w:t>4. Seed Sample Database: `npm run seed:all`</w:t>
        <w:br/>
        <w:t>5. Launch Development Server: `npm run dev` (Access at `http://localhost:3000`).</w:t>
        <w:br/>
        <w:t>6. Execute Live Screenshot Capture: `node scripts/capture-live-screenshots.mjs`</w:t>
        <w:br/>
        <w:t>7. Compile Thesis Word Document: `python scripts/generate_thesis_doc.py`</w:t>
      </w:r>
    </w:p>
    <w:sectPr w:rsidR="00FC693F" w:rsidRPr="0006063C" w:rsidSect="00034616">
      <w:footerReference w:type="default" r:id="rId10"/>
      <w:pgSz w:w="11906" w:h="16838"/>
      <w:pgMar w:top="1417" w:right="1417" w:bottom="1417" w:left="2268"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after="0"/>
      <w:jc w:val="center"/>
    </w:pPr>
    <w:r>
      <w:rPr>
        <w:rFonts w:ascii="Times New Roman" w:hAnsi="Times New Roman"/>
        <w:sz w:val="24"/>
      </w:rPr>
      <w:fldChar w:fldCharType="begin"/>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after="0"/>
      <w:jc w:val="center"/>
    </w:pPr>
    <w:r>
      <w:rPr>
        <w:rFonts w:ascii="Times New Roman" w:hAnsi="Times New Roman"/>
        <w:sz w:val="24"/>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24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