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RAGForge Legal Intelligence Review</w:t>
      </w:r>
    </w:p>
    <w:p>
      <w:r>
        <w:t>Document Name: Untitled document (6).docx</w:t>
      </w:r>
    </w:p>
    <w:p>
      <w:r>
        <w:t>Generated On: 06 April 2026, 17:28</w:t>
      </w:r>
    </w:p>
    <w:p>
      <w:pPr>
        <w:pStyle w:val="Heading1"/>
      </w:pPr>
      <w:r>
        <w:t>Contract Overview</w:t>
      </w:r>
    </w:p>
    <w:p>
      <w:r>
        <w:rPr>
          <w:b/>
        </w:rPr>
        <w:t xml:space="preserve">Agreement Type: </w:t>
      </w:r>
      <w:r>
        <w:t>SOW</w:t>
        <w:br/>
      </w:r>
      <w:r>
        <w:rPr>
          <w:b/>
        </w:rPr>
        <w:t xml:space="preserve">Parties: </w:t>
      </w:r>
      <w:r>
        <w:t>NexaScale Technologies Pvt. Ltd., CodeForge Labs Pvt. Ltd.</w:t>
        <w:br/>
      </w:r>
      <w:r>
        <w:rPr>
          <w:b/>
        </w:rPr>
        <w:t xml:space="preserve">Governing Law: </w:t>
      </w:r>
      <w:r/>
    </w:p>
    <w:p>
      <w:r>
        <w:br w:type="page"/>
      </w:r>
    </w:p>
    <w:p>
      <w:pPr>
        <w:pStyle w:val="Heading1"/>
      </w:pPr>
      <w:r>
        <w:t>Executive Summary</w:t>
      </w:r>
    </w:p>
    <w:p>
      <w:r>
        <w:t>The SOW between NexaScale Technologies and CodeForge Labs lacks essential clauses, posing risks to both parties. The reliance on the Master Services Agreement for key terms may lead to inconsistencies. The change management process, although defined, requires more specificity. Negotiations should focus on adding missing clauses and clarifying the change management process. The contract's overall structure and missing protections indicate a need for thorough review and amendment.</w:t>
      </w:r>
    </w:p>
    <w:p>
      <w:pPr>
        <w:pStyle w:val="Heading1"/>
      </w:pPr>
      <w:r>
        <w:t>Key Risks &amp; Missing Protections</w:t>
      </w:r>
    </w:p>
    <w:p>
      <w:pPr>
        <w:pStyle w:val="Heading2"/>
      </w:pPr>
      <w:r>
        <w:t>Missing Protections (Needs Drafting)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Protection Type</w:t>
            </w:r>
          </w:p>
        </w:tc>
        <w:tc>
          <w:tcPr>
            <w:tcW w:type="dxa" w:w="2880"/>
          </w:tcPr>
          <w:p>
            <w:r>
              <w:t>Legal Analysis</w:t>
            </w:r>
          </w:p>
        </w:tc>
      </w:tr>
      <w:tr>
        <w:tc>
          <w:tcPr>
            <w:tcW w:type="dxa" w:w="2880"/>
          </w:tcPr>
          <w:p>
            <w:r>
              <w:t>HIGH</w:t>
            </w:r>
          </w:p>
        </w:tc>
        <w:tc>
          <w:tcPr>
            <w:tcW w:type="dxa" w:w="2880"/>
          </w:tcPr>
          <w:p>
            <w:r>
              <w:t>Uncapped Liability</w:t>
            </w:r>
          </w:p>
        </w:tc>
        <w:tc>
          <w:tcPr>
            <w:tcW w:type="dxa" w:w="2880"/>
          </w:tcPr>
          <w:p>
            <w:r>
              <w:t>The contract does not include a limitation of liability clause, which could expose both parties to significant financial risks in the event of a dispute or claim.</w:t>
            </w:r>
          </w:p>
        </w:tc>
      </w:tr>
      <w:tr>
        <w:tc>
          <w:tcPr>
            <w:tcW w:type="dxa" w:w="2880"/>
          </w:tcPr>
          <w:p>
            <w:r>
              <w:t>HIGH</w:t>
            </w:r>
          </w:p>
        </w:tc>
        <w:tc>
          <w:tcPr>
            <w:tcW w:type="dxa" w:w="2880"/>
          </w:tcPr>
          <w:p>
            <w:r>
              <w:t>Lack of Indemnification</w:t>
            </w:r>
          </w:p>
        </w:tc>
        <w:tc>
          <w:tcPr>
            <w:tcW w:type="dxa" w:w="2880"/>
          </w:tcPr>
          <w:p>
            <w:r>
              <w:t>The contract does not include an indemnification clause, which could leave one or both parties without protection against claims or losses arising from the project.</w:t>
            </w:r>
          </w:p>
        </w:tc>
      </w:tr>
      <w:tr>
        <w:tc>
          <w:tcPr>
            <w:tcW w:type="dxa" w:w="2880"/>
          </w:tcPr>
          <w:p>
            <w:r>
              <w:t>MEDIUM</w:t>
            </w:r>
          </w:p>
        </w:tc>
        <w:tc>
          <w:tcPr>
            <w:tcW w:type="dxa" w:w="2880"/>
          </w:tcPr>
          <w:p>
            <w:r>
              <w:t>No Warranty on Deliverables</w:t>
            </w:r>
          </w:p>
        </w:tc>
        <w:tc>
          <w:tcPr>
            <w:tcW w:type="dxa" w:w="2880"/>
          </w:tcPr>
          <w:p>
            <w:r>
              <w:t>The contract does not include a warranty clause for deliverables, which could leave the client without recourse if the deliverables are defective or do not meet the required standards.</w:t>
            </w:r>
          </w:p>
        </w:tc>
      </w:tr>
      <w:tr>
        <w:tc>
          <w:tcPr>
            <w:tcW w:type="dxa" w:w="2880"/>
          </w:tcPr>
          <w:p>
            <w:r>
              <w:t>LOW</w:t>
            </w:r>
          </w:p>
        </w:tc>
        <w:tc>
          <w:tcPr>
            <w:tcW w:type="dxa" w:w="2880"/>
          </w:tcPr>
          <w:p>
            <w:r>
              <w:t>No Pre-existing IP Carve-out</w:t>
            </w:r>
          </w:p>
        </w:tc>
        <w:tc>
          <w:tcPr>
            <w:tcW w:type="dxa" w:w="2880"/>
          </w:tcPr>
          <w:p>
            <w:r>
              <w:t>The contract does not include a pre-existing IP carve-out clause, which could lead to potential intellectual property disputes or claims.</w:t>
            </w:r>
          </w:p>
        </w:tc>
      </w:tr>
      <w:tr>
        <w:tc>
          <w:tcPr>
            <w:tcW w:type="dxa" w:w="2880"/>
          </w:tcPr>
          <w:p>
            <w:r>
              <w:t>MEDIUM</w:t>
            </w:r>
          </w:p>
        </w:tc>
        <w:tc>
          <w:tcPr>
            <w:tcW w:type="dxa" w:w="2880"/>
          </w:tcPr>
          <w:p>
            <w:r>
              <w:t>No Force Majeure Clause</w:t>
            </w:r>
          </w:p>
        </w:tc>
        <w:tc>
          <w:tcPr>
            <w:tcW w:type="dxa" w:w="2880"/>
          </w:tcPr>
          <w:p>
            <w:r>
              <w:t>The contract does not include a force majeure clause, which could leave both parties without protection against unforeseen events or circumstances that may affect the project.</w:t>
            </w:r>
          </w:p>
        </w:tc>
      </w:tr>
      <w:tr>
        <w:tc>
          <w:tcPr>
            <w:tcW w:type="dxa" w:w="2880"/>
          </w:tcPr>
          <w:p>
            <w:r>
              <w:t>HIGH</w:t>
            </w:r>
          </w:p>
        </w:tc>
        <w:tc>
          <w:tcPr>
            <w:tcW w:type="dxa" w:w="2880"/>
          </w:tcPr>
          <w:p>
            <w:r>
              <w:t>No Data Protection Obligations</w:t>
            </w:r>
          </w:p>
        </w:tc>
        <w:tc>
          <w:tcPr>
            <w:tcW w:type="dxa" w:w="2880"/>
          </w:tcPr>
          <w:p>
            <w:r>
              <w:t>The contract does not include data protection obligations, which could leave both parties non-compliant with relevant data protection regulations, such as the DPDPA 2023.</w:t>
            </w:r>
          </w:p>
        </w:tc>
      </w:tr>
      <w:tr>
        <w:tc>
          <w:tcPr>
            <w:tcW w:type="dxa" w:w="2880"/>
          </w:tcPr>
          <w:p>
            <w:r>
              <w:t>MEDIUM</w:t>
            </w:r>
          </w:p>
        </w:tc>
        <w:tc>
          <w:tcPr>
            <w:tcW w:type="dxa" w:w="2880"/>
          </w:tcPr>
          <w:p>
            <w:r>
              <w:t>No Termination Consequences</w:t>
            </w:r>
          </w:p>
        </w:tc>
        <w:tc>
          <w:tcPr>
            <w:tcW w:type="dxa" w:w="2880"/>
          </w:tcPr>
          <w:p>
            <w:r>
              <w:t>The contract does not include termination consequences, such as IP return or payment on exit, which could lead to potential disputes or claims.</w:t>
            </w:r>
          </w:p>
        </w:tc>
      </w:tr>
      <w:tr>
        <w:tc>
          <w:tcPr>
            <w:tcW w:type="dxa" w:w="2880"/>
          </w:tcPr>
          <w:p>
            <w:r>
              <w:t>LOW</w:t>
            </w:r>
          </w:p>
        </w:tc>
        <w:tc>
          <w:tcPr>
            <w:tcW w:type="dxa" w:w="2880"/>
          </w:tcPr>
          <w:p>
            <w:r>
              <w:t>No Subcontracting Liability Chain</w:t>
            </w:r>
          </w:p>
        </w:tc>
        <w:tc>
          <w:tcPr>
            <w:tcW w:type="dxa" w:w="2880"/>
          </w:tcPr>
          <w:p>
            <w:r>
              <w:t>The contract does not include a subcontracting liability chain clause, which could leave both parties without protection against potential subcontractor-related risks or claims.</w:t>
            </w:r>
          </w:p>
        </w:tc>
      </w:tr>
    </w:tbl>
    <w:p>
      <w:pPr>
        <w:pStyle w:val="Heading2"/>
      </w:pPr>
      <w:r>
        <w:t>Active Risks (Requires Negotiation)</w:t>
      </w:r>
    </w:p>
    <w:tbl>
      <w:tblPr>
        <w:tblStyle w:val="LightShading-Accent2"/>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Clause Reference</w:t>
            </w:r>
          </w:p>
        </w:tc>
        <w:tc>
          <w:tcPr>
            <w:tcW w:type="dxa" w:w="2880"/>
          </w:tcPr>
          <w:p>
            <w:r>
              <w:t>Legal Issue &amp; Quotes</w:t>
            </w:r>
          </w:p>
        </w:tc>
      </w:tr>
      <w:tr>
        <w:tc>
          <w:tcPr>
            <w:tcW w:type="dxa" w:w="2880"/>
          </w:tcPr>
          <w:p>
            <w:r>
              <w:t>MEDIUM</w:t>
            </w:r>
          </w:p>
        </w:tc>
        <w:tc>
          <w:tcPr>
            <w:tcW w:type="dxa" w:w="2880"/>
          </w:tcPr>
          <w:p>
            <w:r>
              <w:t>PAYMENT TERMS</w:t>
            </w:r>
          </w:p>
        </w:tc>
        <w:tc>
          <w:tcPr>
            <w:tcW w:type="dxa" w:w="2880"/>
          </w:tcPr>
          <w:p>
            <w:r>
              <w:t>The payment terms clause requires payment within 10 days of invoice, which could be considered aggressive and may pose a risk to the consultant's cash flow.\n\nSource: \"Payments to be made within 10 days of invoice\"</w:t>
            </w:r>
          </w:p>
        </w:tc>
      </w:tr>
    </w:tbl>
    <w:p>
      <w:r>
        <w:br w:type="page"/>
      </w:r>
    </w:p>
    <w:p>
      <w:pPr>
        <w:pStyle w:val="Heading2"/>
      </w:pPr>
      <w:r>
        <w:t>System Information &amp; Legal Disclaimer</w:t>
      </w:r>
    </w:p>
    <w:p>
      <w:r>
        <w:rPr>
          <w:i/>
          <w:color w:val="808080"/>
        </w:rPr>
        <w:t>IMPORTANT NOTICE: This report was automatically generated by RAGForge Legal Intelligence Engine. It is designed to assist attorneys in accelerating human document review. This report does NOT constitute legal advice. You must verify all findings and source quotes manually before advising clients. Artificial Intelligence can produce inaccurate or 'hallucinated'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