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61.png" ContentType="image/png"/>
  <Override PartName="/word/media/rId46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2" w:name="validation-and-conversion-rules"/>
    <w:p>
      <w:pPr>
        <w:pStyle w:val="Heading1"/>
      </w:pPr>
      <w:r>
        <w:t xml:space="preserve">Validation and conversion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2026-10-22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Tally (TallyPrime) data converted into the canonical model, and its validation</w:t>
            </w:r>
          </w:p>
        </w:tc>
      </w:tr>
    </w:tbl>
    <w:p>
      <w:pPr>
        <w:pStyle w:val="BodyText"/>
      </w:pPr>
      <w:r>
        <w:t xml:space="preserve">The rulebook: every rule LedgerBridge follows when it converts Tally data and validates it against Tally’s own figures. For each rule: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it is,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(what the pilot showed, in counts only),</w:t>
      </w:r>
      <w:r>
        <w:t xml:space="preserve"> </w:t>
      </w:r>
      <w:r>
        <w:rPr>
          <w:b/>
          <w:bCs/>
        </w:rPr>
        <w:t xml:space="preserve">how it was proven</w:t>
      </w:r>
      <w:r>
        <w:t xml:space="preserve"> </w:t>
      </w:r>
      <w:r>
        <w:t xml:space="preserve">(a Tally report, or an experiment on LedgerBridge Test Co reproduced by the seeder),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it lives in the code, which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cover it, and its</w:t>
      </w:r>
      <w:r>
        <w:t xml:space="preserve"> </w:t>
      </w:r>
      <w:r>
        <w:rPr>
          <w:b/>
          <w:bCs/>
        </w:rPr>
        <w:t xml:space="preserve">ADR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architecture.md</w:t>
        </w:r>
      </w:hyperlink>
      <w:r>
        <w:t xml:space="preserve">. The tables and columns named here are described in the</w:t>
      </w:r>
      <w:r>
        <w:t xml:space="preserve"> </w:t>
      </w:r>
      <w:hyperlink r:id="rId21">
        <w:r>
          <w:rPr>
            <w:rStyle w:val="Hyperlink"/>
          </w:rPr>
          <w:t xml:space="preserve">schema reference</w:t>
        </w:r>
      </w:hyperlink>
      <w:r>
        <w:t xml:space="preserve">; the problem codes (LB-xxx) in the</w:t>
      </w:r>
      <w:r>
        <w:t xml:space="preserve"> </w:t>
      </w:r>
      <w:hyperlink r:id="rId22">
        <w:r>
          <w:rPr>
            <w:rStyle w:val="Hyperlink"/>
          </w:rPr>
          <w:t xml:space="preserve">error catalogue</w:t>
        </w:r>
      </w:hyperlink>
      <w:r>
        <w:t xml:space="preserve">.</w:t>
      </w:r>
    </w:p>
    <w:p>
      <w:pPr>
        <w:pStyle w:val="BodyText"/>
      </w:pPr>
      <w:r>
        <w:t xml:space="preserve">Rules are built generically (PIL-003): Tally specifics live in</w:t>
      </w:r>
      <w:r>
        <w:t xml:space="preserve"> </w:t>
      </w:r>
      <w:r>
        <w:rPr>
          <w:rStyle w:val="VerbatimChar"/>
        </w:rPr>
        <w:t xml:space="preserve">data-plane/connectors/tally</w:t>
      </w:r>
      <w:r>
        <w:t xml:space="preserve">; the rest works for any source. Every rule about Tally’s counting was reproduced on the test company and checked against Tally’s own reports before it was coded (ADR-029). No client names or amounts appear here: pilot findings are counts and Tally’s standard names only.</w:t>
      </w:r>
    </w:p>
    <w:p>
      <w:pPr>
        <w:pStyle w:val="BodyText"/>
      </w:pPr>
      <w:r>
        <w:rPr>
          <w:b/>
          <w:bCs/>
        </w:rPr>
        <w:t xml:space="preserve">Contents:</w:t>
      </w:r>
      <w:r>
        <w:t xml:space="preserve"> </w:t>
      </w:r>
      <w:r>
        <w:t xml:space="preserve">1 Identity and duplicates · 2 Signs and amounts · 3 Opening balances · 4 Which vouchers count · 5 Stock moved once · 6 Stock journals and job work · 7 Stock ledgers · 8 Foreign-currency ledgers · 9 Effective dates · 10 Reference resolution · 11 Master classification · 12 Custom fields · 13 Error handling · 14 Reliable dates (Educational mode) · 15 Validation checks</w:t>
      </w:r>
    </w:p>
    <w:p>
      <w:r>
        <w:pict>
          <v:rect style="width:0;height:1.5pt" o:hralign="center" o:hrstd="t" o:hr="t"/>
        </w:pict>
      </w:r>
    </w:p>
    <w:bookmarkStart w:id="29" w:name="identity-and-duplicates"/>
    <w:p>
      <w:pPr>
        <w:pStyle w:val="Heading2"/>
      </w:pPr>
      <w:r>
        <w:t xml:space="preserve">1. Identity and duplicates</w:t>
      </w:r>
    </w:p>
    <w:bookmarkStart w:id="23" w:name="X8a99baf2b6fb4b34d7cfb6e12d3791669c5ae61"/>
    <w:p>
      <w:pPr>
        <w:pStyle w:val="Heading3"/>
      </w:pPr>
      <w:r>
        <w:t xml:space="preserve">1.1 Every object is identified by the source’s key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record’s identity is the source’s own key (Tally: GUID), never its name. Canonical rows are upserted on</w:t>
      </w:r>
      <w:r>
        <w:t xml:space="preserve"> </w:t>
      </w:r>
      <w:r>
        <w:rPr>
          <w:rStyle w:val="VerbatimChar"/>
        </w:rPr>
        <w:t xml:space="preserve">(connection_id, source_key)</w:t>
      </w:r>
      <w:r>
        <w:t xml:space="preserve">. Companies are found by their GUID too (</w:t>
      </w:r>
      <w:r>
        <w:rPr>
          <w:rStyle w:val="VerbatimChar"/>
        </w:rPr>
        <w:t xml:space="preserve">entity_sources</w:t>
      </w:r>
      <w:r>
        <w:t xml:space="preserve">), so a company whose name is shown slightly differently is still found.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company names with double and trailing spaces weren’t found by name (pilot run, 2026-10-12).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recorded responses of the test company; names with spaces in the pilot.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connectors/tally/parser.py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source_key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_Upserter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workers/entities.py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select_entities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test_month_overlap_updates_never_duplicates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test_second_sync_is_incremental_and_changes_nothing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tests/test_entity_lookup.py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ADR-021.</w:t>
      </w:r>
    </w:p>
    <w:bookmarkEnd w:id="23"/>
    <w:bookmarkStart w:id="24" w:name="Xe158c788fe371985c8d8685790df3ed7789abcd"/>
    <w:p>
      <w:pPr>
        <w:pStyle w:val="Heading3"/>
      </w:pPr>
      <w:r>
        <w:t xml:space="preserve">1.2 An unchanged record is stored once; a changed one replaces the old version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the raw layer keeps every record exactly as received; a record whose payload hash equals the latest stored version isn’t stored again. Retries and rebuilds apply only an object’s latest version; older failed versions are marked superseded.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core/raw_store.py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retry_failed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rebuild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tests/test_raw_store.py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tests/test_retransform.py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ADR-005, ADR-025 (DAT-008).</w:t>
      </w:r>
    </w:p>
    <w:bookmarkEnd w:id="24"/>
    <w:bookmarkStart w:id="25" w:name="X6f71d115203d49c69d7eb18c4b8fc572d9ce31e"/>
    <w:p>
      <w:pPr>
        <w:pStyle w:val="Heading3"/>
      </w:pPr>
      <w:r>
        <w:t xml:space="preserve">1.3 A voucher’s child rows are replaced as a whole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when a voucher is created or changed in the source, its lines, bill, cost-centre and dimension allocations, inventory and tax lines are deleted and written again, with the header, in one transaction.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(voucher preparation and write),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 </w:t>
      </w:r>
      <w:r>
        <w:t xml:space="preserve">foreign keys.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test_altered_voucher_replaces_its_lines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schema.md Section 8 rule 7.</w:t>
      </w:r>
    </w:p>
    <w:bookmarkEnd w:id="25"/>
    <w:bookmarkStart w:id="26" w:name="X7ee0775108daf51133c36f6d076ee1024a2f52e"/>
    <w:p>
      <w:pPr>
        <w:pStyle w:val="Heading3"/>
      </w:pPr>
      <w:r>
        <w:t xml:space="preserve">1.4 Incremental syncs by AlterID; deletions by a separate check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sync fetches what changed since the highest AlterID stored per object type (</w:t>
      </w:r>
      <w:r>
        <w:rPr>
          <w:rStyle w:val="VerbatimChar"/>
        </w:rPr>
        <w:t xml:space="preserve">sync_markers</w:t>
      </w:r>
      <w:r>
        <w:t xml:space="preserve">). Deleted objects are found by a</w:t>
      </w:r>
      <w:r>
        <w:t xml:space="preserve"> </w:t>
      </w:r>
      <w:r>
        <w:rPr>
          <w:b/>
          <w:bCs/>
        </w:rPr>
        <w:t xml:space="preserve">deletion check</w:t>
      </w:r>
      <w:r>
        <w:t xml:space="preserve"> </w:t>
      </w:r>
      <w:r>
        <w:t xml:space="preserve">that lists every key in the source and soft-deletes stored rows whose key has gone (</w:t>
      </w:r>
      <w:r>
        <w:rPr>
          <w:rStyle w:val="VerbatimChar"/>
        </w:rPr>
        <w:t xml:space="preserve">is_deleted</w:t>
      </w:r>
      <w:r>
        <w:t xml:space="preserve">); a sync alone never soft-deletes.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workers/sync.py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mark_deleted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test_sync_alone_never_soft_deletes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test_deletion_check_run_soft_deletes_what_has_gone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test_voucher_deleted_in_source_is_soft_deleted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ADR-018.</w:t>
      </w:r>
    </w:p>
    <w:bookmarkEnd w:id="26"/>
    <w:bookmarkStart w:id="27" w:name="X0d8ac699096ad1065cf0c7c73d360a6bdb8eff2"/>
    <w:p>
      <w:pPr>
        <w:pStyle w:val="Heading3"/>
      </w:pPr>
      <w:r>
        <w:t xml:space="preserve">1.5 Nothing unverified is counted as complete; company numbers stay the same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chunk of a full sync is checkpointed only when it is known to be complete; ranges that couldn’t be proven complete are recorded (</w:t>
      </w:r>
      <w:r>
        <w:rPr>
          <w:rStyle w:val="VerbatimChar"/>
        </w:rPr>
        <w:t xml:space="preserve">sync_unverified_ranges</w:t>
      </w:r>
      <w:r>
        <w:t xml:space="preserve">) and re-fetched. In output, a company keeps its number (</w:t>
      </w:r>
      <w:r>
        <w:rPr>
          <w:rStyle w:val="VerbatimChar"/>
        </w:rPr>
        <w:t xml:space="preserve">company &lt;n&gt;</w:t>
      </w:r>
      <w:r>
        <w:t xml:space="preserve">) once given, whatever order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lists companies 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a part-month listing returned fewer vouchers than the month; after a reconnect, entity 1 became company 2.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workers/sync.py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workers/entities.py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connections.config.company_numbers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tests/test_large_sync.py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tests/test_entity_lookup.py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test_company_numbers_survive_connect_in_another_order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ADR-022, ADR-023, ADR-033.</w:t>
      </w:r>
    </w:p>
    <w:p>
      <w:r>
        <w:pict>
          <v:rect style="width:0;height:1.5pt" o:hralign="center" o:hrstd="t" o:hr="t"/>
        </w:pict>
      </w:r>
    </w:p>
    <w:bookmarkEnd w:id="27"/>
    <w:bookmarkStart w:id="28" w:name="X513b3932fb079eed2c1b40091de1c53fb260364"/>
    <w:p>
      <w:pPr>
        <w:pStyle w:val="Heading3"/>
      </w:pPr>
      <w:r>
        <w:t xml:space="preserve">1.6 TallyPrime Edit Log changes nothing the sync reads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company opened in TallyPrime Edit Log exports the same fields, formats and values as in TallyPrime. An alteration keeps</w:t>
      </w:r>
      <w:r>
        <w:t xml:space="preserve"> </w:t>
      </w:r>
      <w:r>
        <w:rPr>
          <w:b/>
          <w:bCs/>
        </w:rPr>
        <w:t xml:space="preserve">no edit history in the XML export</w:t>
      </w:r>
      <w:r>
        <w:t xml:space="preserve"> </w:t>
      </w:r>
      <w:r>
        <w:t xml:space="preserve">(its audit lists stay empty); the altered voucher is exported as its current version with a new AlterID, like any alteration, and replaces the stored one (1.2, 1.3). Only</w:t>
      </w:r>
      <w:r>
        <w:t xml:space="preserve"> </w:t>
      </w:r>
      <w:r>
        <w:rPr>
          <w:rStyle w:val="VerbatimChar"/>
        </w:rPr>
        <w:t xml:space="preserve">UPDATEDDATETIME</w:t>
      </w:r>
      <w:r>
        <w:t xml:space="preserve"> </w:t>
      </w:r>
      <w:r>
        <w:t xml:space="preserve">is now filled, which the sync doesn’t fetch, so stored records and their hashes don’t change.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 opened in Edit Log (2026-10-19): every export compared with the responses recorded from TallyPrime (identical, same AlterIDs); a journal created and altered under Edit Log (seed case</w:t>
      </w:r>
      <w:r>
        <w:t xml:space="preserve"> </w:t>
      </w:r>
      <w:r>
        <w:rPr>
          <w:rStyle w:val="VerbatimChar"/>
        </w:rPr>
        <w:t xml:space="preserve">EDITLOG-ALTER-1</w:t>
      </w:r>
      <w:r>
        <w:t xml:space="preserve">); full sync, validation (105 checks) and report passed.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connectors/tally/envelopes.py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VOUCHERS.fetch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tests/test_edit_log.py</w:t>
      </w:r>
      <w:r>
        <w:t xml:space="preserve">.</w:t>
      </w:r>
    </w:p>
    <w:bookmarkEnd w:id="28"/>
    <w:bookmarkEnd w:id="29"/>
    <w:bookmarkStart w:id="33" w:name="signs-and-amounts"/>
    <w:p>
      <w:pPr>
        <w:pStyle w:val="Heading2"/>
      </w:pPr>
      <w:r>
        <w:t xml:space="preserve">2. Signs and amounts</w:t>
      </w:r>
    </w:p>
    <w:bookmarkStart w:id="30" w:name="canonical-sign-debit-positive"/>
    <w:p>
      <w:pPr>
        <w:pStyle w:val="Heading3"/>
      </w:pPr>
      <w:r>
        <w:t xml:space="preserve">2.1 Canonical sign: debit positive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canonical amount = −(Tally amount): Tally writes debits negative (</w:t>
      </w:r>
      <w:r>
        <w:rPr>
          <w:rStyle w:val="VerbatimChar"/>
        </w:rPr>
        <w:t xml:space="preserve">ISDEEMEDPOSITIVE=Yes</w:t>
      </w:r>
      <w:r>
        <w:t xml:space="preserve">). Every voucher’s lines sum to zero. Amounts are exact decimals (</w:t>
      </w:r>
      <w:r>
        <w:rPr>
          <w:rStyle w:val="VerbatimChar"/>
        </w:rPr>
        <w:t xml:space="preserve">DECIMAL(20,4)</w:t>
      </w:r>
      <w:r>
        <w:t xml:space="preserve">, Python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), never floats.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sign check on the test company (schema.md 7.1): 21 of 21 balances agree with Tally’s own</w:t>
      </w:r>
      <w:r>
        <w:t xml:space="preserve"> </w:t>
      </w:r>
      <w:r>
        <w:rPr>
          <w:rStyle w:val="VerbatimChar"/>
        </w:rPr>
        <w:t xml:space="preserve">$$IsDr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connectors/tally/signs.py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tally_amount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_canonical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tests/connectors/tally/test_signs.py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schema.md 7.1.</w:t>
      </w:r>
    </w:p>
    <w:bookmarkEnd w:id="30"/>
    <w:bookmarkStart w:id="31" w:name="the-postings-of-a-voucher-are-read-once"/>
    <w:p>
      <w:pPr>
        <w:pStyle w:val="Heading3"/>
      </w:pPr>
      <w:r>
        <w:t xml:space="preserve">2.2 The postings of a voucher are read once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ALLLEDGERENTRIES.LIST</w:t>
      </w:r>
      <w:r>
        <w:t xml:space="preserve">, when present, is the complete set of postings (it already holds the sales or purchase ledger posted through inventory). Otherwise</w:t>
      </w:r>
      <w:r>
        <w:t xml:space="preserve"> </w:t>
      </w:r>
      <w:r>
        <w:rPr>
          <w:rStyle w:val="VerbatimChar"/>
        </w:rPr>
        <w:t xml:space="preserve">LEDGERENTRIES.LIST</w:t>
      </w:r>
      <w:r>
        <w:t xml:space="preserve"> </w:t>
      </w:r>
      <w:r>
        <w:t xml:space="preserve">plus the inventory entries’</w:t>
      </w:r>
      <w:r>
        <w:t xml:space="preserve"> </w:t>
      </w:r>
      <w:r>
        <w:rPr>
          <w:rStyle w:val="VerbatimChar"/>
        </w:rPr>
        <w:t xml:space="preserve">ACCOUNTINGALLOCATIONS.LIST</w:t>
      </w:r>
      <w:r>
        <w:t xml:space="preserve">. Entries without a ledger (a cancelled voucher’s placeholder) are skipped.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connectors/tally/signs.py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postings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tests/connectors/tally/test_signs.py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test_complete_all_ledger_entries_are_not_double_counted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test_cancelled_voucher_placeholder_entry_is_ignored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schema.md 7.2.</w:t>
      </w:r>
    </w:p>
    <w:bookmarkEnd w:id="31"/>
    <w:bookmarkStart w:id="32" w:name="X7687ca0d8b53ac02f790c5017acbd58ef46d018"/>
    <w:p>
      <w:pPr>
        <w:pStyle w:val="Heading3"/>
      </w:pPr>
      <w:r>
        <w:t xml:space="preserve">2.3 Foreign-currency amounts: the base part is the books’ figure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an amount written</w:t>
      </w:r>
      <w:r>
        <w:t xml:space="preserve"> </w:t>
      </w:r>
      <w:r>
        <w:rPr>
          <w:rStyle w:val="VerbatimChar"/>
        </w:rPr>
        <w:t xml:space="preserve">-$100.00 @ Rs82.00/$ = -Rs8200.00</w:t>
      </w:r>
      <w:r>
        <w:t xml:space="preserve"> </w:t>
      </w:r>
      <w:r>
        <w:t xml:space="preserve">counts by its base part (after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); its foreign part (before</w:t>
      </w:r>
      <w:r>
        <w:t xml:space="preserve"> </w:t>
      </w:r>
      <w:r>
        <w:rPr>
          <w:rStyle w:val="VerbatimChar"/>
        </w:rPr>
        <w:t xml:space="preserve">@</w:t>
      </w:r>
      <w:r>
        <w:t xml:space="preserve">) is kept in</w:t>
      </w:r>
      <w:r>
        <w:t xml:space="preserve"> </w:t>
      </w:r>
      <w:r>
        <w:rPr>
          <w:rStyle w:val="VerbatimChar"/>
        </w:rPr>
        <w:t xml:space="preserve">voucher_lines.amount_fc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connectors/tally/signs.py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tally_amount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tally_foreign_amount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tests/test_forex.py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test_a_foreign_amount_keeps_both_parts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ADR-035, ADR-037.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16cc5b1ed1b51c6a74d842df1dfb67e2a81ab71"/>
    <w:p>
      <w:pPr>
        <w:pStyle w:val="Heading2"/>
      </w:pPr>
      <w:r>
        <w:t xml:space="preserve">3. Opening balances (as at the books’ beginning)</w:t>
      </w:r>
    </w:p>
    <w:bookmarkStart w:id="34" w:name="Xda508b92d6a1e15e20e1cda34abc3ff7421175e"/>
    <w:p>
      <w:pPr>
        <w:pStyle w:val="Heading3"/>
      </w:pPr>
      <w:r>
        <w:t xml:space="preserve">3.1 Openings are fetched for a period starting on the books’ beginning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Tally computes</w:t>
      </w:r>
      <w:r>
        <w:t xml:space="preserve"> </w:t>
      </w:r>
      <w:r>
        <w:rPr>
          <w:rStyle w:val="VerbatimChar"/>
        </w:rPr>
        <w:t xml:space="preserve">OPENINGBALANCE</w:t>
      </w:r>
      <w:r>
        <w:t xml:space="preserve"> </w:t>
      </w:r>
      <w:r>
        <w:t xml:space="preserve">(ledgers, stock items, opening bills) and</w:t>
      </w:r>
      <w:r>
        <w:t xml:space="preserve"> </w:t>
      </w:r>
      <w:r>
        <w:rPr>
          <w:rStyle w:val="VerbatimChar"/>
        </w:rPr>
        <w:t xml:space="preserve">OPENINGVALUE</w:t>
      </w:r>
      <w:r>
        <w:t xml:space="preserve"> </w:t>
      </w:r>
      <w:r>
        <w:rPr>
          <w:b/>
          <w:bCs/>
        </w:rPr>
        <w:t xml:space="preserve">for the requested period</w:t>
      </w:r>
      <w:r>
        <w:t xml:space="preserve">: the balance at its start. Masters with openings are therefore fetched for a period starting on the company’s books-from date, so the opening is the master’s own.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ledgers and items differed from the first year end by exactly their opening.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the same ledger fetched from the books’ beginning and from 1 August gave its opening and its balance on 1 August.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connectors/tally/envelopes.py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OPENING_SPECS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balances_period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_period_for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test_masters_with_openings_are_fetched_as_at_the_books_beginning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test_opening_fields_follow_the_requested_period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ADR-029.</w:t>
      </w:r>
    </w:p>
    <w:bookmarkEnd w:id="34"/>
    <w:bookmarkStart w:id="35" w:name="X33b53f4a337894a4dcaec3e5ae750245c0b6084"/>
    <w:p>
      <w:pPr>
        <w:pStyle w:val="Heading3"/>
      </w:pPr>
      <w:r>
        <w:t xml:space="preserve">3.2 A ledger’s balance follows its own opening, not its opening bills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opening bills affect only the bill-wise outstanding; a ledger whose opening bills total differently keeps its own opening.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 (2026-10-15).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test_a_ledgers_balance_follows_its_opening_not_its_opening_bills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ADR-031.</w:t>
      </w:r>
    </w:p>
    <w:bookmarkEnd w:id="35"/>
    <w:bookmarkStart w:id="36" w:name="X301fd0c8597f8189ab3bd4dcb1bb2e38dd3b5ff"/>
    <w:p>
      <w:pPr>
        <w:pStyle w:val="Heading3"/>
      </w:pPr>
      <w:r>
        <w:t xml:space="preserve">3.3 The opening difference is the one Tally displays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opening_difference</w:t>
      </w:r>
      <w:r>
        <w:t xml:space="preserve"> </w:t>
      </w:r>
      <w:r>
        <w:t xml:space="preserve">warning fires only when Tally itself shows a difference: the</w:t>
      </w:r>
      <w:r>
        <w:t xml:space="preserve"> </w:t>
      </w:r>
      <w:r>
        <w:t xml:space="preserve">“Difference in opening balances”</w:t>
      </w:r>
      <w:r>
        <w:t xml:space="preserve"> </w:t>
      </w:r>
      <w:r>
        <w:t xml:space="preserve">line of its own Trial Balance as at the books’ beginning (its Balance Sheet then shows</w:t>
      </w:r>
      <w:r>
        <w:t xml:space="preserve"> </w:t>
      </w:r>
      <w:r>
        <w:t xml:space="preserve">“Diff. in Opening Balances”</w:t>
      </w:r>
      <w:r>
        <w:t xml:space="preserve">), by that line’s amount. When the report can’t be read: the primary group openings, else ledger and item openings.</w:t>
      </w:r>
      <w:r>
        <w:t xml:space="preserve"> </w:t>
      </w:r>
      <w:r>
        <w:rPr>
          <w:rStyle w:val="VerbatimChar"/>
        </w:rPr>
        <w:t xml:space="preserve">validate analyse</w:t>
      </w:r>
      <w:r>
        <w:t xml:space="preserve"> </w:t>
      </w:r>
      <w:r>
        <w:t xml:space="preserve">compares the figures and tests what a difference equals.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a company not integrated with inventory had no difference line in Tally’s Trial Balance or Balance Sheet while its group openings didn’t total zero.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company’s Trial Balance at the books’ beginning (no difference line); synthetic trial balances with and without the line.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opening_difference_shown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_opening_difference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tests/test_forex.py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test_the_opening_difference_is_what_tallys_trial_balance_shows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test_opening_difference_warns_only_when_the_source_shows_one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tests/test_job_work.py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ADR-031, ADR-033, ADR-038.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5" w:name="Xb1be46f6d4c47790a9df644a76e1760547f40e7"/>
    <w:p>
      <w:pPr>
        <w:pStyle w:val="Heading2"/>
      </w:pPr>
      <w:r>
        <w:t xml:space="preserve">4. Which vouchers count, in the books and in stock</w:t>
      </w:r>
    </w:p>
    <w:p>
      <w:pPr>
        <w:pStyle w:val="FirstParagraph"/>
      </w:pPr>
      <w:hyperlink r:id="rId41">
        <w:r>
          <w:drawing>
            <wp:inline>
              <wp:extent cx="5334000" cy="7996656"/>
              <wp:effectExtent b="0" l="0" r="0" t="0"/>
              <wp:docPr descr="Which vouchers count" title="" id="39" name="Picture"/>
              <a:graphic>
                <a:graphicData uri="http://schemas.openxmlformats.org/drawingml/2006/picture">
                  <pic:pic>
                    <pic:nvPicPr>
                      <pic:cNvPr descr="../diagrams/rules-vouchers-count.png" id="4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799665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Start w:id="42" w:name="X72459ae3edf5b8d2a74ec03871645459db6d822"/>
    <w:p>
      <w:pPr>
        <w:pStyle w:val="Heading3"/>
      </w:pPr>
      <w:r>
        <w:t xml:space="preserve">4.1 Cancelled, optional and deleted vouchers count nowhere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their lines are stored but not effective (</w:t>
      </w:r>
      <w:r>
        <w:rPr>
          <w:rStyle w:val="VerbatimChar"/>
        </w:rPr>
        <w:t xml:space="preserve">voucher_lines.is_effective = false</w:t>
      </w:r>
      <w:r>
        <w:t xml:space="preserve">); they move no stock.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(effective flag),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voucher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test_every_voucher_balances_and_lines_are_effective_only_when_they_count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ADR-027, ADR-029.</w:t>
      </w:r>
    </w:p>
    <w:bookmarkEnd w:id="42"/>
    <w:bookmarkStart w:id="43" w:name="X569be27e345a5d4a161c7d5c55fa748c47b1e7a"/>
    <w:p>
      <w:pPr>
        <w:pStyle w:val="Heading3"/>
      </w:pPr>
      <w:r>
        <w:t xml:space="preserve">4.2 Voucher types that don’t post: memorandum, reversing journals, orders, notes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voucher type’s behaviour comes from the standard type it derives from (its reserved name, its parent, inherited through custom types). Memorandum and Reversing Journal vouchers are in no balance,</w:t>
      </w:r>
      <w:r>
        <w:t xml:space="preserve"> </w:t>
      </w:r>
      <w:r>
        <w:rPr>
          <w:b/>
          <w:bCs/>
        </w:rPr>
        <w:t xml:space="preserve">not even on their own date</w:t>
      </w:r>
      <w:r>
        <w:t xml:space="preserve">; orders, delivery and receipt notes, rejections, Material In/Out and stock journals post nothing to the books. A custom type under Journal counts like Journal.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unbalanced and differing ledgers explained by non-posting types; 3 optional Journals per foreign-currency customer appeared only on our side in</w:t>
      </w:r>
      <w:r>
        <w:t xml:space="preserve"> </w:t>
      </w:r>
      <w:r>
        <w:rPr>
          <w:rStyle w:val="VerbatimChar"/>
        </w:rPr>
        <w:t xml:space="preserve">compare-ledger</w:t>
      </w:r>
      <w:r>
        <w:t xml:space="preserve">, not counted.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a reversing journal on 1 and 2 September, with reversing journals enabled, was in no balance; a memorandum and an optional journal likewise.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NON_ACCOUNTING_VOUCHER_TYPES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NON_STOCK_VOUCHER_TYPES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_TypeTree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tests/test_references.py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test_vouchers_of_types_that_dont_post_dont_count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test_voucher_type_mapping_follows_parents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ADR-027, ADR-029.</w:t>
      </w:r>
    </w:p>
    <w:bookmarkEnd w:id="43"/>
    <w:bookmarkStart w:id="44" w:name="Xf113cf44abb23eb85167edb9fc080629dd05b0b"/>
    <w:p>
      <w:pPr>
        <w:pStyle w:val="Heading3"/>
      </w:pPr>
      <w:r>
        <w:t xml:space="preserve">4.3 Post-dated vouchers count from their own date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every balance, validation and report is computed</w:t>
      </w:r>
      <w:r>
        <w:t xml:space="preserve"> </w:t>
      </w:r>
      <w:r>
        <w:rPr>
          <w:b/>
          <w:bCs/>
        </w:rPr>
        <w:t xml:space="preserve">as of a date</w:t>
      </w:r>
      <w:r>
        <w:t xml:space="preserve">: vouchers dated after it, post-dated ones included, are left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 (a post-dated payment).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test_balances_as_of_a_date_leave_out_later_vouchers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ADR-019.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stock-moved-once-tracked-invoices"/>
    <w:p>
      <w:pPr>
        <w:pStyle w:val="Heading2"/>
      </w:pPr>
      <w:r>
        <w:t xml:space="preserve">5. Stock moved once (tracked invoices)</w:t>
      </w:r>
    </w:p>
    <w:p>
      <w:pPr>
        <w:pStyle w:val="FirstParagraph"/>
      </w:pPr>
      <w:hyperlink r:id="rId49">
        <w:r>
          <w:drawing>
            <wp:inline>
              <wp:extent cx="5334000" cy="10723466"/>
              <wp:effectExtent b="0" l="0" r="0" t="0"/>
              <wp:docPr descr="How an inventory line moves stock" title="" id="47" name="Picture"/>
              <a:graphic>
                <a:graphicData uri="http://schemas.openxmlformats.org/drawingml/2006/picture">
                  <pic:pic>
                    <pic:nvPicPr>
                      <pic:cNvPr descr="../diagrams/rules-stock-movement.png" id="48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072346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delivery or receipt note, or a rejection, moves stock. A sales, purchase, debit or credit note line</w:t>
      </w:r>
      <w:r>
        <w:t xml:space="preserve"> </w:t>
      </w:r>
      <w:r>
        <w:rPr>
          <w:b/>
          <w:bCs/>
        </w:rPr>
        <w:t xml:space="preserve">tracked</w:t>
      </w:r>
      <w:r>
        <w:t xml:space="preserve"> </w:t>
      </w:r>
      <w:r>
        <w:t xml:space="preserve">to one of them (</w:t>
      </w:r>
      <w:r>
        <w:rPr>
          <w:rStyle w:val="VerbatimChar"/>
        </w:rPr>
        <w:t xml:space="preserve">BATCHALLOCATIONS.LIST/TRACKINGNUMBER</w:t>
      </w:r>
      <w:r>
        <w:t xml:space="preserve">, not</w:t>
      </w:r>
      <w:r>
        <w:t xml:space="preserve"> </w:t>
      </w:r>
      <w:r>
        <w:t xml:space="preserve">“Not Applicable”</w:t>
      </w:r>
      <w:r>
        <w:t xml:space="preserve">) moves nothing, whether the note came before or after; a partly tracked line moves only its untracked part.</w:t>
      </w:r>
      <w:r>
        <w:t xml:space="preserve"> </w:t>
      </w:r>
      <w:r>
        <w:rPr>
          <w:rStyle w:val="VerbatimChar"/>
        </w:rPr>
        <w:t xml:space="preserve">inventory_lines.stock_quantity</w:t>
      </w:r>
      <w:r>
        <w:t xml:space="preserve"> </w:t>
      </w:r>
      <w:r>
        <w:t xml:space="preserve">holds what a line moves;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stays the invoiced quantity.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stock items differed by sales lines tracked to delivery notes (counted twice).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company’s Stock Summary with notes before and after their invoices, partly tracked invoices, and a return tracked to a rejection.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_tracked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_inventory_lines</w:t>
      </w:r>
      <w:r>
        <w:t xml:space="preserve">), migration 0014.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test_tracked_invoice_lines_dont_move_stock_but_the_note_does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test_tracked_quantity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ADR-029.</w:t>
      </w:r>
    </w:p>
    <w:p>
      <w:r>
        <w:pict>
          <v:rect style="width:0;height:1.5pt" o:hralign="center" o:hrstd="t" o:hr="t"/>
        </w:pict>
      </w:r>
    </w:p>
    <w:bookmarkEnd w:id="50"/>
    <w:bookmarkStart w:id="53" w:name="stock-journals-and-job-work"/>
    <w:p>
      <w:pPr>
        <w:pStyle w:val="Heading2"/>
      </w:pPr>
      <w:r>
        <w:t xml:space="preserve">6. Stock journals and job work</w:t>
      </w:r>
    </w:p>
    <w:bookmarkStart w:id="51" w:name="stock-journals-are-read-once"/>
    <w:p>
      <w:pPr>
        <w:pStyle w:val="Heading3"/>
      </w:pPr>
      <w:r>
        <w:t xml:space="preserve">6.1 Stock journals are read once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TallyPrime lists a stock journal’s produced and consumed items in</w:t>
      </w:r>
      <w:r>
        <w:t xml:space="preserve"> </w:t>
      </w:r>
      <w:r>
        <w:rPr>
          <w:rStyle w:val="VerbatimChar"/>
        </w:rPr>
        <w:t xml:space="preserve">ALLINVENTORYENTRIES.LIST</w:t>
      </w:r>
      <w:r>
        <w:t xml:space="preserve"> </w:t>
      </w:r>
      <w:r>
        <w:t xml:space="preserve">(with the right sign)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again in</w:t>
      </w:r>
      <w:r>
        <w:t xml:space="preserve"> </w:t>
      </w:r>
      <w:r>
        <w:rPr>
          <w:rStyle w:val="VerbatimChar"/>
        </w:rPr>
        <w:t xml:space="preserve">INVENTORYENTRIESIN/OUT.LIST</w:t>
      </w:r>
      <w:r>
        <w:t xml:space="preserve">. They are read from</w:t>
      </w:r>
      <w:r>
        <w:t xml:space="preserve"> </w:t>
      </w:r>
      <w:r>
        <w:rPr>
          <w:rStyle w:val="VerbatimChar"/>
        </w:rPr>
        <w:t xml:space="preserve">ALLINVENTORYENTRIES</w:t>
      </w:r>
      <w:r>
        <w:t xml:space="preserve">; the in and out lists only when it is missing.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reading both counted each entry twice.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 (a manufacturing stock journal).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voucher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tests/test_job_work.py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ADR-031.</w:t>
      </w:r>
    </w:p>
    <w:bookmarkEnd w:id="51"/>
    <w:bookmarkStart w:id="52" w:name="X89fe9a567bd41391cb4caaeefc2465f159d370a"/>
    <w:p>
      <w:pPr>
        <w:pStyle w:val="Heading3"/>
      </w:pPr>
      <w:r>
        <w:t xml:space="preserve">6.2 Stock is counted where Tally counts it: by godown kind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godowns carry whose stock they hold (</w:t>
      </w:r>
      <w:r>
        <w:rPr>
          <w:rStyle w:val="VerbatimChar"/>
        </w:rPr>
        <w:t xml:space="preserve">godowns.holding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own</w:t>
      </w:r>
      <w:r>
        <w:t xml:space="preserve">,</w:t>
      </w:r>
      <w:r>
        <w:t xml:space="preserve"> </w:t>
      </w:r>
      <w:r>
        <w:rPr>
          <w:rStyle w:val="VerbatimChar"/>
        </w:rPr>
        <w:t xml:space="preserve">ours_with_third_party</w:t>
      </w:r>
      <w:r>
        <w:t xml:space="preserve"> </w:t>
      </w:r>
      <w:r>
        <w:t xml:space="preserve">(a job worker’s, Tally</w:t>
      </w:r>
      <w:r>
        <w:t xml:space="preserve"> </w:t>
      </w:r>
      <w:r>
        <w:rPr>
          <w:rStyle w:val="VerbatimChar"/>
        </w:rPr>
        <w:t xml:space="preserve">ISEXTERNAL</w:t>
      </w:r>
      <w:r>
        <w:t xml:space="preserve">),</w:t>
      </w:r>
      <w:r>
        <w:t xml:space="preserve"> </w:t>
      </w:r>
      <w:r>
        <w:rPr>
          <w:rStyle w:val="VerbatimChar"/>
        </w:rPr>
        <w:t xml:space="preserve">third_party_with_us</w:t>
      </w:r>
      <w:r>
        <w:t xml:space="preserve"> </w:t>
      </w:r>
      <w:r>
        <w:t xml:space="preserve">(a principal’s,</w:t>
      </w:r>
      <w:r>
        <w:t xml:space="preserve"> </w:t>
      </w:r>
      <w:r>
        <w:rPr>
          <w:rStyle w:val="VerbatimChar"/>
        </w:rPr>
        <w:t xml:space="preserve">ISINTERNAL</w:t>
      </w:r>
      <w:r>
        <w:t xml:space="preserve">). Stock at a job worker’s godown is in no item balance, Stock Summary or closing stock value; a principal’s stock with us is counted. A Material In/Out moves stock at its line’s godown; its destination godown moves nothing. An entry spread over several godowns becomes one inventory line per godown, each going in or out as the entry does; a batch without its own amount gets its share by quantity, so an entry with no quantity of its own whose batches lack amounts stays one line.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stock differences on items sent for job work.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company’s godown and item balances after Material Out/In, consumption at the job worker and a principal’s material.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_holding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_inventory_lines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counted_godown</w:t>
      </w:r>
      <w:r>
        <w:t xml:space="preserve">), migration 0015.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tests/test_job_work.py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stock-ledgers-at-the-stock-value"/>
    <w:p>
      <w:pPr>
        <w:pStyle w:val="Heading2"/>
      </w:pPr>
      <w:r>
        <w:t xml:space="preserve">7. Stock ledgers at the stock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with accounts integrated with inventory (</w:t>
      </w:r>
      <w:r>
        <w:rPr>
          <w:rStyle w:val="VerbatimChar"/>
        </w:rPr>
        <w:t xml:space="preserve">ISINTEGRATED</w:t>
      </w:r>
      <w:r>
        <w:t xml:space="preserve">), Tally’s trial balance, balance sheet and profit use the stock items’ values and leave out every ledger under its reserved Stock-in-Hand group (renamed or not); the group’s own opening and closing are the stock value Tally uses. Tally refuses vouchers on such a ledger. When Tally reports a stock ledger at its closing stock value (not its own opening and postings), validation compares it with that value and notes LB-VAL-021; otherwise ledger by ledger.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in two companies the Stock-in-Hand ledger’s balance was the closing stock value at every date.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a renamed Stock-in-Hand group with one ledger (its opening kept in its own balance, left out of the trial balance); the group equal to the items’ value at each date; a voucher on the ledger refused.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closing_balances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_stock_in_hand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at_stock_value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_at_stock_value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tests/test_stock_ledger_and_dates.py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tests/test_job_work.py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Not integrated</w:t>
      </w:r>
      <w:r>
        <w:t xml:space="preserve"> </w:t>
      </w:r>
      <w:r>
        <w:t xml:space="preserve">(recorded on the test company with the feature switched off, 2026-10-22): Tally’s trial balance, balance sheet and Profit and Loss count the stock ledgers as ordinary ledgers, and its opening and closing stock are their own balances; the items’ values aren’t used. The connector reads each company’s own setting (</w:t>
      </w:r>
      <w:r>
        <w:rPr>
          <w:rStyle w:val="VerbatimChar"/>
        </w:rPr>
        <w:t xml:space="preserve">ISINTEGRATED</w:t>
      </w:r>
      <w:r>
        <w:t xml:space="preserve"> </w:t>
      </w:r>
      <w:r>
        <w:t xml:space="preserve">Yes or No).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ADR-031, ADR-033, ADR-040.</w:t>
      </w:r>
    </w:p>
    <w:p>
      <w:r>
        <w:pict>
          <v:rect style="width:0;height:1.5pt" o:hralign="center" o:hrstd="t" o:hr="t"/>
        </w:pict>
      </w:r>
    </w:p>
    <w:bookmarkEnd w:id="54"/>
    <w:bookmarkStart w:id="59" w:name="foreign-currency-ledgers-at-book-value"/>
    <w:p>
      <w:pPr>
        <w:pStyle w:val="Heading2"/>
      </w:pPr>
      <w:r>
        <w:t xml:space="preserve">8. Foreign-currency ledgers at book value</w:t>
      </w:r>
    </w:p>
    <w:p>
      <w:pPr>
        <w:pStyle w:val="FirstParagraph"/>
      </w:pPr>
      <w:hyperlink r:id="rId58">
        <w:r>
          <w:drawing>
            <wp:inline>
              <wp:extent cx="5334000" cy="12208453"/>
              <wp:effectExtent b="0" l="0" r="0" t="0"/>
              <wp:docPr descr="Foreign-currency book value" title="" id="56" name="Picture"/>
              <a:graphic>
                <a:graphicData uri="http://schemas.openxmlformats.org/drawingml/2006/picture">
                  <pic:pic>
                    <pic:nvPicPr>
                      <pic:cNvPr descr="../diagrams/rules-forex-book-value.png" id="57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5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22084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ledger is kept in a foreign currency when its</w:t>
      </w:r>
      <w:r>
        <w:t xml:space="preserve"> </w:t>
      </w:r>
      <w:r>
        <w:rPr>
          <w:rStyle w:val="VerbatimChar"/>
        </w:rPr>
        <w:t xml:space="preserve">CURRENCYNAME</w:t>
      </w:r>
      <w:r>
        <w:t xml:space="preserve"> </w:t>
      </w:r>
      <w:r>
        <w:t xml:space="preserve">differs from the base currency’s (the currency of the ledgers directly under Primary; Tally exports the rupee sign as</w:t>
      </w:r>
      <w:r>
        <w:t xml:space="preserve"> </w:t>
      </w:r>
      <w:r>
        <w:t xml:space="preserve">“?”</w:t>
      </w:r>
      <w:r>
        <w:t xml:space="preserve">). Tally reports its closing balance, and its group totals,</w:t>
      </w:r>
      <w:r>
        <w:t xml:space="preserve"> </w:t>
      </w:r>
      <w:r>
        <w:rPr>
          <w:b/>
          <w:bCs/>
        </w:rPr>
        <w:t xml:space="preserve">revalued at current rates</w:t>
      </w:r>
      <w:r>
        <w:t xml:space="preserve">; its books keep the amounts entered. Its</w:t>
      </w:r>
      <w:r>
        <w:t xml:space="preserve"> </w:t>
      </w:r>
      <w:r>
        <w:rPr>
          <w:b/>
          <w:bCs/>
        </w:rPr>
        <w:t xml:space="preserve">book value</w:t>
      </w:r>
      <w:r>
        <w:t xml:space="preserve"> </w:t>
      </w:r>
      <w:r>
        <w:t xml:space="preserve">at a date is its opening plus the total of Tally’s own vouchers on it up to the date (its ledger-voucher collection, read once per ledger; optional and cancelled vouchers count nothing). Validation compares each foreign-currency ledger with its own book value at every date checked and notes LB-VAL-022; the revalued balance is information only. Tally’s Ledger Vouchers report adds a calculated</w:t>
      </w:r>
      <w:r>
        <w:t xml:space="preserve"> </w:t>
      </w:r>
      <w:r>
        <w:t xml:space="preserve">“Unadjusted Forex Gain/Loss”</w:t>
      </w:r>
      <w:r>
        <w:t xml:space="preserve"> </w:t>
      </w:r>
      <w:r>
        <w:t xml:space="preserve">line on its To date: it is not a voucher and is never counted.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three foreign-currency customers differed;</w:t>
      </w:r>
      <w:r>
        <w:t xml:space="preserve"> </w:t>
      </w:r>
      <w:r>
        <w:rPr>
          <w:rStyle w:val="VerbatimChar"/>
        </w:rPr>
        <w:t xml:space="preserve">compare-ledger</w:t>
      </w:r>
      <w:r>
        <w:t xml:space="preserve"> </w:t>
      </w:r>
      <w:r>
        <w:t xml:space="preserve">matched every one of Tally’s vouchers with ours (47 of 47, 60 of 60, 3 of 3) with equal totals, while Tally’s closing balances were revalued.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a dollar customer whose closing balance and group total were 0 while Rs 8,200 was entered, with an</w:t>
      </w:r>
      <w:r>
        <w:t xml:space="preserve"> </w:t>
      </w:r>
      <w:r>
        <w:t xml:space="preserve">“Unadjusted Forex Gain/Loss”</w:t>
      </w:r>
      <w:r>
        <w:t xml:space="preserve"> </w:t>
      </w:r>
      <w:r>
        <w:t xml:space="preserve">line in the trial balance; its book value from its vouchers equals ours.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_foreign</w:t>
      </w:r>
      <w:r>
        <w:t xml:space="preserve">,</w:t>
      </w:r>
      <w:r>
        <w:t xml:space="preserve"> </w:t>
      </w:r>
      <w:r>
        <w:rPr>
          <w:rStyle w:val="VerbatimChar"/>
        </w:rPr>
        <w:t xml:space="preserve">_book_values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ledger_vouchers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at_book_value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_at_book_value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workers/compare.py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tests/test_forex.py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tests/test_compare_ledger.py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ADR-035 to ADR-038 (ADR-038 current).</w:t>
      </w:r>
    </w:p>
    <w:p>
      <w:r>
        <w:pict>
          <v:rect style="width:0;height:1.5pt" o:hralign="center" o:hrstd="t" o:hr="t"/>
        </w:pict>
      </w:r>
    </w:p>
    <w:bookmarkEnd w:id="59"/>
    <w:bookmarkStart w:id="60" w:name="effective-dates"/>
    <w:p>
      <w:pPr>
        <w:pStyle w:val="Heading2"/>
      </w:pPr>
      <w:r>
        <w:t xml:space="preserve">9. Effective dates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voucher’s effective date (</w:t>
      </w:r>
      <w:r>
        <w:rPr>
          <w:rStyle w:val="VerbatimChar"/>
        </w:rPr>
        <w:t xml:space="preserve">EFFECTIVEDATE</w:t>
      </w:r>
      <w:r>
        <w:t xml:space="preserve">) is kept (</w:t>
      </w:r>
      <w:r>
        <w:rPr>
          <w:rStyle w:val="VerbatimChar"/>
        </w:rPr>
        <w:t xml:space="preserve">vouchers.effective_date</w:t>
      </w:r>
      <w:r>
        <w:t xml:space="preserve">) but</w:t>
      </w:r>
      <w:r>
        <w:t xml:space="preserve"> </w:t>
      </w:r>
      <w:r>
        <w:rPr>
          <w:b/>
          <w:bCs/>
        </w:rPr>
        <w:t xml:space="preserve">balances count by the voucher date</w:t>
      </w:r>
      <w:r>
        <w:t xml:space="preserve">, as Tally does.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journals and sales dated 31 August and effective 1 September (and the reverse), regular and optional: each counted on its voucher date.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voucher</w:t>
      </w:r>
      <w:r>
        <w:t xml:space="preserve">), migration 0016.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tests/test_stock_ledger_and_dates.py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test_tally_counts_by_the_voucher_date_not_the_effective_date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test_the_effective_date_is_stored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ADR-033.</w:t>
      </w:r>
    </w:p>
    <w:p>
      <w:r>
        <w:pict>
          <v:rect style="width:0;height:1.5pt" o:hralign="center" o:hrstd="t" o:hr="t"/>
        </w:pict>
      </w:r>
    </w:p>
    <w:bookmarkEnd w:id="60"/>
    <w:bookmarkStart w:id="65" w:name="reference-resolution"/>
    <w:p>
      <w:pPr>
        <w:pStyle w:val="Heading2"/>
      </w:pPr>
      <w:r>
        <w:t xml:space="preserve">10. Reference resolution</w:t>
      </w:r>
    </w:p>
    <w:p>
      <w:pPr>
        <w:pStyle w:val="FirstParagraph"/>
      </w:pPr>
      <w:hyperlink r:id="rId64">
        <w:r>
          <w:drawing>
            <wp:inline>
              <wp:extent cx="5334000" cy="7734099"/>
              <wp:effectExtent b="0" l="0" r="0" t="0"/>
              <wp:docPr descr="How a name finds its master" title="" id="62" name="Picture"/>
              <a:graphic>
                <a:graphicData uri="http://schemas.openxmlformats.org/drawingml/2006/picture">
                  <pic:pic>
                    <pic:nvPicPr>
                      <pic:cNvPr descr="../diagrams/rules-reference-resolution.png" id="6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773409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reference by name (a voucher’s ledger, a ledger’s group, a stock item) resolves</w:t>
      </w:r>
      <w:r>
        <w:t xml:space="preserve"> </w:t>
      </w:r>
      <w:r>
        <w:rPr>
          <w:b/>
          <w:bCs/>
        </w:rPr>
        <w:t xml:space="preserve">exact</w:t>
      </w:r>
      <w:r>
        <w:t xml:space="preserve">, then by</w:t>
      </w:r>
      <w:r>
        <w:t xml:space="preserve"> </w:t>
      </w:r>
      <w:r>
        <w:rPr>
          <w:b/>
          <w:bCs/>
        </w:rPr>
        <w:t xml:space="preserve">alias</w:t>
      </w:r>
      <w:r>
        <w:t xml:space="preserve"> </w:t>
      </w:r>
      <w:r>
        <w:t xml:space="preserve">(alias names, a renamed reserved group’s reserved name), then</w:t>
      </w:r>
      <w:r>
        <w:t xml:space="preserve"> </w:t>
      </w:r>
      <w:r>
        <w:rPr>
          <w:b/>
          <w:bCs/>
        </w:rPr>
        <w:t xml:space="preserve">normalised</w:t>
      </w:r>
      <w:r>
        <w:t xml:space="preserve"> </w:t>
      </w:r>
      <w:r>
        <w:t xml:space="preserve">(entities decoded, Unicode NFC, spaces collapsed, trimmed, case folded), each only when exactly one master fits; otherwise the record fails (unknown or ambiguous). Alias and normalised matches are reported (LB-TRF-004). Masters deleted in the source answer only to names no live master has. Look-alike characters and punctuation are never matched automatically;</w:t>
      </w:r>
      <w:r>
        <w:t xml:space="preserve"> </w:t>
      </w:r>
      <w:r>
        <w:rPr>
          <w:rStyle w:val="VerbatimChar"/>
        </w:rPr>
        <w:t xml:space="preserve">transform explain</w:t>
      </w:r>
      <w:r>
        <w:t xml:space="preserve"> </w:t>
      </w:r>
      <w:r>
        <w:t xml:space="preserve">names the kinds of difference.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references matched by alias (voucher → ledger 20, voucher → party 2) and after normalisation; three customers differed as if lines sat on the wrong ledger (it turned out to be foreign currency, Section 8).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</w:t>
      </w:r>
      <w:r>
        <w:t xml:space="preserve"> </w:t>
      </w:r>
      <w:r>
        <w:t xml:space="preserve">“Party Lima”</w:t>
      </w:r>
      <w:r>
        <w:t xml:space="preserve">,</w:t>
      </w:r>
      <w:r>
        <w:t xml:space="preserve"> </w:t>
      </w:r>
      <w:r>
        <w:t xml:space="preserve">“PARTY LIMA”</w:t>
      </w:r>
      <w:r>
        <w:t xml:space="preserve"> </w:t>
      </w:r>
      <w:r>
        <w:t xml:space="preserve">and</w:t>
      </w:r>
      <w:r>
        <w:t xml:space="preserve"> </w:t>
      </w:r>
      <w:r>
        <w:t xml:space="preserve">“Party Lima”</w:t>
      </w:r>
      <w:r>
        <w:t xml:space="preserve"> </w:t>
      </w:r>
      <w:r>
        <w:t xml:space="preserve">were taken by Tally for the existing</w:t>
      </w:r>
      <w:r>
        <w:t xml:space="preserve"> </w:t>
      </w:r>
      <w:r>
        <w:t xml:space="preserve">“Party Lima”</w:t>
      </w:r>
      <w:r>
        <w:t xml:space="preserve">; a ledger whose alias was another ledger’s name was refused; a journal naming an alias came back naming the ledger. So Tally’s names compare the way our normalisation does, and one name identifies one master.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core/names.py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_by_name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_ref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workers/references.py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tests/test_references.py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tests/test_line_attribution.py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ADR-027, ADR-034.</w:t>
      </w:r>
    </w:p>
    <w:p>
      <w:r>
        <w:pict>
          <v:rect style="width:0;height:1.5pt" o:hralign="center" o:hrstd="t" o:hr="t"/>
        </w:pict>
      </w:r>
    </w:p>
    <w:bookmarkEnd w:id="65"/>
    <w:bookmarkStart w:id="70" w:name="master-classification"/>
    <w:p>
      <w:pPr>
        <w:pStyle w:val="Heading2"/>
      </w:pPr>
      <w:r>
        <w:t xml:space="preserve">11. Master classification</w:t>
      </w:r>
    </w:p>
    <w:bookmarkStart w:id="66" w:name="groups-natures-and-standard-accounts"/>
    <w:p>
      <w:pPr>
        <w:pStyle w:val="Heading3"/>
      </w:pPr>
      <w:r>
        <w:t xml:space="preserve">11.1 Groups, natures and standard accounts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group’s nature comes from its primary group (</w:t>
      </w:r>
      <w:r>
        <w:rPr>
          <w:rStyle w:val="VerbatimChar"/>
        </w:rPr>
        <w:t xml:space="preserve">ISREVENUE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ISDEEMEDPOSITIVE</w:t>
      </w:r>
      <w:r>
        <w:t xml:space="preserve">; Capital Account and Reserves &amp; Surplus are equity). Each ledger gets a standard account from its nearest reserved group (</w:t>
      </w:r>
      <w:r>
        <w:rPr>
          <w:rStyle w:val="VerbatimChar"/>
        </w:rPr>
        <w:t xml:space="preserve">STANDARD_ACCOUNT_BY_GROUP</w:t>
      </w:r>
      <w:r>
        <w:t xml:space="preserve">); Indirect Expenses stays unmapped (it mixes accounts). Ledgers directly under Primary (Profit &amp; Loss A/c) hang from a synthetic primary group mapped to reserves and surplus.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STANDARD_ACCOUNT_BY_GROUP</w:t>
      </w:r>
      <w:r>
        <w:t xml:space="preserve">); the standard chart is seeded by</w:t>
      </w:r>
      <w:r>
        <w:t xml:space="preserve"> </w:t>
      </w:r>
      <w:r>
        <w:rPr>
          <w:rStyle w:val="VerbatimChar"/>
        </w:rPr>
        <w:t xml:space="preserve">migrations/versions/0003_seed_reference_data.py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tests/test_standard_accounts.py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test_standard_accounts_mapped_from_groups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schema.md 7.3.</w:t>
      </w:r>
    </w:p>
    <w:bookmarkEnd w:id="66"/>
    <w:bookmarkStart w:id="67" w:name="parties"/>
    <w:p>
      <w:pPr>
        <w:pStyle w:val="Heading3"/>
      </w:pPr>
      <w:r>
        <w:t xml:space="preserve">11.2 Parties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ledgers under Sundry Debtors are customers, under Sundry Creditors vendors (</w:t>
      </w:r>
      <w:r>
        <w:rPr>
          <w:rStyle w:val="VerbatimChar"/>
        </w:rPr>
        <w:t xml:space="preserve">PARTY_TYPE_BY_GROUP</w:t>
      </w:r>
      <w:r>
        <w:t xml:space="preserve">); GSTIN, state, PAN, e-mail, phone, credit days and limit go to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 </w:t>
      </w:r>
      <w:r>
        <w:t xml:space="preserve">(sensitive: AI-015).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.</w:t>
      </w:r>
    </w:p>
    <w:bookmarkEnd w:id="67"/>
    <w:bookmarkStart w:id="68" w:name="duties-taxes-and-gst-tax-lines"/>
    <w:p>
      <w:pPr>
        <w:pStyle w:val="Heading3"/>
      </w:pPr>
      <w:r>
        <w:t xml:space="preserve">11.3 Duties &amp; Taxes and GST tax lines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Duties &amp; Taxes ledger’s standard account follows its tax type (GST, TDS, TCS);</w:t>
      </w:r>
      <w:r>
        <w:t xml:space="preserve"> </w:t>
      </w:r>
      <w:r>
        <w:rPr>
          <w:rStyle w:val="VerbatimChar"/>
        </w:rPr>
        <w:t xml:space="preserve">TAXTYPE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GSTDUTYHEAD</w:t>
      </w:r>
      <w:r>
        <w:t xml:space="preserve"> </w:t>
      </w:r>
      <w:r>
        <w:t xml:space="preserve">give</w:t>
      </w:r>
      <w:r>
        <w:t xml:space="preserve"> </w:t>
      </w:r>
      <w:r>
        <w:rPr>
          <w:rStyle w:val="VerbatimChar"/>
        </w:rPr>
        <w:t xml:space="preserve">tax_type</w:t>
      </w:r>
      <w:r>
        <w:t xml:space="preserve"> </w:t>
      </w:r>
      <w:r>
        <w:t xml:space="preserve">(Central → cgst, State/UT → sgst, Integrated → igst, Cess). An empty duty head on a GST ledger is taken as Central Tax (Tally leaves defaults out) and reported (LB-TRF-007). Every line on a tax ledger becomes a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_tax_type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STANDARD_ACCOUNT_BY_TAX_TYPE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tests/connectors/tally/test_mapping.py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test_duties_and_taxes_default_by_tax_type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test_empty_duty_head_is_central_tax_for_gst_only_and_warns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test_bills_tax_and_inventory_details</w:t>
      </w:r>
      <w:r>
        <w:t xml:space="preserve">).</w:t>
      </w:r>
    </w:p>
    <w:bookmarkEnd w:id="68"/>
    <w:bookmarkStart w:id="69" w:name="branch-divisions"/>
    <w:p>
      <w:pPr>
        <w:pStyle w:val="Heading3"/>
      </w:pPr>
      <w:r>
        <w:t xml:space="preserve">11.4 Branch / Divisions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ledgers under Branch / Divisions map to standard account 1275 (debit balances; credit balances report as 3275 at the reporting date, M6).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STANDARD_ACCOUNT_BY_GROUP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tests/test_standard_accounts.py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test_suspense_and_inter_company_accounts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custom-fields-and-the-extra-column"/>
    <w:p>
      <w:pPr>
        <w:pStyle w:val="Heading2"/>
      </w:pPr>
      <w:r>
        <w:t xml:space="preserve">12. Custom fields and the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every field Tally sends that has no column (e.g. UDFs from TDL customisations,</w:t>
      </w:r>
      <w:r>
        <w:t xml:space="preserve"> </w:t>
      </w:r>
      <w:r>
        <w:rPr>
          <w:rStyle w:val="VerbatimChar"/>
        </w:rPr>
        <w:t xml:space="preserve">UDF:</w:t>
      </w:r>
      <w:r>
        <w:t xml:space="preserve"> </w:t>
      </w:r>
      <w:r>
        <w:t xml:space="preserve">prefixed tags) is kept in the row’s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JSON and catalogued (</w:t>
      </w:r>
      <w:r>
        <w:rPr>
          <w:rStyle w:val="VerbatimChar"/>
        </w:rPr>
        <w:t xml:space="preserve">source_fields</w:t>
      </w:r>
      <w:r>
        <w:t xml:space="preserve">, with counts and an inferred type); a catalogued voucher field can be promoted to a reporting dimension (</w:t>
      </w:r>
      <w:r>
        <w:rPr>
          <w:rStyle w:val="VerbatimChar"/>
        </w:rPr>
        <w:t xml:space="preserve">promote-field</w:t>
      </w:r>
      <w:r>
        <w:t xml:space="preserve">). A value too long or otherwise unfit for its column is kept in full in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(never truncated) and reported (LB-TRF-003); a value with characters MySQL can’t store is cleaned, and if it is then still too long it is kept in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too. Names kept in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because they were too long are found by those names, with the same rule as every name: a deleted row never takes a live row’s name (ADR-034). Undeclared XML prefixes are parsed and kept as written.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UDF prefixes broke parsing; values longer than their column failed records.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Known limitation:</w:t>
      </w:r>
      <w:r>
        <w:t xml:space="preserve"> </w:t>
      </w:r>
      <w:r>
        <w:t xml:space="preserve">the catalogue keys a field by its path cut to 255 characters (</w:t>
      </w:r>
      <w:r>
        <w:rPr>
          <w:rStyle w:val="VerbatimChar"/>
        </w:rPr>
        <w:t xml:space="preserve">source_fields.field_path</w:t>
      </w:r>
      <w:r>
        <w:t xml:space="preserve">), so two paths that differ only after the 255th character are counted as one field. Values are unaffected (they are kept in full in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 only the catalogue’s counts merge. Not seen in the test company or the pilot; fixing it needs a schema change (a hash of the full path as the key), left until such paths appear (developer’s decision, 2026-10-22).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_fit</w:t>
      </w:r>
      <w:r>
        <w:t xml:space="preserve">,</w:t>
      </w:r>
      <w:r>
        <w:t xml:space="preserve"> </w:t>
      </w:r>
      <w:r>
        <w:rPr>
          <w:rStyle w:val="VerbatimChar"/>
        </w:rPr>
        <w:t xml:space="preserve">_with_extra</w:t>
      </w:r>
      <w:r>
        <w:t xml:space="preserve">,</w:t>
      </w:r>
      <w:r>
        <w:t xml:space="preserve"> </w:t>
      </w:r>
      <w:r>
        <w:rPr>
          <w:rStyle w:val="VerbatimChar"/>
        </w:rPr>
        <w:t xml:space="preserve">_Catalogue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unmapped_fields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USED_FIELDS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connectors/tally/parser.py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tests/test_retransform.py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tests/test_fit_integration.py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tests/test_pilot_robustness.py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ADR-025.</w:t>
      </w:r>
    </w:p>
    <w:p>
      <w:r>
        <w:pict>
          <v:rect style="width:0;height:1.5pt" o:hralign="center" o:hrstd="t" o:hr="t"/>
        </w:pict>
      </w:r>
    </w:p>
    <w:bookmarkEnd w:id="71"/>
    <w:bookmarkStart w:id="72" w:name="error-handling"/>
    <w:p>
      <w:pPr>
        <w:pStyle w:val="Heading2"/>
      </w:pPr>
      <w:r>
        <w:t xml:space="preserve">13. Error handling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record that can’t be converted fails</w:t>
      </w:r>
      <w:r>
        <w:t xml:space="preserve"> </w:t>
      </w:r>
      <w:r>
        <w:rPr>
          <w:b/>
          <w:bCs/>
        </w:rPr>
        <w:t xml:space="preserve">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raw_records.process_status = failed</w:t>
      </w:r>
      <w:r>
        <w:t xml:space="preserve"> </w:t>
      </w:r>
      <w:r>
        <w:t xml:space="preserve">with the error type and a short message (never SQL or values). A batch the database rejects is written again one record at a time, so one bad record leaves the rest converted.</w:t>
      </w:r>
      <w:r>
        <w:t xml:space="preserve"> </w:t>
      </w:r>
      <w:r>
        <w:rPr>
          <w:rStyle w:val="VerbatimChar"/>
        </w:rPr>
        <w:t xml:space="preserve">transform retry</w:t>
      </w:r>
      <w:r>
        <w:t xml:space="preserve"> </w:t>
      </w:r>
      <w:r>
        <w:t xml:space="preserve">converts failed records again with the current code,</w:t>
      </w:r>
      <w:r>
        <w:t xml:space="preserve"> </w:t>
      </w:r>
      <w:r>
        <w:rPr>
          <w:rStyle w:val="VerbatimChar"/>
        </w:rPr>
        <w:t xml:space="preserve">transform rebuild</w:t>
      </w:r>
      <w:r>
        <w:t xml:space="preserve"> </w:t>
      </w:r>
      <w:r>
        <w:t xml:space="preserve">every stored record, both without contacting Tally. Validation names the root cause when records failed (consequences counted, LB-TRF-001 first).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thousands of records failed in one batch on a data error (2,170 ledgers and 238,392 vouchers in one attempt).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(batch write,</w:t>
      </w:r>
      <w:r>
        <w:t xml:space="preserve"> </w:t>
      </w:r>
      <w:r>
        <w:rPr>
          <w:rStyle w:val="VerbatimChar"/>
        </w:rPr>
        <w:t xml:space="preserve">retry_failed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rebuild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core/errors.py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short_error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RootCause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tests/test_retransform.py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test_one_bad_record_in_a_batch_leaves_the_rest_converted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test_mysql_data_errors_are_described_without_values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test_validation_names_the_root_cause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ADR-025, ADR-028.</w:t>
      </w:r>
    </w:p>
    <w:p>
      <w:pPr>
        <w:pStyle w:val="FirstParagraph"/>
      </w:pPr>
      <w:r>
        <w:t xml:space="preserve">On the fetch side: requests time out and wait for a busy source before declaring it unresponsive; slow months are split; interrupted syncs resume from their checkpoints; a run lock tied to its job keeps runs from overlapping (ADR-022, ADR-023, ADR-024, ADR-030).</w:t>
      </w:r>
    </w:p>
    <w:p>
      <w:r>
        <w:pict>
          <v:rect style="width:0;height:1.5pt" o:hralign="center" o:hrstd="t" o:hr="t"/>
        </w:pict>
      </w:r>
    </w:p>
    <w:bookmarkEnd w:id="72"/>
    <w:bookmarkStart w:id="73" w:name="educational-mode-reliable-dates-only"/>
    <w:p>
      <w:pPr>
        <w:pStyle w:val="Heading2"/>
      </w:pPr>
      <w:r>
        <w:t xml:space="preserve">14. Educational mode: reliable dates only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TallyPrime in Educational mode gives correct balances only on the 1st, 2nd and 31st of a month. Validation runs as of the latest such date on or before the date asked; the analysis’s month ends move to the next one (a 30 June month end is compared on 1 July); the output names the dates used. The connection setting</w:t>
      </w:r>
      <w:r>
        <w:t xml:space="preserve"> </w:t>
      </w:r>
      <w:r>
        <w:rPr>
          <w:rStyle w:val="VerbatimChar"/>
        </w:rPr>
        <w:t xml:space="preserve">educational</w:t>
      </w:r>
      <w:r>
        <w:t xml:space="preserve"> </w:t>
      </w:r>
      <w:r>
        <w:t xml:space="preserve">(auto / yes / no) decides; auto asks Tally (</w:t>
      </w:r>
      <w:r>
        <w:rPr>
          <w:rStyle w:val="VerbatimChar"/>
        </w:rPr>
        <w:t xml:space="preserve">$$LicenseInfo:IsEducationalMode</w:t>
      </w:r>
      <w:r>
        <w:t xml:space="preserve">). Voucher listings always request whole months.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Statements are stricter:</w:t>
      </w:r>
      <w:r>
        <w:t xml:space="preserve"> </w:t>
      </w:r>
      <w:r>
        <w:t xml:space="preserve">on the 1st, Tally’s own Trial Balance, Profit and Loss and computed profit don’t agree with its own ledger balances that day (test company, 2026-10-22: as of 1 October its ledgers equalled ours, while its reports and its Profit &amp; Loss A/c balance didn’t; the 2nd and the 31st agreed). Statements and year-end checks (whose profit carrier comparison uses Tally’s computed profit) therefore use</w:t>
      </w:r>
      <w:r>
        <w:t xml:space="preserve"> </w:t>
      </w:r>
      <w:r>
        <w:rPr>
          <w:rStyle w:val="VerbatimChar"/>
        </w:rPr>
        <w:t xml:space="preserve">DateRule.period_end</w:t>
      </w:r>
      <w:r>
        <w:t xml:space="preserve">: the 31st where the month has one, otherwise the 2nd of the next month, never the 1st (a 31 March year end is checked on 31 March, a 30 June one on 2 July; developer’s decision, 2026-10-22). A year end whose date is after the as-of date waits for the next validation.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on the test company a balance requested for the 30th included later vouchers; the pilot runs in Educational mode.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core/dates.py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period_end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date_rule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is_educational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workers/validate.py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source_controls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workers/analyse.py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workers/statements.py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tests/test_dates.py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test_period_ends_use_the_31st_or_the_2nd_never_the_1st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test_a_30_june_year_end_is_checked_on_2_july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ADR-032.</w:t>
      </w:r>
    </w:p>
    <w:p>
      <w:r>
        <w:pict>
          <v:rect style="width:0;height:1.5pt" o:hralign="center" o:hrstd="t" o:hr="t"/>
        </w:pict>
      </w:r>
    </w:p>
    <w:bookmarkEnd w:id="73"/>
    <w:bookmarkStart w:id="74" w:name="validation-checks"/>
    <w:p>
      <w:pPr>
        <w:pStyle w:val="Heading2"/>
      </w:pPr>
      <w:r>
        <w:t xml:space="preserve">15. Validation checks</w:t>
      </w:r>
    </w:p>
    <w:p>
      <w:pPr>
        <w:pStyle w:val="FirstParagraph"/>
      </w:pPr>
      <w:r>
        <w:t xml:space="preserve">Every check compares our figures with Tally’s own,</w:t>
      </w:r>
      <w:r>
        <w:t xml:space="preserve"> </w:t>
      </w:r>
      <w:r>
        <w:rPr>
          <w:b/>
          <w:bCs/>
        </w:rPr>
        <w:t xml:space="preserve">as of a date</w:t>
      </w:r>
      <w:r>
        <w:t xml:space="preserve"> </w:t>
      </w:r>
      <w:r>
        <w:t xml:space="preserve">(default today, moved to a reliable date in Educational mode, Section 14). Amounts compare within the connection’s</w:t>
      </w:r>
      <w:r>
        <w:t xml:space="preserve"> </w:t>
      </w:r>
      <w:r>
        <w:rPr>
          <w:b/>
          <w:bCs/>
        </w:rPr>
        <w:t xml:space="preserve">tolerance</w:t>
      </w:r>
      <w:r>
        <w:t xml:space="preserve">:</w:t>
      </w:r>
      <w:r>
        <w:t xml:space="preserve"> </w:t>
      </w:r>
      <w:r>
        <w:rPr>
          <w:rStyle w:val="VerbatimChar"/>
        </w:rPr>
        <w:t xml:space="preserve">validation_tolerance</w:t>
      </w:r>
      <w:r>
        <w:t xml:space="preserve"> </w:t>
      </w:r>
      <w:r>
        <w:t xml:space="preserve">in the connection’s settings, else</w:t>
      </w:r>
      <w:r>
        <w:t xml:space="preserve"> </w:t>
      </w:r>
      <w:r>
        <w:rPr>
          <w:rStyle w:val="VerbatimChar"/>
        </w:rPr>
        <w:t xml:space="preserve">VALIDATION_TOLERANCE</w:t>
      </w:r>
      <w:r>
        <w:t xml:space="preserve">,</w:t>
      </w:r>
      <w:r>
        <w:t xml:space="preserve"> </w:t>
      </w:r>
      <w:r>
        <w:rPr>
          <w:b/>
          <w:bCs/>
        </w:rPr>
        <w:t xml:space="preserve">0 (exact) by default</w:t>
      </w:r>
      <w:r>
        <w:t xml:space="preserve">. Counts and quantities always compare exactly. A</w:t>
      </w:r>
      <w:r>
        <w:t xml:space="preserve"> </w:t>
      </w:r>
      <w:r>
        <w:rPr>
          <w:i/>
          <w:iCs/>
        </w:rPr>
        <w:t xml:space="preserve">thorough</w:t>
      </w:r>
      <w:r>
        <w:t xml:space="preserve"> </w:t>
      </w:r>
      <w:r>
        <w:t xml:space="preserve">validation (every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and full sync) also compares the source’s controls: voucher counts, stock, bills and year ends.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it compares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As-of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voucher_unbalanced</w:t>
            </w:r>
          </w:p>
        </w:tc>
        <w:tc>
          <w:tcPr/>
          <w:p>
            <w:pPr>
              <w:pStyle w:val="Compact"/>
            </w:pPr>
            <w:r>
              <w:t xml:space="preserve">Each effective voucher’s lines sum to zero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every voucher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tb_unbalanced</w:t>
            </w:r>
          </w:p>
        </w:tc>
        <w:tc>
          <w:tcPr/>
          <w:p>
            <w:pPr>
              <w:pStyle w:val="Compact"/>
            </w:pPr>
            <w:r>
              <w:t xml:space="preserve">The trial balance totals our opening total at the as-of date and each year end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as of, year 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opening_difference</w:t>
            </w:r>
            <w:r>
              <w:t xml:space="preserve"> </w:t>
            </w:r>
            <w:r>
              <w:t xml:space="preserve">(warning)</w:t>
            </w:r>
          </w:p>
        </w:tc>
        <w:tc>
          <w:tcPr/>
          <w:p>
            <w:pPr>
              <w:pStyle w:val="Compact"/>
            </w:pPr>
            <w:r>
              <w:t xml:space="preserve">Tally’s own difference in opening balances (Section 3.3)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books’ beginning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closing_mismatch</w:t>
            </w:r>
          </w:p>
        </w:tc>
        <w:tc>
          <w:tcPr/>
          <w:p>
            <w:pPr>
              <w:pStyle w:val="Compact"/>
            </w:pPr>
            <w:r>
              <w:t xml:space="preserve">Each ledger’s balance against Tally’s closing balance; stock ledgers at the stock value (Section 7); foreign-currency ledgers at book value (Section 8)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profit_carrier_mismatch</w:t>
            </w:r>
          </w:p>
        </w:tc>
        <w:tc>
          <w:tcPr/>
          <w:p>
            <w:pPr>
              <w:pStyle w:val="Compact"/>
            </w:pPr>
            <w:r>
              <w:t xml:space="preserve">Profit &amp; Loss A/c: its posted balance plus the period’s profit (stock change included) against Tally’s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year_end_mismatch</w:t>
            </w:r>
          </w:p>
        </w:tc>
        <w:tc>
          <w:tcPr/>
          <w:p>
            <w:pPr>
              <w:pStyle w:val="Compact"/>
            </w:pPr>
            <w:r>
              <w:t xml:space="preserve">The same ledger comparison at every financial year end before the as-of date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year ends (reliable dates)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ledger_missing</w:t>
            </w:r>
          </w:p>
        </w:tc>
        <w:tc>
          <w:tcPr/>
          <w:p>
            <w:pPr>
              <w:pStyle w:val="Compact"/>
            </w:pPr>
            <w:r>
              <w:t xml:space="preserve">Ledgers on one side only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voucher_count_mismatch</w:t>
            </w:r>
          </w:p>
        </w:tc>
        <w:tc>
          <w:tcPr/>
          <w:p>
            <w:pPr>
              <w:pStyle w:val="Compact"/>
            </w:pPr>
            <w:r>
              <w:t xml:space="preserve">Vouchers per month and voucher type (cancelled and optional included, deleted excluded)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months up to 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stock_quantity_mismatch</w:t>
            </w:r>
          </w:p>
        </w:tc>
        <w:tc>
          <w:tcPr/>
          <w:p>
            <w:pPr>
              <w:pStyle w:val="Compact"/>
            </w:pPr>
            <w:r>
              <w:t xml:space="preserve">Each item’s closing quantity (counted vouchers, counted godowns, Sections 5 and 6)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bills_mismatch</w:t>
            </w:r>
          </w:p>
        </w:tc>
        <w:tc>
          <w:tcPr/>
          <w:p>
            <w:pPr>
              <w:pStyle w:val="Compact"/>
            </w:pPr>
            <w:r>
              <w:t xml:space="preserve">Each party’s bill-wise outstanding (opening bills plus allocations, on-account excluded)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only as of today (Tally reports bills as of now)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closing_unavailable</w:t>
            </w:r>
          </w:p>
        </w:tc>
        <w:tc>
          <w:tcPr/>
          <w:p>
            <w:pPr>
              <w:pStyle w:val="Compact"/>
            </w:pPr>
            <w:r>
              <w:t xml:space="preserve">Tally’s closing balances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year_end_balances_unavailable</w:t>
            </w:r>
          </w:p>
        </w:tc>
        <w:tc>
          <w:tcPr/>
          <w:p>
            <w:pPr>
              <w:pStyle w:val="Compact"/>
            </w:pPr>
            <w:r>
              <w:t xml:space="preserve">A year end’s balances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voucher_counts_unavailable</w:t>
            </w:r>
          </w:p>
        </w:tc>
        <w:tc>
          <w:tcPr/>
          <w:p>
            <w:pPr>
              <w:pStyle w:val="Compact"/>
            </w:pPr>
            <w:r>
              <w:t xml:space="preserve">Counts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stock_quantities_unavailable</w:t>
            </w:r>
          </w:p>
        </w:tc>
        <w:tc>
          <w:tcPr/>
          <w:p>
            <w:pPr>
              <w:pStyle w:val="Compact"/>
            </w:pPr>
            <w:r>
              <w:t xml:space="preserve">Stock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bill_outstanding_unavailable</w:t>
            </w:r>
          </w:p>
        </w:tc>
        <w:tc>
          <w:tcPr/>
          <w:p>
            <w:pPr>
              <w:pStyle w:val="Compact"/>
            </w:pPr>
            <w:r>
              <w:t xml:space="preserve">Bills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check_not_supported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The source doesn’t offer a figure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not_compared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Stock values per item and bills on other dates are compared only in total / as of today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source_controls_not_checked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A quick validation skipped the controls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never_validated</w:t>
            </w:r>
          </w:p>
        </w:tc>
        <w:tc>
          <w:tcPr/>
          <w:p>
            <w:pPr>
              <w:pStyle w:val="Compact"/>
            </w:pPr>
            <w:r>
              <w:t xml:space="preserve">A company never validated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validation_error</w:t>
            </w:r>
          </w:p>
        </w:tc>
        <w:tc>
          <w:tcPr/>
          <w:p>
            <w:pPr>
              <w:pStyle w:val="Compact"/>
            </w:pPr>
            <w:r>
              <w:t xml:space="preserve">Validation couldn’t run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stock_ledger_at_stock_value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Stock ledgers compared with Tally’s closing stock value (Section 7)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each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foreign_ledgers_at_book_value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Foreign-currency ledgers compared with their book value (Section 8)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each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stock_value_mismatch</w:t>
            </w:r>
          </w:p>
        </w:tc>
        <w:tc>
          <w:tcPr/>
          <w:p>
            <w:pPr>
              <w:pStyle w:val="Compact"/>
            </w:pPr>
            <w:r>
              <w:t xml:space="preserve">The stock value stored for a date against the source’s now (Section 16.2)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as of, year 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statement_mismatch</w:t>
            </w:r>
          </w:p>
        </w:tc>
        <w:tc>
          <w:tcPr/>
          <w:p>
            <w:pPr>
              <w:pStyle w:val="Compact"/>
            </w:pPr>
            <w:r>
              <w:t xml:space="preserve">Our Trial Balance, Profit &amp; Loss and Balance Sheet against the source’s own, line by line and in total (Section 16.1)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as of, year ends; every month end with</w:t>
            </w:r>
            <w:r>
              <w:t xml:space="preserve"> </w:t>
            </w:r>
            <w:r>
              <w:rPr>
                <w:rStyle w:val="VerbatimChar"/>
              </w:rPr>
              <w:t xml:space="preserve">statements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statements_unavailable</w:t>
            </w:r>
          </w:p>
        </w:tc>
        <w:tc>
          <w:tcPr/>
          <w:p>
            <w:pPr>
              <w:pStyle w:val="Compact"/>
            </w:pPr>
            <w:r>
              <w:t xml:space="preserve">The source’s statements couldn’t be read for a date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as of, year ends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Validator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workers/validate.py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source_controls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core/problems.py</w:t>
      </w:r>
      <w:r>
        <w:t xml:space="preserve"> </w:t>
      </w:r>
      <w:r>
        <w:t xml:space="preserve">(codes, texts).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tests/test_validation.py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test_seed_reproduces_tallys_figures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tests/test_retransform.py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test_thorough_validation_passes_on_the_test_company</w:t>
      </w:r>
      <w:r>
        <w:t xml:space="preserve">), and the rule tests above.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Diagnostics:</w:t>
      </w:r>
      <w:r>
        <w:t xml:space="preserve"> </w:t>
      </w:r>
      <w:r>
        <w:rPr>
          <w:rStyle w:val="VerbatimChar"/>
        </w:rPr>
        <w:t xml:space="preserve">validate analyse</w:t>
      </w:r>
      <w:r>
        <w:t xml:space="preserve"> </w:t>
      </w:r>
      <w:r>
        <w:t xml:space="preserve">tests explanations for every mismatch (counts only, VAL-010);</w:t>
      </w:r>
      <w:r>
        <w:t xml:space="preserve"> </w:t>
      </w:r>
      <w:r>
        <w:rPr>
          <w:rStyle w:val="VerbatimChar"/>
        </w:rPr>
        <w:t xml:space="preserve">validate compare-ledger</w:t>
      </w:r>
      <w:r>
        <w:t xml:space="preserve"> </w:t>
      </w:r>
      <w:r>
        <w:t xml:space="preserve">compares one ledger voucher by voucher (VAL-014).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ADR-019, ADR-028, ADR-029.</w:t>
      </w:r>
    </w:p>
    <w:bookmarkEnd w:id="74"/>
    <w:bookmarkStart w:id="80" w:name="statements-from-the-sources-own-figures"/>
    <w:p>
      <w:pPr>
        <w:pStyle w:val="Heading2"/>
      </w:pPr>
      <w:r>
        <w:t xml:space="preserve">16. Statements from the source’s own figures</w:t>
      </w:r>
    </w:p>
    <w:bookmarkStart w:id="75" w:name="X9dcdd54bfbbb6bacb4bce33d79a790cdfd19688"/>
    <w:p>
      <w:pPr>
        <w:pStyle w:val="Heading3"/>
      </w:pPr>
      <w:r>
        <w:t xml:space="preserve">16.1 Statements are laid out as Tally’s and match them line by line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our Trial Balance, Profit &amp; Loss and Balance Sheet have one line per primary group (its current name), plus Tally’s own lines: Cost of Sales (Opening Stock, Add: the purchase groups, Less: Closing Stock), Profit &amp; Loss A/c and Unadjusted Forex Gain/Loss. Each is compared with Tally’s own report export line by line (by label, without</w:t>
      </w:r>
      <w:r>
        <w:t xml:space="preserve"> </w:t>
      </w:r>
      <w:r>
        <w:t xml:space="preserve">“Add:”</w:t>
      </w:r>
      <w:r>
        <w:t xml:space="preserve"> </w:t>
      </w:r>
      <w:r>
        <w:t xml:space="preserve">/</w:t>
      </w:r>
      <w:r>
        <w:t xml:space="preserve"> </w:t>
      </w:r>
      <w:r>
        <w:t xml:space="preserve">“Less:”</w:t>
      </w:r>
      <w:r>
        <w:t xml:space="preserve">) and in total at the as-of date and every year end (LB-VAL-024);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 </w:t>
      </w:r>
      <w:r>
        <w:t xml:space="preserve">does the same at every month end. Trial balance lines compare their debit and credit totals.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reports must equal what the client sees in Tally (RPT-012).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 at four dates (books’ beginning, two month ends, the as-of date), with integration on and off: every line and total equal.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core/statements.py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connectors/tally/reports.py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connector.source_statements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tests/test_statements.py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ADR-040.</w:t>
      </w:r>
    </w:p>
    <w:bookmarkEnd w:id="75"/>
    <w:bookmarkStart w:id="76" w:name="X5ea6ba4f5d25dbfabfb9d05acac353f8262b4c6"/>
    <w:p>
      <w:pPr>
        <w:pStyle w:val="Heading3"/>
      </w:pPr>
      <w:r>
        <w:t xml:space="preserve">16.2 Stock in the statements is the source’s own figure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the opening and closing stock are those of Tally’s Profit and Loss, stored in</w:t>
      </w:r>
      <w:r>
        <w:t xml:space="preserve"> </w:t>
      </w:r>
      <w:r>
        <w:rPr>
          <w:rStyle w:val="VerbatimChar"/>
        </w:rPr>
        <w:t xml:space="preserve">stock_values</w:t>
      </w:r>
      <w:r>
        <w:t xml:space="preserve">. Integrated: the stock ledgers are left out and the stock appears at its opening value in the Trial Balance and its closing value in the Balance Sheet (Current Assets). Not integrated: the stock ledgers are ordinary ledgers (their balances are Tally’s stock). The stored value is checked against Tally’s at each date validated (LB-VAL-023).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with integration off Tally takes the stock ledger’s balances (1,500), not the items’ values (2,010 / 5,580): following Tally’s own figures keeps our statements equal whatever the setting.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recordings above; the connector reads Yes and No.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core/statements.py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_Figures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_statements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_stock_value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tests/test_statements.py</w:t>
      </w:r>
      <w:r>
        <w:t xml:space="preserve">.</w:t>
      </w:r>
    </w:p>
    <w:bookmarkEnd w:id="76"/>
    <w:bookmarkStart w:id="77" w:name="Xe8001d195b030f0bd1cda0148ed887f4c226277"/>
    <w:p>
      <w:pPr>
        <w:pStyle w:val="Heading3"/>
      </w:pPr>
      <w:r>
        <w:t xml:space="preserve">16.3 Ledgers directly under Primary are Profit &amp; Loss A/c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Tally’s Profit &amp; Loss A/c line on the Balance Sheet is the balance of the ledgers directly under Primary (Opening Balance) plus the period’s profit (Current Period): liabilities side for a profit, assets side for a loss. In the Trial Balance they are listed by name when not zero.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Profit &amp; Loss A/c equal to the period’s loss at every date.</w:t>
      </w:r>
    </w:p>
    <w:bookmarkEnd w:id="77"/>
    <w:bookmarkStart w:id="78" w:name="Xf65889b036ae372f354bb51db6b2ae755979f98"/>
    <w:p>
      <w:pPr>
        <w:pStyle w:val="Heading3"/>
      </w:pPr>
      <w:r>
        <w:t xml:space="preserve">16.4 Foreign-currency ledgers at Tally’s revalued balance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in the statements, a foreign-currency ledger counts at the balance Tally reports (revalued at current rates), stored in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; the difference to its book value is one</w:t>
      </w:r>
      <w:r>
        <w:t xml:space="preserve"> </w:t>
      </w:r>
      <w:r>
        <w:t xml:space="preserve">“Unadjusted Forex Gain/Loss”</w:t>
      </w:r>
      <w:r>
        <w:t xml:space="preserve"> </w:t>
      </w:r>
      <w:r>
        <w:t xml:space="preserve">line, as in Tally’s reports. Validation still compares the ledger itself at book value (rule 8).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company’s dollar customer: 0 revalued, 8,200 book, the line 8,200 Dr.</w:t>
      </w:r>
    </w:p>
    <w:bookmarkEnd w:id="78"/>
    <w:bookmarkStart w:id="79" w:name="Xaf925a680570824bdceb18bd9be85b0d0eec14e"/>
    <w:p>
      <w:pPr>
        <w:pStyle w:val="Heading3"/>
      </w:pPr>
      <w:r>
        <w:t xml:space="preserve">16.5 A difference in opening balances is a note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when the openings don’t total zero (e.g. not integrated: the items’ opening value 2,010 against the stock ledger’s 1,500, a difference of 510), Tally’s exported Trial Balance and Balance Sheet don’t balance and show no line for it. Ours add</w:t>
      </w:r>
      <w:r>
        <w:t xml:space="preserve"> </w:t>
      </w:r>
      <w:r>
        <w:t xml:space="preserve">“Difference in opening balances”</w:t>
      </w:r>
      <w:r>
        <w:t xml:space="preserve"> </w:t>
      </w:r>
      <w:r>
        <w:t xml:space="preserve">as a detail line (not compared), so ours balance and still equal Tally’s line by line.</w:t>
      </w:r>
    </w:p>
    <w:bookmarkEnd w:id="79"/>
    <w:bookmarkEnd w:id="80"/>
    <w:bookmarkStart w:id="81" w:name="change-log"/>
    <w:p>
      <w:pPr>
        <w:pStyle w:val="Heading2"/>
      </w:pPr>
      <w:r>
        <w:t xml:space="preserve">Change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2026-10-22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Section 14: year-end checks use the 31st or the 2nd, never the 1st, like statements; Section 12: the 255-character field path limitation.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2026-10-22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Section 16: statements from the source’s own figures; rule 7 without integration; checks LB-VAL-023 to LB-VAL-025.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2026-10-22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Values with invalid characters that are too long; long names of deleted rows.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Rule 6.2: entries with no quantity of their own across several godowns.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Rule 1.6: TallyPrime Edit 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First edition: every conversion and validation rule up to PR #33, with flowcharts.</w:t>
            </w:r>
          </w:p>
        </w:tc>
      </w:tr>
    </w:tbl>
    <w:bookmarkEnd w:id="81"/>
    <w:bookmarkEnd w:id="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6" Target="media/rId46.png" /><Relationship Type="http://schemas.openxmlformats.org/officeDocument/2006/relationships/image" Id="rId38" Target="media/rId38.png" /><Relationship Type="http://schemas.openxmlformats.org/officeDocument/2006/relationships/hyperlink" Id="rId20" Target="../architecture.md" TargetMode="External" /><Relationship Type="http://schemas.openxmlformats.org/officeDocument/2006/relationships/hyperlink" Id="rId21" Target="../database/schema-reference.md" TargetMode="External" /><Relationship Type="http://schemas.openxmlformats.org/officeDocument/2006/relationships/hyperlink" Id="rId58" Target="../diagrams/rules-forex-book-value.svg" TargetMode="External" /><Relationship Type="http://schemas.openxmlformats.org/officeDocument/2006/relationships/hyperlink" Id="rId64" Target="../diagrams/rules-reference-resolution.svg" TargetMode="External" /><Relationship Type="http://schemas.openxmlformats.org/officeDocument/2006/relationships/hyperlink" Id="rId49" Target="../diagrams/rules-stock-movement.svg" TargetMode="External" /><Relationship Type="http://schemas.openxmlformats.org/officeDocument/2006/relationships/hyperlink" Id="rId41" Target="../diagrams/rules-vouchers-count.svg" TargetMode="External" /><Relationship Type="http://schemas.openxmlformats.org/officeDocument/2006/relationships/hyperlink" Id="rId22" Target="../error-catalogu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rchitecture.md" TargetMode="External" /><Relationship Type="http://schemas.openxmlformats.org/officeDocument/2006/relationships/hyperlink" Id="rId21" Target="../database/schema-reference.md" TargetMode="External" /><Relationship Type="http://schemas.openxmlformats.org/officeDocument/2006/relationships/hyperlink" Id="rId58" Target="../diagrams/rules-forex-book-value.svg" TargetMode="External" /><Relationship Type="http://schemas.openxmlformats.org/officeDocument/2006/relationships/hyperlink" Id="rId64" Target="../diagrams/rules-reference-resolution.svg" TargetMode="External" /><Relationship Type="http://schemas.openxmlformats.org/officeDocument/2006/relationships/hyperlink" Id="rId49" Target="../diagrams/rules-stock-movement.svg" TargetMode="External" /><Relationship Type="http://schemas.openxmlformats.org/officeDocument/2006/relationships/hyperlink" Id="rId41" Target="../diagrams/rules-vouchers-count.svg" TargetMode="External" /><Relationship Type="http://schemas.openxmlformats.org/officeDocument/2006/relationships/hyperlink" Id="rId22" Target="../error-catalogu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2026-10-22T11:25:42Z</dcterms:created>
  <dcterms:modified xsi:type="dcterms:W3CDTF">2026-10-22T11:25:42Z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