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1.4</w:t>
            </w:r>
          </w:p>
        </w:tc>
      </w:tr>
      <w:tr>
        <w:tc>
          <w:tcPr/>
          <w:p>
            <w:pPr>
              <w:pStyle w:val="Compact"/>
            </w:pPr>
            <w:r>
              <w:t xml:space="preserve">Date</w:t>
            </w:r>
          </w:p>
        </w:tc>
        <w:tc>
          <w:tcPr/>
          <w:p>
            <w:pPr>
              <w:pStyle w:val="Compact"/>
            </w:pPr>
            <w:r>
              <w:t xml:space="preserve">2026-10-23</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r>
        <w:tc>
          <w:tcPr/>
          <w:p>
            <w:pPr>
              <w:pStyle w:val="Compact"/>
            </w:pPr>
            <w:r>
              <w:t xml:space="preserve">#34</w:t>
            </w:r>
          </w:p>
        </w:tc>
        <w:tc>
          <w:tcPr/>
          <w:p>
            <w:pPr>
              <w:pStyle w:val="Compact"/>
            </w:pPr>
            <w:r>
              <w:t xml:space="preserve">2026-10-16</w:t>
            </w:r>
          </w:p>
        </w:tc>
        <w:tc>
          <w:tcPr/>
          <w:p>
            <w:pPr>
              <w:pStyle w:val="Compact"/>
            </w:pPr>
            <w:r>
              <w:t xml:space="preserve">Knowledge base: rulebook, generated schema reference, project history, progress log, Word and PDF copies</w:t>
            </w:r>
          </w:p>
        </w:tc>
        <w:tc>
          <w:tcPr/>
          <w:p>
            <w:pPr>
              <w:pStyle w:val="Compact"/>
            </w:pPr>
            <w:r>
              <w:t xml:space="preserve">One place for every rule and table, with proof and history.</w:t>
            </w:r>
          </w:p>
        </w:tc>
      </w:tr>
      <w:tr>
        <w:tc>
          <w:tcPr/>
          <w:p>
            <w:pPr>
              <w:pStyle w:val="Compact"/>
            </w:pPr>
            <w:r>
              <w:t xml:space="preserve">#35</w:t>
            </w:r>
          </w:p>
        </w:tc>
        <w:tc>
          <w:tcPr/>
          <w:p>
            <w:pPr>
              <w:pStyle w:val="Compact"/>
            </w:pPr>
            <w:r>
              <w:t xml:space="preserve">2026-10-19</w:t>
            </w:r>
          </w:p>
        </w:tc>
        <w:tc>
          <w:tcPr/>
          <w:p>
            <w:pPr>
              <w:pStyle w:val="Compact"/>
            </w:pPr>
            <w:r>
              <w:t xml:space="preserve">TallyPrime Edit Log checked like for like; seed case and test (no code change)</w:t>
            </w:r>
          </w:p>
        </w:tc>
        <w:tc>
          <w:tcPr/>
          <w:p>
            <w:pPr>
              <w:pStyle w:val="Compact"/>
            </w:pPr>
            <w:r>
              <w:t xml:space="preserve">Confirm the platform works unchanged on Edit Log.</w:t>
            </w:r>
          </w:p>
        </w:tc>
      </w:tr>
      <w:tr>
        <w:tc>
          <w:tcPr/>
          <w:p>
            <w:pPr>
              <w:pStyle w:val="Compact"/>
            </w:pPr>
            <w:r>
              <w:t xml:space="preserve">#36</w:t>
            </w:r>
          </w:p>
        </w:tc>
        <w:tc>
          <w:tcPr/>
          <w:p>
            <w:pPr>
              <w:pStyle w:val="Compact"/>
            </w:pPr>
            <w:r>
              <w:t xml:space="preserve">2026-10-19</w:t>
            </w:r>
          </w:p>
        </w:tc>
        <w:tc>
          <w:tcPr/>
          <w:p>
            <w:pPr>
              <w:pStyle w:val="Compact"/>
            </w:pPr>
            <w:r>
              <w:t xml:space="preserve">Security foundations: checks on every pull request, CLAUDE.md security checklist and report sections, threat model and security guide (SEC-009, ADR-039)</w:t>
            </w:r>
          </w:p>
        </w:tc>
        <w:tc>
          <w:tcPr/>
          <w:p>
            <w:pPr>
              <w:pStyle w:val="Compact"/>
            </w:pPr>
            <w:r>
              <w:t xml:space="preserve">Catch bugs, vulnerable dependencies, insecure code and secrets before merging, ahead of M5.</w:t>
            </w:r>
          </w:p>
        </w:tc>
      </w:tr>
      <w:tr>
        <w:tc>
          <w:tcPr/>
          <w:p>
            <w:pPr>
              <w:pStyle w:val="Compact"/>
            </w:pPr>
            <w:r>
              <w:t xml:space="preserve">#37 to #44</w:t>
            </w:r>
          </w:p>
        </w:tc>
        <w:tc>
          <w:tcPr/>
          <w:p>
            <w:pPr>
              <w:pStyle w:val="Compact"/>
            </w:pPr>
            <w:r>
              <w:t xml:space="preserve">2026-10-19 to 2026-10-22</w:t>
            </w:r>
          </w:p>
        </w:tc>
        <w:tc>
          <w:tcPr/>
          <w:p>
            <w:pPr>
              <w:pStyle w:val="Compact"/>
            </w:pPr>
            <w:r>
              <w:t xml:space="preserve">dev.ps1 tests on Windows in CI; A3 simplicity review (Tally connector, transform, validation and analyse, workers, scripts) with every result identical before and after; the review’s findings fixed</w:t>
            </w:r>
          </w:p>
        </w:tc>
        <w:tc>
          <w:tcPr/>
          <w:p>
            <w:pPr>
              <w:pStyle w:val="Compact"/>
            </w:pPr>
            <w:r>
              <w:t xml:space="preserve">Code the developer can fully understand; bugs found on the way fixed with tests.</w:t>
            </w:r>
          </w:p>
        </w:tc>
      </w:tr>
      <w:tr>
        <w:tc>
          <w:tcPr/>
          <w:p>
            <w:pPr>
              <w:pStyle w:val="Compact"/>
            </w:pPr>
            <w:r>
              <w:t xml:space="preserve">#45</w:t>
            </w:r>
          </w:p>
        </w:tc>
        <w:tc>
          <w:tcPr/>
          <w:p>
            <w:pPr>
              <w:pStyle w:val="Compact"/>
            </w:pPr>
            <w:r>
              <w:t xml:space="preserve">2026-10-22</w:t>
            </w:r>
          </w:p>
        </w:tc>
        <w:tc>
          <w:tcPr/>
          <w:p>
            <w:pPr>
              <w:pStyle w:val="Compact"/>
            </w:pPr>
            <w:r>
              <w:t xml:space="preserve">The source’s stock values and foreign-currency revaluations stored as source figures; Trial Balance, Profit &amp; Loss and Balance Sheet laid out as Tally’s and checked against its own reports line by line (ADR-040)</w:t>
            </w:r>
          </w:p>
        </w:tc>
        <w:tc>
          <w:tcPr/>
          <w:p>
            <w:pPr>
              <w:pStyle w:val="Compact"/>
            </w:pPr>
            <w:r>
              <w:t xml:space="preserve">Reports must equal Tally’s; recorded on the test company with integration on and off.</w:t>
            </w:r>
          </w:p>
        </w:tc>
      </w:tr>
      <w:tr>
        <w:tc>
          <w:tcPr/>
          <w:p>
            <w:pPr>
              <w:pStyle w:val="Compact"/>
            </w:pPr>
            <w:r>
              <w:t xml:space="preserve">#46</w:t>
            </w:r>
          </w:p>
        </w:tc>
        <w:tc>
          <w:tcPr/>
          <w:p>
            <w:pPr>
              <w:pStyle w:val="Compact"/>
            </w:pPr>
            <w:r>
              <w:t xml:space="preserve">2026-10-22</w:t>
            </w:r>
          </w:p>
        </w:tc>
        <w:tc>
          <w:tcPr/>
          <w:p>
            <w:pPr>
              <w:pStyle w:val="Compact"/>
            </w:pPr>
            <w:r>
              <w:t xml:space="preserve">Educational mode: year-end checks on the 31st or the 2nd, never the 1st (ADR-032 amended)</w:t>
            </w:r>
          </w:p>
        </w:tc>
        <w:tc>
          <w:tcPr/>
          <w:p>
            <w:pPr>
              <w:pStyle w:val="Compact"/>
            </w:pPr>
            <w:r>
              <w:t xml:space="preserve">Tally’s computed profit on the 1st disagrees with its ledgers.</w:t>
            </w:r>
          </w:p>
        </w:tc>
      </w:tr>
      <w:tr>
        <w:tc>
          <w:tcPr/>
          <w:p>
            <w:pPr>
              <w:pStyle w:val="Compact"/>
            </w:pPr>
            <w:r>
              <w:t xml:space="preserve">#47</w:t>
            </w:r>
          </w:p>
        </w:tc>
        <w:tc>
          <w:tcPr/>
          <w:p>
            <w:pPr>
              <w:pStyle w:val="Compact"/>
            </w:pPr>
            <w:r>
              <w:t xml:space="preserve">2026-10-23</w:t>
            </w:r>
          </w:p>
        </w:tc>
        <w:tc>
          <w:tcPr/>
          <w:p>
            <w:pPr>
              <w:pStyle w:val="Compact"/>
            </w:pPr>
            <w:r>
              <w:t xml:space="preserve">Direct Expenses inside Cost of Sales; the Trial Balance’s forex line split into losses and gains; a pilot-safe summary of statement differences</w:t>
            </w:r>
          </w:p>
        </w:tc>
        <w:tc>
          <w:tcPr/>
          <w:p>
            <w:pPr>
              <w:pStyle w:val="Compact"/>
            </w:pPr>
            <w:r>
              <w:t xml:space="preserve">The pilot’s statement check failed on both companies (ledger checks all passing).</w:t>
            </w:r>
          </w:p>
        </w:tc>
      </w:tr>
      <w:tr>
        <w:tc>
          <w:tcPr/>
          <w:p>
            <w:pPr>
              <w:pStyle w:val="Compact"/>
            </w:pPr>
            <w:r>
              <w:t xml:space="preserve">#57</w:t>
            </w:r>
          </w:p>
        </w:tc>
        <w:tc>
          <w:tcPr/>
          <w:p>
            <w:pPr>
              <w:pStyle w:val="Compact"/>
            </w:pPr>
            <w:r>
              <w:t xml:space="preserve">2026-10-29</w:t>
            </w:r>
          </w:p>
        </w:tc>
        <w:tc>
          <w:tcPr/>
          <w:p>
            <w:pPr>
              <w:pStyle w:val="Compact"/>
            </w:pPr>
            <w:r>
              <w:t xml:space="preserve">Monthly sales views over the source’s own Sales Accounts group, a ready-to-run pivot, and their proof against Tally’s Sales Accounts line between the stored statement dates (RPT-013, ADR-047)</w:t>
            </w:r>
          </w:p>
        </w:tc>
        <w:tc>
          <w:tcPr/>
          <w:p>
            <w:pPr>
              <w:pStyle w:val="Compact"/>
            </w:pPr>
            <w:r>
              <w:t xml:space="preserve">Accountants built the report by hand and missed debit notes and journals posting to sales ledgers.</w:t>
            </w:r>
          </w:p>
        </w:tc>
      </w:tr>
      <w:tr>
        <w:tc>
          <w:tcPr/>
          <w:p>
            <w:pPr>
              <w:pStyle w:val="Compact"/>
            </w:pPr>
            <w:r>
              <w:t xml:space="preserve">#58</w:t>
            </w:r>
          </w:p>
        </w:tc>
        <w:tc>
          <w:tcPr/>
          <w:p>
            <w:pPr>
              <w:pStyle w:val="Compact"/>
            </w:pPr>
            <w:r>
              <w:t xml:space="preserve">2026-10-30</w:t>
            </w:r>
          </w:p>
        </w:tc>
        <w:tc>
          <w:tcPr/>
          <w:p>
            <w:pPr>
              <w:pStyle w:val="Compact"/>
            </w:pPr>
            <w:r>
              <w:t xml:space="preserve">Cost of Sales without stock; each ledger’s own currency (migration 0022) and</w:t>
            </w:r>
            <w:r>
              <w:t xml:space="preserve"> </w:t>
            </w:r>
            <w:r>
              <w:rPr>
                <w:rStyle w:val="VerbatimChar"/>
              </w:rPr>
              <w:t xml:space="preserve">validate currencies</w:t>
            </w:r>
            <w:r>
              <w:t xml:space="preserve">; LB-VAL-028 not raised by a rebuild’s own validation</w:t>
            </w:r>
          </w:p>
        </w:tc>
        <w:tc>
          <w:tcPr/>
          <w:p>
            <w:pPr>
              <w:pStyle w:val="Compact"/>
            </w:pPr>
            <w:r>
              <w:t xml:space="preserve">Six-company pilot: four companies’ Profit &amp; Loss lost Cost of Sales where stock was zero; every ledger was INR.</w:t>
            </w:r>
          </w:p>
        </w:tc>
      </w:tr>
      <w:tr>
        <w:tc>
          <w:tcPr/>
          <w:p>
            <w:pPr>
              <w:pStyle w:val="Compact"/>
            </w:pPr>
            <w:r>
              <w:t xml:space="preserve">fix/voucher-type-names-in-counts</w:t>
            </w:r>
          </w:p>
        </w:tc>
        <w:tc>
          <w:tcPr/>
          <w:p>
            <w:pPr>
              <w:pStyle w:val="Compact"/>
            </w:pPr>
            <w:r>
              <w:t xml:space="preserve">2026-10-30</w:t>
            </w:r>
          </w:p>
        </w:tc>
        <w:tc>
          <w:tcPr/>
          <w:p>
            <w:pPr>
              <w:pStyle w:val="Compact"/>
            </w:pPr>
            <w:r>
              <w:t xml:space="preserve">Voucher counts match the source’s voucher type names by the name rules (LB-VAL-036)</w:t>
            </w:r>
          </w:p>
        </w:tc>
        <w:tc>
          <w:tcPr/>
          <w:p>
            <w:pPr>
              <w:pStyle w:val="Compact"/>
            </w:pPr>
            <w:r>
              <w:t xml:space="preserve">Six-company pilot: after the statement fix every company failed the voucher count check: Tally’s counts wrote one Credit Note type’s name with one space where it has two.</w:t>
            </w:r>
          </w:p>
        </w:tc>
      </w:tr>
      <w:tr>
        <w:tc>
          <w:tcPr/>
          <w:p>
            <w:pPr>
              <w:pStyle w:val="Compact"/>
            </w:pPr>
            <w:r>
              <w:t xml:space="preserve">#56</w:t>
            </w:r>
          </w:p>
        </w:tc>
        <w:tc>
          <w:tcPr/>
          <w:p>
            <w:pPr>
              <w:pStyle w:val="Compact"/>
            </w:pPr>
            <w:r>
              <w:t xml:space="preserve">2026-10-26</w:t>
            </w:r>
          </w:p>
        </w:tc>
        <w:tc>
          <w:tcPr/>
          <w:p>
            <w:pPr>
              <w:pStyle w:val="Compact"/>
            </w:pPr>
            <w:r>
              <w:t xml:space="preserve">The fx-rules finder in three parts; a validation older than the data needs action (LB-VAL-027, LB-VAL-028)</w:t>
            </w:r>
          </w:p>
        </w:tc>
        <w:tc>
          <w:tcPr/>
          <w:p>
            <w:pPr>
              <w:pStyle w:val="Compact"/>
            </w:pPr>
            <w:r>
              <w:t xml:space="preserve">ADR-043’s time-boxed last round; the pilot’s report hid a validation that couldn’t run.</w:t>
            </w:r>
          </w:p>
        </w:tc>
      </w:tr>
      <w:tr>
        <w:tc>
          <w:tcPr/>
          <w:p>
            <w:pPr>
              <w:pStyle w:val="Compact"/>
            </w:pPr>
            <w:r>
              <w:t xml:space="preserve">#55</w:t>
            </w:r>
          </w:p>
        </w:tc>
        <w:tc>
          <w:tcPr/>
          <w:p>
            <w:pPr>
              <w:pStyle w:val="Compact"/>
            </w:pPr>
            <w:r>
              <w:t xml:space="preserve">2026-10-24</w:t>
            </w:r>
          </w:p>
        </w:tc>
        <w:tc>
          <w:tcPr/>
          <w:p>
            <w:pPr>
              <w:pStyle w:val="Compact"/>
            </w:pPr>
            <w:r>
              <w:t xml:space="preserve">Foreign currency beside the books (currency, rate, foreign openings, currency masters, rates), the base check after a rebuild, the fx-rules finder (ADR-046)</w:t>
            </w:r>
          </w:p>
        </w:tc>
        <w:tc>
          <w:tcPr/>
          <w:p>
            <w:pPr>
              <w:pStyle w:val="Compact"/>
            </w:pPr>
            <w:r>
              <w:t xml:space="preserve">A5 before M5; find the rule behind ADR-043’s stopgap from the pilot’s own data.</w:t>
            </w:r>
          </w:p>
        </w:tc>
      </w:tr>
      <w:tr>
        <w:tc>
          <w:tcPr/>
          <w:p>
            <w:pPr>
              <w:pStyle w:val="Compact"/>
            </w:pPr>
            <w:r>
              <w:t xml:space="preserve">#54</w:t>
            </w:r>
          </w:p>
        </w:tc>
        <w:tc>
          <w:tcPr/>
          <w:p>
            <w:pPr>
              <w:pStyle w:val="Compact"/>
            </w:pPr>
            <w:r>
              <w:t xml:space="preserve">2026-10-24</w:t>
            </w:r>
          </w:p>
        </w:tc>
        <w:tc>
          <w:tcPr/>
          <w:p>
            <w:pPr>
              <w:pStyle w:val="Compact"/>
            </w:pPr>
            <w:r>
              <w:t xml:space="preserve">Images stamped with their commit; the pilot refuses other code (ADR-045)</w:t>
            </w:r>
          </w:p>
        </w:tc>
        <w:tc>
          <w:tcPr/>
          <w:p>
            <w:pPr>
              <w:pStyle w:val="Compact"/>
            </w:pPr>
            <w:r>
              <w:t xml:space="preserve">Pilot ran an old image after an update.</w:t>
            </w:r>
          </w:p>
        </w:tc>
      </w:tr>
      <w:tr>
        <w:tc>
          <w:tcPr/>
          <w:p>
            <w:pPr>
              <w:pStyle w:val="Compact"/>
            </w:pPr>
            <w:r>
              <w:t xml:space="preserve">fix/verdicts-alerts-open-items</w:t>
            </w:r>
          </w:p>
        </w:tc>
        <w:tc>
          <w:tcPr/>
          <w:p>
            <w:pPr>
              <w:pStyle w:val="Compact"/>
            </w:pPr>
            <w:r>
              <w:t xml:space="preserve">2026-10-24</w:t>
            </w:r>
          </w:p>
        </w:tc>
        <w:tc>
          <w:tcPr/>
          <w:p>
            <w:pPr>
              <w:pStyle w:val="Compact"/>
            </w:pPr>
            <w:r>
              <w:t xml:space="preserve">Verdicts and exit codes, open items, alert reasons (migration 0019), pilot backups (ADR-044)</w:t>
            </w:r>
          </w:p>
        </w:tc>
        <w:tc>
          <w:tcPr/>
          <w:p>
            <w:pPr>
              <w:pStyle w:val="Compact"/>
            </w:pPr>
            <w:r>
              <w:t xml:space="preserve">Pilot: warnings read as needing action, report exited 1, a stale alert.</w:t>
            </w:r>
          </w:p>
        </w:tc>
      </w:tr>
      <w:tr>
        <w:tc>
          <w:tcPr/>
          <w:p>
            <w:pPr>
              <w:pStyle w:val="Compact"/>
            </w:pPr>
            <w:r>
              <w:t xml:space="preserve">#51</w:t>
            </w:r>
          </w:p>
        </w:tc>
        <w:tc>
          <w:tcPr/>
          <w:p>
            <w:pPr>
              <w:pStyle w:val="Compact"/>
            </w:pPr>
            <w:r>
              <w:t xml:space="preserve">2026-10-24</w:t>
            </w:r>
          </w:p>
        </w:tc>
        <w:tc>
          <w:tcPr/>
          <w:p>
            <w:pPr>
              <w:pStyle w:val="Compact"/>
            </w:pPr>
            <w:r>
              <w:t xml:space="preserve">Open differences under their own heading; an alert without a company resolved</w:t>
            </w:r>
          </w:p>
        </w:tc>
        <w:tc>
          <w:tcPr/>
          <w:p>
            <w:pPr>
              <w:pStyle w:val="Compact"/>
            </w:pPr>
            <w:r>
              <w:t xml:space="preserve">Pilot output.</w:t>
            </w:r>
          </w:p>
        </w:tc>
      </w:tr>
      <w:tr>
        <w:tc>
          <w:tcPr/>
          <w:p>
            <w:pPr>
              <w:pStyle w:val="Compact"/>
            </w:pPr>
            <w:r>
              <w:t xml:space="preserve">#50</w:t>
            </w:r>
          </w:p>
        </w:tc>
        <w:tc>
          <w:tcPr/>
          <w:p>
            <w:pPr>
              <w:pStyle w:val="Compact"/>
            </w:pPr>
            <w:r>
              <w:t xml:space="preserve">2026-10-24</w:t>
            </w:r>
          </w:p>
        </w:tc>
        <w:tc>
          <w:tcPr/>
          <w:p>
            <w:pPr>
              <w:pStyle w:val="Compact"/>
            </w:pPr>
            <w:r>
              <w:t xml:space="preserve">The Balance Sheet stock fallback retired</w:t>
            </w:r>
          </w:p>
        </w:tc>
        <w:tc>
          <w:tcPr/>
          <w:p>
            <w:pPr>
              <w:pStyle w:val="Compact"/>
            </w:pPr>
            <w:r>
              <w:t xml:space="preserve">Ours matched the pilot at every date.</w:t>
            </w:r>
          </w:p>
        </w:tc>
      </w:tr>
      <w:tr>
        <w:tc>
          <w:tcPr/>
          <w:p>
            <w:pPr>
              <w:pStyle w:val="Compact"/>
            </w:pPr>
            <w:r>
              <w:t xml:space="preserve">#49</w:t>
            </w:r>
          </w:p>
        </w:tc>
        <w:tc>
          <w:tcPr/>
          <w:p>
            <w:pPr>
              <w:pStyle w:val="Compact"/>
            </w:pPr>
            <w:r>
              <w:t xml:space="preserve">2026-10-24</w:t>
            </w:r>
          </w:p>
        </w:tc>
        <w:tc>
          <w:tcPr/>
          <w:p>
            <w:pPr>
              <w:pStyle w:val="Compact"/>
            </w:pPr>
            <w:r>
              <w:t xml:space="preserve">Temporary stopgap: Current Assets taken from Tally where ours differs at dates Tally shows its forex line, with a reconciling line; open differences reported (LB-VAL-026), the view</w:t>
            </w:r>
            <w:r>
              <w:t xml:space="preserve"> </w:t>
            </w:r>
            <w:r>
              <w:rPr>
                <w:rStyle w:val="VerbatimChar"/>
              </w:rPr>
              <w:t xml:space="preserve">v_statement_open_differences</w:t>
            </w:r>
            <w:r>
              <w:t xml:space="preserve"> </w:t>
            </w:r>
            <w:r>
              <w:t xml:space="preserve">(ADR-043)</w:t>
            </w:r>
          </w:p>
        </w:tc>
        <w:tc>
          <w:tcPr/>
          <w:p>
            <w:pPr>
              <w:pStyle w:val="Compact"/>
            </w:pPr>
            <w:r>
              <w:t xml:space="preserve">Entity 1 differed at 18 of 78 dates with no rule found.</w:t>
            </w:r>
          </w:p>
        </w:tc>
      </w:tr>
      <w:tr>
        <w:tc>
          <w:tcPr/>
          <w:p>
            <w:pPr>
              <w:pStyle w:val="Compact"/>
            </w:pPr>
            <w:r>
              <w:t xml:space="preserve">#48</w:t>
            </w:r>
          </w:p>
        </w:tc>
        <w:tc>
          <w:tcPr/>
          <w:p>
            <w:pPr>
              <w:pStyle w:val="Compact"/>
            </w:pPr>
            <w:r>
              <w:t xml:space="preserve">2026-10-24</w:t>
            </w:r>
          </w:p>
        </w:tc>
        <w:tc>
          <w:tcPr/>
          <w:p>
            <w:pPr>
              <w:pStyle w:val="Compact"/>
            </w:pPr>
            <w:r>
              <w:t xml:space="preserve">The expected company guard (LB-SYNC-011, ADR-041); Trial Balance netting (ADR-042); the test company across a year end; stock ledgers at the source’s stock in both settings; lines taken from the source where no rule is known (ADR-043)</w:t>
            </w:r>
          </w:p>
        </w:tc>
        <w:tc>
          <w:tcPr/>
          <w:p>
            <w:pPr>
              <w:pStyle w:val="Compact"/>
            </w:pPr>
            <w:r>
              <w:t xml:space="preserve">Finish statement matching for both pilot companies.</w:t>
            </w:r>
          </w:p>
        </w:tc>
      </w:tr>
      <w:tr>
        <w:tc>
          <w:tcPr/>
          <w:p>
            <w:pPr>
              <w:pStyle w:val="Compact"/>
            </w:pPr>
            <w:r>
              <w:t xml:space="preserve">#48</w:t>
            </w:r>
          </w:p>
        </w:tc>
        <w:tc>
          <w:tcPr/>
          <w:p>
            <w:pPr>
              <w:pStyle w:val="Compact"/>
            </w:pPr>
            <w:r>
              <w:t xml:space="preserve">2026-10-24</w:t>
            </w:r>
          </w:p>
        </w:tc>
        <w:tc>
          <w:tcPr/>
          <w:p>
            <w:pPr>
              <w:pStyle w:val="Compact"/>
            </w:pPr>
            <w:r>
              <w:t xml:space="preserve">More tested amounts in the summary (netted split, other stock figures, foreign-currency openings); the report blames the layout when every ledger check passes</w:t>
            </w:r>
          </w:p>
        </w:tc>
        <w:tc>
          <w:tcPr/>
          <w:p>
            <w:pPr>
              <w:pStyle w:val="Compact"/>
            </w:pPr>
            <w:r>
              <w:t xml:space="preserve">The pilot’s remaining statement differences.</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r>
        <w:tc>
          <w:tcPr/>
          <w:p>
            <w:pPr>
              <w:pStyle w:val="Compact"/>
            </w:pPr>
            <w:r>
              <w:t xml:space="preserve">Statements differing at every date (Profit &amp; Loss 2 lines, Trial Balance 4)</w:t>
            </w:r>
          </w:p>
        </w:tc>
        <w:tc>
          <w:tcPr/>
          <w:p>
            <w:pPr>
              <w:pStyle w:val="Compact"/>
            </w:pPr>
            <w:r>
              <w:t xml:space="preserve">Tally puts Direct Expenses inside Cost of Sales and shows forex losses and gains in separate columns</w:t>
            </w:r>
          </w:p>
        </w:tc>
        <w:tc>
          <w:tcPr/>
          <w:p>
            <w:pPr>
              <w:pStyle w:val="Compact"/>
            </w:pPr>
            <w:r>
              <w:t xml:space="preserve">Same layout, recorded on the seeded test company</w:t>
            </w:r>
          </w:p>
        </w:tc>
        <w:tc>
          <w:tcPr/>
          <w:p>
            <w:pPr>
              <w:pStyle w:val="Compact"/>
            </w:pPr>
            <w:r>
              <w:t xml:space="preserve">#47</w:t>
            </w:r>
          </w:p>
        </w:tc>
      </w:tr>
    </w:tbl>
    <w:bookmarkEnd w:id="25"/>
    <w:bookmarkStart w:id="27"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 From 2026-10-24 its books begin on 1 April 2025 (a year end on 31 March 2026): 278 checks, statements equal at all 18 month ends.</w:t>
      </w:r>
    </w:p>
    <w:p>
      <w:pPr>
        <w:pStyle w:val="Compact"/>
        <w:numPr>
          <w:ilvl w:val="0"/>
          <w:numId w:val="1001"/>
        </w:numPr>
      </w:pPr>
      <w:r>
        <w:rPr>
          <w:b/>
          <w:bCs/>
        </w:rPr>
        <w:t xml:space="preserve">Statements (after PR #45, 2026-10-23):</w:t>
      </w:r>
      <w:r>
        <w:t xml:space="preserve"> </w:t>
      </w:r>
      <w:r>
        <w:t xml:space="preserve">every ledger-level check passed on both companies; only the statement check failed: entity 2 (integrated) 6 lines at every date before its first year end, 10 at the year end and the next date, 8 after; entity 1 (not integrated, foreign-currency customers) about 10 at every date. The steady part was the Cost of Sales and forex layout (fix/statement-layout); the year-end part is to be read from the new summary.</w:t>
      </w:r>
    </w:p>
    <w:bookmarkStart w:id="26" w:name="tallyprime-edit-log-2026-10-19"/>
    <w:p>
      <w:pPr>
        <w:pStyle w:val="Heading3"/>
      </w:pPr>
      <w:r>
        <w:t xml:space="preserve">TallyPrime Edit Log (2026-10-19)</w:t>
      </w:r>
    </w:p>
    <w:p>
      <w:pPr>
        <w:pStyle w:val="FirstParagraph"/>
      </w:pPr>
      <w:r>
        <w:t xml:space="preserve">The test company was opened in TallyPrime Edit Log (migrated, same GUID). Every export the sync and validation use was identical to TallyPrime’s in fields, formats and values; an alteration leaves no edit history in the XML export, only a filled</w:t>
      </w:r>
      <w:r>
        <w:t xml:space="preserve"> </w:t>
      </w:r>
      <w:r>
        <w:rPr>
          <w:rStyle w:val="VerbatimChar"/>
        </w:rPr>
        <w:t xml:space="preserve">UPDATEDDATETIME</w:t>
      </w:r>
      <w:r>
        <w:t xml:space="preserve"> </w:t>
      </w:r>
      <w:r>
        <w:t xml:space="preserve">(not fetched). Full sync, validation (105 checks) and the report passed with no code change. A first attempt opened an empty new company of the same name (a different GUID, with job work, cost centres and reversing journals off): nothing was written to it.</w:t>
      </w:r>
    </w:p>
    <w:bookmarkEnd w:id="26"/>
    <w:bookmarkEnd w:id="27"/>
    <w:bookmarkStart w:id="28"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8"/>
    <w:bookmarkStart w:id="29"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Long field paths</w:t>
            </w:r>
          </w:p>
        </w:tc>
        <w:tc>
          <w:tcPr/>
          <w:p>
            <w:pPr>
              <w:pStyle w:val="Compact"/>
            </w:pPr>
            <w:r>
              <w:t xml:space="preserve">The field catalogue keys a field by its path cut to 255 characters, so two paths differing only after that are counted as one (values are unaffected). Left until such paths appear; the fix is a schema change (rulebook Section 12).</w:t>
            </w:r>
          </w:p>
        </w:tc>
      </w:tr>
      <w:tr>
        <w:tc>
          <w:tcPr/>
          <w:p>
            <w:pPr>
              <w:pStyle w:val="Compact"/>
            </w:pPr>
            <w:r>
              <w:t xml:space="preserve">Forex revaluation rule (ADR-043)</w:t>
            </w:r>
          </w:p>
        </w:tc>
        <w:tc>
          <w:tcPr/>
          <w:p>
            <w:pPr>
              <w:pStyle w:val="Compact"/>
            </w:pPr>
            <w:r>
              <w:t xml:space="preserve">Entity 1’s Current Assets is taken from Tally at 18 dates (open differences, LB-VAL-026) until the rule Tally’s Balance Sheet revalues by is found; read-only checks in the client’s Tally pending.</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9"/>
    <w:bookmarkStart w:id="30"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1.4</w:t>
            </w:r>
          </w:p>
        </w:tc>
        <w:tc>
          <w:tcPr/>
          <w:p>
            <w:pPr>
              <w:pStyle w:val="Compact"/>
            </w:pPr>
            <w:r>
              <w:t xml:space="preserve">PRs #45 and #46; the statement layout fixes and the pilot-safe summary; long field paths.</w:t>
            </w:r>
          </w:p>
        </w:tc>
      </w:tr>
      <w:tr>
        <w:tc>
          <w:tcPr/>
          <w:p>
            <w:pPr>
              <w:pStyle w:val="Compact"/>
            </w:pPr>
            <w:r>
              <w:t xml:space="preserve">2026-10-22</w:t>
            </w:r>
          </w:p>
        </w:tc>
        <w:tc>
          <w:tcPr/>
          <w:p>
            <w:pPr>
              <w:pStyle w:val="Compact"/>
            </w:pPr>
            <w:r>
              <w:t xml:space="preserve">1.3</w:t>
            </w:r>
          </w:p>
        </w:tc>
        <w:tc>
          <w:tcPr/>
          <w:p>
            <w:pPr>
              <w:pStyle w:val="Compact"/>
            </w:pPr>
            <w:r>
              <w:t xml:space="preserve">PRs #37 to #44; statements from the source’s own figures.</w:t>
            </w:r>
          </w:p>
        </w:tc>
      </w:tr>
      <w:tr>
        <w:tc>
          <w:tcPr/>
          <w:p>
            <w:pPr>
              <w:pStyle w:val="Compact"/>
            </w:pPr>
            <w:r>
              <w:t xml:space="preserve">2026-10-19</w:t>
            </w:r>
          </w:p>
        </w:tc>
        <w:tc>
          <w:tcPr/>
          <w:p>
            <w:pPr>
              <w:pStyle w:val="Compact"/>
            </w:pPr>
            <w:r>
              <w:t xml:space="preserve">1.2</w:t>
            </w:r>
          </w:p>
        </w:tc>
        <w:tc>
          <w:tcPr/>
          <w:p>
            <w:pPr>
              <w:pStyle w:val="Compact"/>
            </w:pPr>
            <w:r>
              <w:t xml:space="preserve">PRs #34 to #36; security foundations.</w:t>
            </w:r>
          </w:p>
        </w:tc>
      </w:tr>
      <w:tr>
        <w:tc>
          <w:tcPr/>
          <w:p>
            <w:pPr>
              <w:pStyle w:val="Compact"/>
            </w:pPr>
            <w:r>
              <w:t xml:space="preserve">2026-10-19</w:t>
            </w:r>
          </w:p>
        </w:tc>
        <w:tc>
          <w:tcPr/>
          <w:p>
            <w:pPr>
              <w:pStyle w:val="Compact"/>
            </w:pPr>
            <w:r>
              <w:t xml:space="preserve">1.1</w:t>
            </w:r>
          </w:p>
        </w:tc>
        <w:tc>
          <w:tcPr/>
          <w:p>
            <w:pPr>
              <w:pStyle w:val="Compact"/>
            </w:pPr>
            <w:r>
              <w:t xml:space="preserve">TallyPrime Edit Log check.</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2026-10-30T09:18:06Z</dcterms:created>
  <dcterms:modified xsi:type="dcterms:W3CDTF">2026-10-30T09:18:06Z</dcterms:modified>
</cp:coreProperties>
</file>

<file path=docProps/custom.xml><?xml version="1.0" encoding="utf-8"?>
<Properties xmlns="http://schemas.openxmlformats.org/officeDocument/2006/custom-properties" xmlns:vt="http://schemas.openxmlformats.org/officeDocument/2006/docPropsVTypes"/>
</file>