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1.13</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was taken from the source until the pilot matched at every date with ours (retired 2026-10-24).</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rPr>
                <w:b/>
                <w:bCs/>
              </w:rPr>
              <w:t xml:space="preserve">Temporary stopgap:</w:t>
            </w:r>
            <w:r>
              <w:t xml:space="preserve"> </w:t>
            </w:r>
            <w:r>
              <w:t xml:space="preserve">a group line holding foreign-currency ledgers (Trial Balance and Balance Sheet; e.g. Current Assets)</w:t>
            </w:r>
          </w:p>
        </w:tc>
        <w:tc>
          <w:tcPr/>
          <w:p>
            <w:pPr>
              <w:pStyle w:val="Compact"/>
            </w:pPr>
            <w:r>
              <w:t xml:space="preserve">only at dates where the source shows its Unadjusted Forex Gain/Loss line and ours differs from the source’s by more than the tolerance; ours at every other date</w:t>
            </w:r>
          </w:p>
        </w:tc>
        <w:tc>
          <w:tcPr/>
          <w:p>
            <w:pPr>
              <w:pStyle w:val="Compact"/>
            </w:pPr>
            <w:r>
              <w:t xml:space="preserve">Pilot entity 1 (2026-10-24): Current Assets differed at 18 of 78 dates, by no single ledger’s revaluation nor a fixed mix of them (the revalued figure Tally’s Balance Sheet uses isn’t its ledger-balance export’s). A detail line</w:t>
            </w:r>
            <w:r>
              <w:t xml:space="preserve"> </w:t>
            </w:r>
            <w:r>
              <w:t xml:space="preserve">“Forex revaluation difference (per Tally, under review)”</w:t>
            </w:r>
            <w:r>
              <w:t xml:space="preserve"> </w:t>
            </w:r>
            <w:r>
              <w:t xml:space="preserve">makes the ledgers plus it equal the group’s total.</w:t>
            </w:r>
            <w:r>
              <w:t xml:space="preserve"> </w:t>
            </w:r>
            <w:r>
              <w:rPr>
                <w:b/>
                <w:bCs/>
              </w:rPr>
              <w:t xml:space="preserve">Exit:</w:t>
            </w:r>
            <w:r>
              <w:t xml:space="preserve"> </w:t>
            </w:r>
            <w:r>
              <w:t xml:space="preserve">replace with the computed figure once the revaluation rule is found.</w:t>
            </w:r>
          </w:p>
        </w:tc>
      </w:tr>
    </w:tbl>
    <w:p>
      <w:pPr>
        <w:numPr>
          <w:ilvl w:val="0"/>
          <w:numId w:val="1038"/>
        </w:numPr>
      </w:pPr>
      <w:r>
        <w:rPr>
          <w:b/>
          <w:bCs/>
        </w:rPr>
        <w:t xml:space="preserve">“Differs”</w:t>
      </w:r>
      <w:r>
        <w:rPr>
          <w:b/>
          <w:bCs/>
        </w:rPr>
        <w:t xml:space="preserve">:</w:t>
      </w:r>
      <w:r>
        <w:t xml:space="preserve"> </w:t>
      </w:r>
      <w:r>
        <w:t xml:space="preserve">by more than the validation tolerance, the same as the comparison’s:</w:t>
      </w:r>
      <w:r>
        <w:t xml:space="preserve"> </w:t>
      </w:r>
      <w:r>
        <w:rPr>
          <w:rStyle w:val="VerbatimChar"/>
        </w:rPr>
        <w:t xml:space="preserve">connections.config.validation_tolerance</w:t>
      </w:r>
      <w:r>
        <w:t xml:space="preserve">, else</w:t>
      </w:r>
      <w:r>
        <w:t xml:space="preserve"> </w:t>
      </w:r>
      <w:r>
        <w:rPr>
          <w:rStyle w:val="VerbatimChar"/>
        </w:rPr>
        <w:t xml:space="preserve">VALIDATION_TOLERANCE</w:t>
      </w:r>
      <w:r>
        <w:t xml:space="preserve">, default 0 (exact). A trial balance line differs when its debit or its credit does.</w:t>
      </w:r>
    </w:p>
    <w:p>
      <w:pPr>
        <w:numPr>
          <w:ilvl w:val="0"/>
          <w:numId w:val="1038"/>
        </w:numPr>
      </w:pPr>
      <w:r>
        <w:rPr>
          <w:b/>
          <w:bCs/>
        </w:rPr>
        <w:t xml:space="preserve">Open differences, not passes:</w:t>
      </w:r>
      <w:r>
        <w:t xml:space="preserve"> </w:t>
      </w:r>
      <w:r>
        <w:t xml:space="preserve">every date where a taken line differs from ours computed is a warning,</w:t>
      </w:r>
      <w:r>
        <w:t xml:space="preserve"> </w:t>
      </w:r>
      <w:r>
        <w:t xml:space="preserve">“Statement line taken from the source (open difference)”</w:t>
      </w:r>
      <w:r>
        <w:t xml:space="preserve"> </w:t>
      </w:r>
      <w:r>
        <w:t xml:space="preserve">(LB-VAL-026): not counted as passed, not a failure. Validation then reports OK with warnings and exits 0; the summary gives one line per statement line with its number of dates;</w:t>
      </w:r>
      <w:r>
        <w:t xml:space="preserve"> </w:t>
      </w:r>
      <w:r>
        <w:rPr>
          <w:rStyle w:val="VerbatimChar"/>
        </w:rPr>
        <w:t xml:space="preserve">ledgerbridge_reporting.v_statement_open_differences</w:t>
      </w:r>
      <w:r>
        <w:t xml:space="preserve"> </w:t>
      </w:r>
      <w:r>
        <w:t xml:space="preserve">lists every date (any difference above zero).</w:t>
      </w:r>
    </w:p>
    <w:p>
      <w:pPr>
        <w:numPr>
          <w:ilvl w:val="0"/>
          <w:numId w:val="1038"/>
        </w:numPr>
      </w:pPr>
      <w:r>
        <w:rPr>
          <w:b/>
          <w:bCs/>
        </w:rPr>
        <w:t xml:space="preserve">One number:</w:t>
      </w:r>
      <w:r>
        <w:t xml:space="preserve"> </w:t>
      </w:r>
      <w:r>
        <w:t xml:space="preserve">reports and the AI read the statement views’</w:t>
      </w:r>
      <w:r>
        <w:t xml:space="preserve"> </w:t>
      </w:r>
      <w:r>
        <w:rPr>
          <w:rStyle w:val="VerbatimChar"/>
        </w:rPr>
        <w:t xml:space="preserve">main</w:t>
      </w:r>
      <w:r>
        <w:t xml:space="preserve"> </w:t>
      </w:r>
      <w:r>
        <w:t xml:space="preserve">lines; detail lines (ours computed, the reconciling line, notes) explain them.</w:t>
      </w:r>
    </w:p>
    <w:p>
      <w:pPr>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Figures.foreign_group_from_source</w:t>
      </w:r>
      <w:r>
        <w:t xml:space="preserve">,</w:t>
      </w:r>
      <w:r>
        <w:t xml:space="preserve"> </w:t>
      </w:r>
      <w:r>
        <w:rPr>
          <w:rStyle w:val="VerbatimChar"/>
        </w:rPr>
        <w:t xml:space="preserve">_group_line</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foreign-currency-beside-the-books"/>
    <w:p>
      <w:pPr>
        <w:pStyle w:val="Heading2"/>
      </w:pPr>
      <w:r>
        <w:t xml:space="preserve">18. Foreign currency beside the books</w:t>
      </w:r>
    </w:p>
    <w:p>
      <w:pPr>
        <w:pStyle w:val="Compact"/>
        <w:numPr>
          <w:ilvl w:val="0"/>
          <w:numId w:val="1040"/>
        </w:numPr>
      </w:pPr>
      <w:r>
        <w:rPr>
          <w:b/>
          <w:bCs/>
        </w:rPr>
        <w:t xml:space="preserve">What:</w:t>
      </w:r>
      <w:r>
        <w:t xml:space="preserve"> </w:t>
      </w:r>
      <w:r>
        <w:t xml:space="preserve">a foreign-currency amount is written</w:t>
      </w:r>
      <w:r>
        <w:t xml:space="preserve"> </w:t>
      </w:r>
      <w:r>
        <w:rPr>
          <w:rStyle w:val="VerbatimChar"/>
        </w:rPr>
        <w:t xml:space="preserve">-$100.00 @ ₹82.00/$ = -₹8200.00</w:t>
      </w:r>
      <w:r>
        <w:t xml:space="preserve"> </w:t>
      </w:r>
      <w:r>
        <w:t xml:space="preserve">(the rupee sign exported as</w:t>
      </w:r>
      <w:r>
        <w:t xml:space="preserve"> </w:t>
      </w:r>
      <w:r>
        <w:rPr>
          <w:rStyle w:val="VerbatimChar"/>
        </w:rPr>
        <w:t xml:space="preserve">?</w:t>
      </w:r>
      <w:r>
        <w:t xml:space="preserve">): the base amount after</w:t>
      </w:r>
      <w:r>
        <w:t xml:space="preserve"> </w:t>
      </w:r>
      <w:r>
        <w:rPr>
          <w:rStyle w:val="VerbatimChar"/>
        </w:rPr>
        <w:t xml:space="preserve">=</w:t>
      </w:r>
      <w:r>
        <w:t xml:space="preserve"> </w:t>
      </w:r>
      <w:r>
        <w:t xml:space="preserve">stays the books’ figure; the currency (</w:t>
      </w:r>
      <w:r>
        <w:rPr>
          <w:rStyle w:val="VerbatimChar"/>
        </w:rPr>
        <w:t xml:space="preserve">$</w:t>
      </w:r>
      <w:r>
        <w:t xml:space="preserve">), the foreign amount and the rate (₹ per unit) are kept beside it, on voucher lines and on ledger openings. A ledger’s own currency is Tally’s CURRENCYNAME, mapped to an ISO code through the currency masters (</w:t>
      </w:r>
      <w:r>
        <w:rPr>
          <w:rStyle w:val="VerbatimChar"/>
        </w:rPr>
        <w:t xml:space="preserve">EXPANDEDSYMBOL</w:t>
      </w:r>
      <w:r>
        <w:t xml:space="preserve">, else</w:t>
      </w:r>
      <w:r>
        <w:t xml:space="preserve"> </w:t>
      </w:r>
      <w:r>
        <w:rPr>
          <w:rStyle w:val="VerbatimChar"/>
        </w:rPr>
        <w:t xml:space="preserve">ISOCURRENCYCODE</w:t>
      </w:r>
      <w:r>
        <w:t xml:space="preserve">); a ledger Tally keeps in rupees can still open in dollars (the test company’s Customer Hotel USD), and keeps that opening’s dollars. Rates: Tally’s own lists (standard, buying, selling; each entry read as its first date and first other number, since their fields weren’t known) and, per currency and day, the voucher lines’ base over foreign amounts. Each ledger’s foreign balance at a date is its foreign opening plus the foreign amounts of its counted lines up to it.</w:t>
      </w:r>
    </w:p>
    <w:p>
      <w:pPr>
        <w:pStyle w:val="Compact"/>
        <w:numPr>
          <w:ilvl w:val="0"/>
          <w:numId w:val="1040"/>
        </w:numPr>
      </w:pPr>
      <w:r>
        <w:rPr>
          <w:b/>
          <w:bCs/>
        </w:rPr>
        <w:t xml:space="preserve">Never changes the books:</w:t>
      </w:r>
      <w:r>
        <w:t xml:space="preserve"> </w:t>
      </w:r>
      <w:r>
        <w:rPr>
          <w:rStyle w:val="VerbatimChar"/>
        </w:rPr>
        <w:t xml:space="preserve">transform rebuild</w:t>
      </w:r>
      <w:r>
        <w:t xml:space="preserve"> </w:t>
      </w:r>
      <w:r>
        <w:t xml:space="preserve">compares every voucher’s base lines and every ledger’s opening and balance before and after, and reports the counts (LB-TRF-010 if any differ).</w:t>
      </w:r>
    </w:p>
    <w:p>
      <w:pPr>
        <w:pStyle w:val="Compact"/>
        <w:numPr>
          <w:ilvl w:val="0"/>
          <w:numId w:val="1040"/>
        </w:numPr>
      </w:pPr>
      <w:r>
        <w:rPr>
          <w:b/>
          <w:bCs/>
        </w:rPr>
        <w:t xml:space="preserve">No foreign amount unread unnoticed:</w:t>
      </w:r>
      <w:r>
        <w:t xml:space="preserve"> </w:t>
      </w:r>
      <w:r>
        <w:t xml:space="preserve">the rupee sign isn’t read (only the digits around it), so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Rs.</w:t>
      </w:r>
      <w:r>
        <w:t xml:space="preserve">,</w:t>
      </w:r>
      <w:r>
        <w:t xml:space="preserve"> </w:t>
      </w:r>
      <w:r>
        <w:rPr>
          <w:rStyle w:val="VerbatimChar"/>
        </w:rPr>
        <w:t xml:space="preserve">Rs</w:t>
      </w:r>
      <w:r>
        <w:t xml:space="preserve"> </w:t>
      </w:r>
      <w:r>
        <w:t xml:space="preserve">and</w:t>
      </w:r>
      <w:r>
        <w:t xml:space="preserve"> </w:t>
      </w:r>
      <w:r>
        <w:rPr>
          <w:rStyle w:val="VerbatimChar"/>
        </w:rPr>
        <w:t xml:space="preserve">INR</w:t>
      </w:r>
      <w:r>
        <w:t xml:space="preserve"> </w:t>
      </w:r>
      <w:r>
        <w:t xml:space="preserve">all read the same. An amount written as a foreign one (with</w:t>
      </w:r>
      <w:r>
        <w:t xml:space="preserve"> </w:t>
      </w:r>
      <w:r>
        <w:rPr>
          <w:rStyle w:val="VerbatimChar"/>
        </w:rPr>
        <w:t xml:space="preserve">@</w:t>
      </w:r>
      <w:r>
        <w:t xml:space="preserve"> </w:t>
      </w:r>
      <w:r>
        <w:t xml:space="preserve">or</w:t>
      </w:r>
      <w:r>
        <w:t xml:space="preserve"> </w:t>
      </w:r>
      <w:r>
        <w:rPr>
          <w:rStyle w:val="VerbatimChar"/>
        </w:rPr>
        <w:t xml:space="preserve">=</w:t>
      </w:r>
      <w:r>
        <w:t xml:space="preserve">) whose foreign part or base amount can’t be read is counted and noted on its record (LB-TRF-011, in the report);</w:t>
      </w:r>
      <w:r>
        <w:t xml:space="preserve"> </w:t>
      </w:r>
      <w:r>
        <w:rPr>
          <w:rStyle w:val="VerbatimChar"/>
        </w:rPr>
        <w:t xml:space="preserve">transform rebuild</w:t>
      </w:r>
      <w:r>
        <w:t xml:space="preserve"> </w:t>
      </w:r>
      <w:r>
        <w:t xml:space="preserve">prints</w:t>
      </w:r>
      <w:r>
        <w:t xml:space="preserve"> </w:t>
      </w:r>
      <w:r>
        <w:t xml:space="preserve">“Foreign-currency amounts: N read, M not read”</w:t>
      </w:r>
      <w:r>
        <w:t xml:space="preserve">.</w:t>
      </w:r>
    </w:p>
    <w:p>
      <w:pPr>
        <w:pStyle w:val="Compact"/>
        <w:numPr>
          <w:ilvl w:val="0"/>
          <w:numId w:val="1040"/>
        </w:numPr>
      </w:pPr>
      <w:r>
        <w:rPr>
          <w:b/>
          <w:bCs/>
        </w:rPr>
        <w:t xml:space="preserve">Which rule Tally revalues by, in three parts (2026-10-26):</w:t>
      </w:r>
      <w:r>
        <w:t xml:space="preserve"> </w:t>
      </w:r>
      <w:r>
        <w:t xml:space="preserve">(1) per ledger, each rule’s value against Tally’s own revalued balance (to the paisa, rounded to the rupee, within 1); (2) the layout, with Tally’s per-ledger figures: the ledgers kept in rupees but holding foreign amounts at book value or revalued by each rule, and the forex line ledger by ledger (losses the debit, gains the credit, as</w:t>
      </w:r>
      <w:r>
        <w:t xml:space="preserve"> </w:t>
      </w:r>
      <w:r>
        <w:rPr>
          <w:rStyle w:val="VerbatimChar"/>
        </w:rPr>
        <w:t xml:space="preserve">statements</w:t>
      </w:r>
      <w:r>
        <w:t xml:space="preserve"> </w:t>
      </w:r>
      <w:r>
        <w:t xml:space="preserve">does) or netted in total, per currency or per group, each with either sign; (3) each rule computed throughout, in the same combinations. The last line names the combinations matching every date (ADR-043’s time-box). Before that:</w:t>
      </w:r>
      <w:r>
        <w:t xml:space="preserve"> </w:t>
      </w:r>
      <w:r>
        <w:rPr>
          <w:rStyle w:val="VerbatimChar"/>
        </w:rPr>
        <w:t xml:space="preserve">./dev.ps1 validate fx-rules</w:t>
      </w:r>
      <w:r>
        <w:t xml:space="preserve"> </w:t>
      </w:r>
      <w:r>
        <w:t xml:space="preserve">counts, for each candidate rule, the dates where the groups holding foreign-currency ledgers and the Unadjusted Forex Gain/Loss line equal Tally’s (exactly and within 1), laid out with the statements’ own code;</w:t>
      </w:r>
      <w:r>
        <w:t xml:space="preserve"> </w:t>
      </w:r>
      <w:r>
        <w:t xml:space="preserve">“as exported”</w:t>
      </w:r>
      <w:r>
        <w:t xml:space="preserve"> </w:t>
      </w:r>
      <w:r>
        <w:t xml:space="preserve">(Tally’s ledger-balance export) is the calibration and must reproduce what</w:t>
      </w:r>
      <w:r>
        <w:t xml:space="preserve"> </w:t>
      </w:r>
      <w:r>
        <w:rPr>
          <w:rStyle w:val="VerbatimChar"/>
        </w:rPr>
        <w:t xml:space="preserve">statements</w:t>
      </w:r>
      <w:r>
        <w:t xml:space="preserve"> </w:t>
      </w:r>
      <w:r>
        <w:t xml:space="preserve">found.</w:t>
      </w:r>
    </w:p>
    <w:p>
      <w:pPr>
        <w:pStyle w:val="Compact"/>
        <w:numPr>
          <w:ilvl w:val="0"/>
          <w:numId w:val="1040"/>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tally_foreign_parts</w:t>
      </w:r>
      <w:r>
        <w:t xml:space="preserve">),</w:t>
      </w:r>
      <w:r>
        <w:t xml:space="preserve"> </w:t>
      </w:r>
      <w:r>
        <w:rPr>
          <w:rStyle w:val="VerbatimChar"/>
        </w:rPr>
        <w:t xml:space="preserve">connectors/tally/mapping.py</w:t>
      </w:r>
      <w:r>
        <w:t xml:space="preserve"> </w:t>
      </w:r>
      <w:r>
        <w:t xml:space="preserve">(</w:t>
      </w:r>
      <w:r>
        <w:rPr>
          <w:rStyle w:val="VerbatimChar"/>
        </w:rPr>
        <w:t xml:space="preserve">currency</w:t>
      </w:r>
      <w:r>
        <w:t xml:space="preserve">,</w:t>
      </w:r>
      <w:r>
        <w:t xml:space="preserve"> </w:t>
      </w:r>
      <w:r>
        <w:rPr>
          <w:rStyle w:val="VerbatimChar"/>
        </w:rPr>
        <w:t xml:space="preserve">_foreign</w:t>
      </w:r>
      <w:r>
        <w:t xml:space="preserve">),</w:t>
      </w:r>
      <w:r>
        <w:t xml:space="preserve"> </w:t>
      </w:r>
      <w:r>
        <w:rPr>
          <w:rStyle w:val="VerbatimChar"/>
        </w:rPr>
        <w:t xml:space="preserve">core/transform.py</w:t>
      </w:r>
      <w:r>
        <w:t xml:space="preserve"> </w:t>
      </w:r>
      <w:r>
        <w:t xml:space="preserve">(</w:t>
      </w:r>
      <w:r>
        <w:rPr>
          <w:rStyle w:val="VerbatimChar"/>
        </w:rPr>
        <w:t xml:space="preserve">_currencies</w:t>
      </w:r>
      <w:r>
        <w:t xml:space="preserve">),</w:t>
      </w:r>
      <w:r>
        <w:t xml:space="preserve"> </w:t>
      </w:r>
      <w:r>
        <w:rPr>
          <w:rStyle w:val="VerbatimChar"/>
        </w:rPr>
        <w:t xml:space="preserve">core/fx.py</w:t>
      </w:r>
      <w:r>
        <w:t xml:space="preserve">,</w:t>
      </w:r>
      <w:r>
        <w:t xml:space="preserve"> </w:t>
      </w:r>
      <w:r>
        <w:rPr>
          <w:rStyle w:val="VerbatimChar"/>
        </w:rPr>
        <w:t xml:space="preserve">core/fx_rules.py</w:t>
      </w:r>
      <w:r>
        <w:t xml:space="preserve">,</w:t>
      </w:r>
      <w:r>
        <w:t xml:space="preserve"> </w:t>
      </w:r>
      <w:r>
        <w:rPr>
          <w:rStyle w:val="VerbatimChar"/>
        </w:rPr>
        <w:t xml:space="preserve">core/base_check.py</w:t>
      </w:r>
      <w:r>
        <w:t xml:space="preserve">,</w:t>
      </w:r>
      <w:r>
        <w:t xml:space="preserve"> </w:t>
      </w:r>
      <w:r>
        <w:rPr>
          <w:rStyle w:val="VerbatimChar"/>
        </w:rPr>
        <w:t xml:space="preserve">workers/fx_rules.py</w:t>
      </w:r>
      <w:r>
        <w:t xml:space="preserve">.</w:t>
      </w:r>
    </w:p>
    <w:p>
      <w:pPr>
        <w:pStyle w:val="Compact"/>
        <w:numPr>
          <w:ilvl w:val="0"/>
          <w:numId w:val="1040"/>
        </w:numPr>
      </w:pPr>
      <w:r>
        <w:rPr>
          <w:b/>
          <w:bCs/>
        </w:rPr>
        <w:t xml:space="preserve">Tests:</w:t>
      </w:r>
      <w:r>
        <w:t xml:space="preserve"> </w:t>
      </w:r>
      <w:r>
        <w:rPr>
          <w:rStyle w:val="VerbatimChar"/>
        </w:rPr>
        <w:t xml:space="preserve">tests/test_fx_core.py</w:t>
      </w:r>
      <w:r>
        <w:t xml:space="preserve">,</w:t>
      </w:r>
      <w:r>
        <w:t xml:space="preserve"> </w:t>
      </w:r>
      <w:r>
        <w:rPr>
          <w:rStyle w:val="VerbatimChar"/>
        </w:rPr>
        <w:t xml:space="preserve">tests/test_fx_rules.py</w:t>
      </w:r>
      <w:r>
        <w:t xml:space="preserve">,</w:t>
      </w:r>
      <w:r>
        <w:t xml:space="preserve"> </w:t>
      </w:r>
      <w:r>
        <w:rPr>
          <w:rStyle w:val="VerbatimChar"/>
        </w:rPr>
        <w:t xml:space="preserve">tests/test_retransform.py</w:t>
      </w:r>
      <w:r>
        <w:t xml:space="preserve"> </w:t>
      </w:r>
      <w:r>
        <w:t xml:space="preserve">(</w:t>
      </w:r>
      <w:r>
        <w:rPr>
          <w:rStyle w:val="VerbatimChar"/>
        </w:rPr>
        <w:t xml:space="preserve">test_transform_rebuild_command</w:t>
      </w:r>
      <w:r>
        <w:t xml:space="preserve">).</w:t>
      </w:r>
    </w:p>
    <w:p>
      <w:pPr>
        <w:pStyle w:val="Compact"/>
        <w:numPr>
          <w:ilvl w:val="0"/>
          <w:numId w:val="1040"/>
        </w:numPr>
      </w:pPr>
      <w:r>
        <w:rPr>
          <w:b/>
          <w:bCs/>
        </w:rPr>
        <w:t xml:space="preserve">ADR:</w:t>
      </w:r>
      <w:r>
        <w:t xml:space="preserve"> </w:t>
      </w:r>
      <w:r>
        <w:t xml:space="preserve">ADR-046 (and ADR-043, whose stopgap it is meant to end).</w:t>
      </w:r>
    </w:p>
    <w:bookmarkEnd w:id="85"/>
    <w:bookmarkStart w:id="86" w:name="monthly-sales-rpt-013"/>
    <w:p>
      <w:pPr>
        <w:pStyle w:val="Heading2"/>
      </w:pPr>
      <w:r>
        <w:t xml:space="preserve">19. Monthly sales (RPT-013)</w:t>
      </w:r>
    </w:p>
    <w:p>
      <w:pPr>
        <w:pStyle w:val="Compact"/>
        <w:numPr>
          <w:ilvl w:val="0"/>
          <w:numId w:val="1041"/>
        </w:numPr>
      </w:pPr>
      <w:r>
        <w:rPr>
          <w:b/>
          <w:bCs/>
        </w:rPr>
        <w:t xml:space="preserve">What counts:</w:t>
      </w:r>
      <w:r>
        <w:t xml:space="preserve"> </w:t>
      </w:r>
      <w:r>
        <w:t xml:space="preserve">every effective entry (not cancelled, optional or memorandum; voucher not deleted in the source) on the ledgers under the source’s own Sales Accounts group and its sub-groups at any depth, by voucher date. The group is the source’s predefined one, renamed or not (Tally: RESERVEDNAME</w:t>
      </w:r>
      <w:r>
        <w:t xml:space="preserve"> </w:t>
      </w:r>
      <w:r>
        <w:t xml:space="preserve">“Sales Accounts”</w:t>
      </w:r>
      <w:r>
        <w:t xml:space="preserve">), never found by its name.</w:t>
      </w:r>
    </w:p>
    <w:p>
      <w:pPr>
        <w:pStyle w:val="Compact"/>
        <w:numPr>
          <w:ilvl w:val="0"/>
          <w:numId w:val="1041"/>
        </w:numPr>
      </w:pPr>
      <w:r>
        <w:rPr>
          <w:b/>
          <w:bCs/>
        </w:rPr>
        <w:t xml:space="preserve">Split:</w:t>
      </w:r>
      <w:r>
        <w:t xml:space="preserve"> </w:t>
      </w:r>
      <w:r>
        <w:t xml:space="preserve">gross sales are the entries of Sales voucher types, sales returns those of Credit Note types, other adjustments those of every other type (e.g. debit notes, journals). Net sales = gross sales + sales returns + other adjustments. Sales are shown positive, returns negative.</w:t>
      </w:r>
    </w:p>
    <w:p>
      <w:pPr>
        <w:pStyle w:val="Compact"/>
        <w:numPr>
          <w:ilvl w:val="0"/>
          <w:numId w:val="1041"/>
        </w:numPr>
      </w:pPr>
      <w:r>
        <w:rPr>
          <w:b/>
          <w:bCs/>
        </w:rPr>
        <w:t xml:space="preserve">Cross-checks (warnings, counts only):</w:t>
      </w:r>
      <w:r>
        <w:t xml:space="preserve"> </w:t>
      </w:r>
      <w:r>
        <w:t xml:space="preserve">no predefined Sales Accounts group (LB-VAL-030: nothing compared); ledgers with entries mapped to sale of goods (4110) outside it (LB-VAL-031: not in the report, as not in the source’s line); sales ledgers with an opening balance (LB-VAL-033).</w:t>
      </w:r>
    </w:p>
    <w:p>
      <w:pPr>
        <w:pStyle w:val="Compact"/>
        <w:numPr>
          <w:ilvl w:val="0"/>
          <w:numId w:val="1041"/>
        </w:numPr>
      </w:pPr>
      <w:r>
        <w:rPr>
          <w:b/>
          <w:bCs/>
        </w:rPr>
        <w:t xml:space="preserve">Proof:</w:t>
      </w:r>
      <w:r>
        <w:t xml:space="preserve"> </w:t>
      </w:r>
      <w:r>
        <w:rPr>
          <w:rStyle w:val="VerbatimChar"/>
        </w:rPr>
        <w:t xml:space="preserve">./dev.ps1 validate monthly-sales</w:t>
      </w:r>
      <w:r>
        <w:t xml:space="preserve"> </w:t>
      </w:r>
      <w:r>
        <w:t xml:space="preserve">compares, for each period between consecutive dates</w:t>
      </w:r>
      <w:r>
        <w:t xml:space="preserve"> </w:t>
      </w:r>
      <w:r>
        <w:rPr>
          <w:rStyle w:val="VerbatimChar"/>
        </w:rPr>
        <w:t xml:space="preserve">statements</w:t>
      </w:r>
      <w:r>
        <w:t xml:space="preserve"> </w:t>
      </w:r>
      <w:r>
        <w:t xml:space="preserve">stored, the sum of</w:t>
      </w:r>
      <w:r>
        <w:t xml:space="preserve"> </w:t>
      </w:r>
      <w:r>
        <w:rPr>
          <w:rStyle w:val="VerbatimChar"/>
        </w:rPr>
        <w:t xml:space="preserve">v_daily_sales</w:t>
      </w:r>
      <w:r>
        <w:t xml:space="preserve"> </w:t>
      </w:r>
      <w:r>
        <w:t xml:space="preserve">with the difference of the source’s Sales Accounts line in its Profit and Loss (cumulative from the books’ beginning); the first period starts at the books’ beginning. Every day up to the last stored date is compared once; the output says how many periods were exact calendar months (in Educational mode a 30-day month’s statements are stored on the 2nd of the next month). Refused when the statements are older than the latest sync or transform (LB-VAL-032). A differing period is LB-VAL-029 (exit 1).</w:t>
      </w:r>
    </w:p>
    <w:p>
      <w:pPr>
        <w:pStyle w:val="Compact"/>
        <w:numPr>
          <w:ilvl w:val="0"/>
          <w:numId w:val="1041"/>
        </w:numPr>
      </w:pPr>
      <w:r>
        <w:rPr>
          <w:b/>
          <w:bCs/>
        </w:rPr>
        <w:t xml:space="preserve">Code:</w:t>
      </w:r>
      <w:r>
        <w:t xml:space="preserve"> </w:t>
      </w:r>
      <w:r>
        <w:t xml:space="preserve">migration 0021 (the views),</w:t>
      </w:r>
      <w:r>
        <w:t xml:space="preserve"> </w:t>
      </w:r>
      <w:r>
        <w:rPr>
          <w:rStyle w:val="VerbatimChar"/>
        </w:rPr>
        <w:t xml:space="preserve">connectors/tally/mapping.py</w:t>
      </w:r>
      <w:r>
        <w:t xml:space="preserve"> </w:t>
      </w:r>
      <w:r>
        <w:t xml:space="preserve">(</w:t>
      </w:r>
      <w:r>
        <w:rPr>
          <w:rStyle w:val="VerbatimChar"/>
        </w:rPr>
        <w:t xml:space="preserve">predefined_role</w:t>
      </w:r>
      <w:r>
        <w:t xml:space="preserve">),</w:t>
      </w:r>
      <w:r>
        <w:t xml:space="preserve"> </w:t>
      </w:r>
      <w:r>
        <w:rPr>
          <w:rStyle w:val="VerbatimChar"/>
        </w:rPr>
        <w:t xml:space="preserve">core/monthly_sales.py</w:t>
      </w:r>
      <w:r>
        <w:t xml:space="preserve">,</w:t>
      </w:r>
      <w:r>
        <w:t xml:space="preserve"> </w:t>
      </w:r>
      <w:r>
        <w:rPr>
          <w:rStyle w:val="VerbatimChar"/>
        </w:rPr>
        <w:t xml:space="preserve">workers/monthly_sales.py</w:t>
      </w:r>
      <w:r>
        <w:t xml:space="preserve">,</w:t>
      </w:r>
      <w:r>
        <w:t xml:space="preserve"> </w:t>
      </w:r>
      <w:r>
        <w:rPr>
          <w:rStyle w:val="VerbatimChar"/>
        </w:rPr>
        <w:t xml:space="preserve">docs/sql/monthly-sales.sql</w:t>
      </w:r>
      <w:r>
        <w:t xml:space="preserve">.</w:t>
      </w:r>
    </w:p>
    <w:p>
      <w:pPr>
        <w:pStyle w:val="Compact"/>
        <w:numPr>
          <w:ilvl w:val="0"/>
          <w:numId w:val="1041"/>
        </w:numPr>
      </w:pPr>
      <w:r>
        <w:rPr>
          <w:b/>
          <w:bCs/>
        </w:rPr>
        <w:t xml:space="preserve">Tests:</w:t>
      </w:r>
      <w:r>
        <w:t xml:space="preserve"> </w:t>
      </w:r>
      <w:r>
        <w:rPr>
          <w:rStyle w:val="VerbatimChar"/>
        </w:rPr>
        <w:t xml:space="preserve">tests/test_monthly_sales.py</w:t>
      </w:r>
      <w:r>
        <w:t xml:space="preserve"> </w:t>
      </w:r>
      <w:r>
        <w:t xml:space="preserve">(the proof on the test company’s recorded Profit and Loss),</w:t>
      </w:r>
      <w:r>
        <w:t xml:space="preserve"> </w:t>
      </w:r>
      <w:r>
        <w:rPr>
          <w:rStyle w:val="VerbatimChar"/>
        </w:rPr>
        <w:t xml:space="preserve">tests/test_monthly_sales_integration.py</w:t>
      </w:r>
      <w:r>
        <w:t xml:space="preserve"> </w:t>
      </w:r>
      <w:r>
        <w:t xml:space="preserve">(the views and the SQL file on MySQL).</w:t>
      </w:r>
    </w:p>
    <w:p>
      <w:pPr>
        <w:pStyle w:val="Compact"/>
        <w:numPr>
          <w:ilvl w:val="0"/>
          <w:numId w:val="1041"/>
        </w:numPr>
      </w:pPr>
      <w:r>
        <w:rPr>
          <w:b/>
          <w:bCs/>
        </w:rPr>
        <w:t xml:space="preserve">ADR:</w:t>
      </w:r>
      <w:r>
        <w:t xml:space="preserve"> </w:t>
      </w:r>
      <w:r>
        <w:t xml:space="preserve">ADR-047.</w:t>
      </w:r>
    </w:p>
    <w:bookmarkEnd w:id="86"/>
    <w:bookmarkStart w:id="87"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2026-10-29</w:t>
            </w:r>
          </w:p>
        </w:tc>
        <w:tc>
          <w:tcPr/>
          <w:p>
            <w:pPr>
              <w:pStyle w:val="Compact"/>
            </w:pPr>
            <w:r>
              <w:t xml:space="preserve">1.13</w:t>
            </w:r>
          </w:p>
        </w:tc>
        <w:tc>
          <w:tcPr/>
          <w:p>
            <w:pPr>
              <w:pStyle w:val="Compact"/>
            </w:pPr>
            <w:r>
              <w:t xml:space="preserve">19: monthly sales and their proof.</w:t>
            </w:r>
          </w:p>
        </w:tc>
      </w:tr>
      <w:tr>
        <w:tc>
          <w:tcPr/>
          <w:p>
            <w:pPr>
              <w:pStyle w:val="Compact"/>
            </w:pPr>
            <w:r>
              <w:t xml:space="preserve">2026-10-26</w:t>
            </w:r>
          </w:p>
        </w:tc>
        <w:tc>
          <w:tcPr/>
          <w:p>
            <w:pPr>
              <w:pStyle w:val="Compact"/>
            </w:pPr>
            <w:r>
              <w:t xml:space="preserve">1.12</w:t>
            </w:r>
          </w:p>
        </w:tc>
        <w:tc>
          <w:tcPr/>
          <w:p>
            <w:pPr>
              <w:pStyle w:val="Compact"/>
            </w:pPr>
            <w:r>
              <w:t xml:space="preserve">18: the fx-rules finder in three parts (per ledger, layout, computed).</w:t>
            </w:r>
          </w:p>
        </w:tc>
      </w:tr>
      <w:tr>
        <w:tc>
          <w:tcPr/>
          <w:p>
            <w:pPr>
              <w:pStyle w:val="Compact"/>
            </w:pPr>
            <w:r>
              <w:t xml:space="preserve">2026-10-24</w:t>
            </w:r>
          </w:p>
        </w:tc>
        <w:tc>
          <w:tcPr/>
          <w:p>
            <w:pPr>
              <w:pStyle w:val="Compact"/>
            </w:pPr>
            <w:r>
              <w:t xml:space="preserve">1.11</w:t>
            </w:r>
          </w:p>
        </w:tc>
        <w:tc>
          <w:tcPr/>
          <w:p>
            <w:pPr>
              <w:pStyle w:val="Compact"/>
            </w:pPr>
            <w:r>
              <w:t xml:space="preserve">18: foreign currency beside the books, the base check after a rebuild, the fx-rules finder.</w:t>
            </w:r>
          </w:p>
        </w:tc>
      </w:tr>
      <w:tr>
        <w:tc>
          <w:tcPr/>
          <w:p>
            <w:pPr>
              <w:pStyle w:val="Compact"/>
            </w:pPr>
            <w:r>
              <w:t xml:space="preserve">2026-10-24</w:t>
            </w:r>
          </w:p>
        </w:tc>
        <w:tc>
          <w:tcPr/>
          <w:p>
            <w:pPr>
              <w:pStyle w:val="Compact"/>
            </w:pPr>
            <w:r>
              <w:t xml:space="preserve">1.10</w:t>
            </w:r>
          </w:p>
        </w:tc>
        <w:tc>
          <w:tcPr/>
          <w:p>
            <w:pPr>
              <w:pStyle w:val="Compact"/>
            </w:pPr>
            <w:r>
              <w:t xml:space="preserve">16.2 and 16.8: the Balance Sheet stock fallback retired; stock computed and compared everywhere.</w:t>
            </w:r>
          </w:p>
        </w:tc>
      </w:tr>
      <w:tr>
        <w:tc>
          <w:tcPr/>
          <w:p>
            <w:pPr>
              <w:pStyle w:val="Compact"/>
            </w:pPr>
            <w:r>
              <w:t xml:space="preserve">2026-10-24</w:t>
            </w:r>
          </w:p>
        </w:tc>
        <w:tc>
          <w:tcPr/>
          <w:p>
            <w:pPr>
              <w:pStyle w:val="Compact"/>
            </w:pPr>
            <w:r>
              <w:t xml:space="preserve">1.9</w:t>
            </w:r>
          </w:p>
        </w:tc>
        <w:tc>
          <w:tcPr/>
          <w:p>
            <w:pPr>
              <w:pStyle w:val="Compact"/>
            </w:pPr>
            <w:r>
              <w:t xml:space="preserve">16.8: the Current Assets stopgap, the tolerance stated, open differences (LB-VAL-026).</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2026-10-29T08:32:18Z</dcterms:created>
  <dcterms:modified xsi:type="dcterms:W3CDTF">2026-10-29T08:32:18Z</dcterms:modified>
</cp:coreProperties>
</file>

<file path=docProps/custom.xml><?xml version="1.0" encoding="utf-8"?>
<Properties xmlns="http://schemas.openxmlformats.org/officeDocument/2006/custom-properties" xmlns:vt="http://schemas.openxmlformats.org/officeDocument/2006/docPropsVTypes"/>
</file>