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4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7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56 tables, 631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116160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1161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6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238125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381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Source figures and statements: stock values, foreign-currency revaluations (ledgerbridge_accounting) and statement lines (ledgerbridge_reporting)</w:t>
      </w:r>
    </w:p>
    <w:p>
      <w:pPr>
        <w:pStyle w:val="BodyText"/>
      </w:pPr>
      <w:hyperlink r:id="rId57">
        <w:r>
          <w:drawing>
            <wp:inline>
              <wp:extent cx="5334000" cy="1623898"/>
              <wp:effectExtent b="0" l="0" r="0" t="0"/>
              <wp:docPr descr="Source figures and statements: stock values, foreign-currency revaluations (ledgerbridge_accounting) and statement lines (ledgerbridge_reporting)" title="" id="55" name="Picture"/>
              <a:graphic>
                <a:graphicData uri="http://schemas.openxmlformats.org/drawingml/2006/picture">
                  <pic:pic>
                    <pic:nvPicPr>
                      <pic:cNvPr descr="../diagrams/er-source-statements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62389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61">
        <w:r>
          <w:drawing>
            <wp:inline>
              <wp:extent cx="5334000" cy="1826840"/>
              <wp:effectExtent b="0" l="0" r="0" t="0"/>
              <wp:docPr descr="Data flow level 0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5">
        <w:r>
          <w:drawing>
            <wp:inline>
              <wp:extent cx="5334000" cy="13808675"/>
              <wp:effectExtent b="0" l="0" r="0" t="0"/>
              <wp:docPr descr="Data flow level 1" title="" id="63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6"/>
    <w:bookmarkStart w:id="67" w:name="tables"/>
    <w:p>
      <w:pPr>
        <w:pStyle w:val="Heading2"/>
      </w:pPr>
      <w:r>
        <w:t xml:space="preserve">4. Tables</w:t>
      </w:r>
    </w:p>
    <w:bookmarkEnd w:id="67"/>
    <w:bookmarkStart w:id="69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8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8"/>
    <w:bookmarkEnd w:id="69"/>
    <w:bookmarkStart w:id="80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70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is_on_hold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hold (SYN-007): sync, validation and statements skip it unless it is named, the health report lists it outside the overall verdict, dashboards hide it. Set with</w:t>
            </w:r>
            <w:r>
              <w:t xml:space="preserve"> </w:t>
            </w:r>
            <w:r>
              <w:rPr>
                <w:rStyle w:val="VerbatimChar"/>
              </w:rPr>
              <w:t xml:space="preserve">./dev.ps1 on-hold</w:t>
            </w:r>
            <w:r>
              <w:t xml:space="preserve"> </w:t>
            </w:r>
            <w:r>
              <w:t xml:space="preserve">(audited; migration 0023).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71"/>
    <w:bookmarkStart w:id="72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2"/>
    <w:bookmarkStart w:id="73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73"/>
    <w:bookmarkStart w:id="74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code, with the symbol the source writes.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from the source’s currency masters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t xml:space="preserve">“$”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4"/>
    <w:bookmarkStart w:id="75" w:name="ledgerbridge_accounting.currency_sources"/>
    <w:p>
      <w:pPr>
        <w:pStyle w:val="Heading3"/>
      </w:pPr>
      <w:r>
        <w:rPr>
          <w:rStyle w:val="VerbatimChar"/>
        </w:rPr>
        <w:t xml:space="preserve">ledgerbridge_accounting.currency_sources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entity’s currencies as its source names them (e.g. </w:t>
      </w:r>
      <w:r>
        <w:t xml:space="preserve">“$”</w:t>
      </w:r>
      <w:r>
        <w:t xml:space="preserve">), with the ISO code when the source gives one (FX-001).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currency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the source writes it in amounts (</w:t>
            </w:r>
            <w:r>
              <w:t xml:space="preserve">“$”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ix_currency_sources_raw_record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75"/>
    <w:bookmarkStart w:id="76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Rates per entity, currency and date, each with its kind and source: the source’s own rate list, or the day’s voucher lines weighted by foreign amount (FX-003).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Transform: currency masters’ rate lists and voucher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‘standard’</w:t>
            </w:r>
            <w:r>
              <w:t xml:space="preserve">,</w:t>
            </w:r>
            <w:r>
              <w:t xml:space="preserve">‘buying’</w:t>
            </w:r>
            <w:r>
              <w:t xml:space="preserve">,</w:t>
            </w:r>
            <w:r>
              <w:t xml:space="preserve">‘selling’</w:t>
            </w:r>
            <w:r>
              <w:t xml:space="preserve">,</w:t>
            </w:r>
            <w:r>
              <w:t xml:space="preserve">‘vouchers’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‘source_rate_list’</w:t>
            </w:r>
            <w:r>
              <w:t xml:space="preserve">,</w:t>
            </w:r>
            <w:r>
              <w:t xml:space="preserve">‘vouchers’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Voucher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currency_name, rate_date, rate_kind).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6"/>
    <w:bookmarkStart w:id="77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7"/>
    <w:bookmarkStart w:id="78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predefined_role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Migration 0021 (RPT-013).</w:t>
            </w:r>
            <w:r>
              <w:t xml:space="preserve"> </w:t>
            </w:r>
            <w:r>
              <w:t xml:space="preserve">Which of the source’s own predefined groups this is, renamed or not, in our vocabulary (Tally: RESERVEDNAME in lower case, words joined by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 e.g. </w:t>
            </w:r>
            <w:r>
              <w:rPr>
                <w:rStyle w:val="VerbatimChar"/>
              </w:rPr>
              <w:t xml:space="preserve">sales_accounts</w:t>
            </w:r>
            <w:r>
              <w:t xml:space="preserve">); NULL for groups the user created. Filled by the transform: after migration 0021,</w:t>
            </w:r>
            <w:r>
              <w:t xml:space="preserve"> </w:t>
            </w:r>
            <w:r>
              <w:rPr>
                <w:rStyle w:val="VerbatimChar"/>
              </w:rPr>
              <w:t xml:space="preserve">transform rebuild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8"/>
    <w:bookmarkStart w:id="79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ledger’s own currency’s ISO code; the base currency’s for ledgers kept in it; NULL when the source’s currency master gives none (migration 0022).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ledger’s own currency as the source names it (Tally CURRENCYNAME, e.g. </w:t>
            </w:r>
            <w:r>
              <w:rPr>
                <w:rStyle w:val="VerbatimChar"/>
              </w:rPr>
              <w:t xml:space="preserve">$</w:t>
            </w:r>
            <w:r>
              <w:t xml:space="preserve">; migrations 0020, 0022).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is_foreign_currency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Kept in another currency than the entity’s base one (</w:t>
            </w:r>
            <w:r>
              <w:rPr>
                <w:rStyle w:val="VerbatimChar"/>
              </w:rPr>
              <w:t xml:space="preserve">core/fx.py</w:t>
            </w:r>
            <w:r>
              <w:t xml:space="preserve">: the base currency is the master with the entity’s base ISO code, else the currency most ledgers are kept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currency of the opening’s foreign part (with</w:t>
            </w:r>
            <w:r>
              <w:t xml:space="preserve"> </w:t>
            </w:r>
            <w:r>
              <w:rPr>
                <w:rStyle w:val="VerbatimChar"/>
              </w:rPr>
              <w:t xml:space="preserve">opening_balance_fc</w:t>
            </w:r>
            <w:r>
              <w:t xml:space="preserve">); a ledger kept in the base currency can open in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opening’s foreign part.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9"/>
    <w:bookmarkEnd w:id="80"/>
    <w:bookmarkStart w:id="90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81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1"/>
    <w:bookmarkStart w:id="82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2"/>
    <w:bookmarkStart w:id="83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3"/>
    <w:bookmarkStart w:id="84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4"/>
    <w:bookmarkStart w:id="85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5"/>
    <w:bookmarkStart w:id="86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6"/>
    <w:bookmarkStart w:id="87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7"/>
    <w:bookmarkStart w:id="88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8"/>
    <w:bookmarkStart w:id="89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9"/>
    <w:bookmarkEnd w:id="90"/>
    <w:bookmarkStart w:id="98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91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91"/>
    <w:bookmarkStart w:id="92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92"/>
    <w:bookmarkStart w:id="93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93"/>
    <w:bookmarkStart w:id="94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94"/>
    <w:bookmarkStart w:id="95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5"/>
    <w:bookmarkStart w:id="96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6"/>
    <w:bookmarkStart w:id="97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7"/>
    <w:bookmarkEnd w:id="98"/>
    <w:bookmarkStart w:id="100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9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9"/>
    <w:bookmarkEnd w:id="100"/>
    <w:bookmarkStart w:id="103" w:name="ledgerbridge_accounting-source-figure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source figures</w:t>
      </w:r>
    </w:p>
    <w:bookmarkStart w:id="101" w:name="ledgerbridge_accounting.stock_values"/>
    <w:p>
      <w:pPr>
        <w:pStyle w:val="Heading3"/>
      </w:pPr>
      <w:r>
        <w:rPr>
          <w:rStyle w:val="VerbatimChar"/>
        </w:rPr>
        <w:t xml:space="preserve">ledgerbridge_accounting.stock_values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own stock value as of a date (DAT-013, ADR-040): the total its Profit and Loss uses, and by stock group and godown.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(as-of date, year ends)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(every month end and year 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‘total’</w:t>
            </w:r>
            <w:r>
              <w:t xml:space="preserve">,</w:t>
            </w:r>
            <w:r>
              <w:t xml:space="preserve">‘stock_group’</w:t>
            </w:r>
            <w:r>
              <w:t xml:space="preserve">,</w:t>
            </w:r>
            <w:r>
              <w:t xml:space="preserve">‘godown’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total (what the source’s profit uses), stock_group or godown.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Scope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Closing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 integrates accounts with inventory (total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scope, scope_name).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Start w:id="102" w:name="X169600aed664598c63c0ded0c1eece8c5b5ca2f"/>
    <w:p>
      <w:pPr>
        <w:pStyle w:val="Heading3"/>
      </w:pPr>
      <w:r>
        <w:rPr>
          <w:rStyle w:val="VerbatimChar"/>
        </w:rPr>
        <w:t xml:space="preserve">ledgerbridge_accounting.fx_revaluation_snapshots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foreign-currency ledger’s balance as the source reports it (revalued at current rates) against its book value (FX-004, ADR-037, ADR-040).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, for each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Month end, financial year end or validation date (a reliable date in Educational mode, core/dates.py).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balance in the currency (the foreign part of its closing balance).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base-currency value of its vouchers (closing balance less the calculated 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revalued_value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closing balance at current 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unrealised_gain_loss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Book value less revalued value (a debit is an unrealised loss).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(ledger_id, as_of); index</w:t>
      </w:r>
      <w:r>
        <w:t xml:space="preserve"> </w:t>
      </w:r>
      <w:r>
        <w:rPr>
          <w:rStyle w:val="VerbatimChar"/>
        </w:rPr>
        <w:t xml:space="preserve">ix_fx_revaluation_entity_date</w:t>
      </w:r>
      <w:r>
        <w:t xml:space="preserve"> </w:t>
      </w:r>
      <w:r>
        <w:t xml:space="preserve">(entity_id, as_of).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2"/>
    <w:bookmarkEnd w:id="103"/>
    <w:bookmarkStart w:id="105" w:name="Xfd36abf7de5a1d084ed6a6dca3710a9df9d9d1b"/>
    <w:p>
      <w:pPr>
        <w:pStyle w:val="Heading2"/>
      </w:pPr>
      <w:r>
        <w:rPr>
          <w:rStyle w:val="VerbatimChar"/>
        </w:rPr>
        <w:t xml:space="preserve">ledgerbridge_reporting</w:t>
      </w:r>
      <w:r>
        <w:t xml:space="preserve">: statements, ours and the source’s (views on top)</w:t>
      </w:r>
    </w:p>
    <w:bookmarkStart w:id="104" w:name="ledgerbridge_reporting.statement_lines"/>
    <w:p>
      <w:pPr>
        <w:pStyle w:val="Heading3"/>
      </w:pPr>
      <w:r>
        <w:rPr>
          <w:rStyle w:val="VerbatimChar"/>
        </w:rPr>
        <w:t xml:space="preserve">ledgerbridge_reporting.statement_lines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Trial Balance, Profit &amp; Loss and Balance Sheet lines, ours and the source’s, as of each stored date (RPT-012, ADR-040); the views v_trial_balance, v_profit_loss, v_balance_sheet, v_statement_check and v_statement_open_differences read them.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(core/statements.py).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‘trial_balance’</w:t>
            </w:r>
            <w:r>
              <w:t xml:space="preserve">,</w:t>
            </w:r>
            <w:r>
              <w:t xml:space="preserve">‘profit_loss’</w:t>
            </w:r>
            <w:r>
              <w:t xml:space="preserve">,</w:t>
            </w:r>
            <w:r>
              <w:t xml:space="preserve">‘balance_sheet’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‘ours’</w:t>
            </w:r>
            <w:r>
              <w:t xml:space="preserve">,</w:t>
            </w:r>
            <w:r>
              <w:t xml:space="preserve">‘source’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ours (built here) or source (the source’s own report).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label as both sides are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‘main’</w:t>
            </w:r>
            <w:r>
              <w:t xml:space="preserve">,</w:t>
            </w:r>
            <w:r>
              <w:t xml:space="preserve">‘sub’</w:t>
            </w:r>
            <w:r>
              <w:t xml:space="preserve">,</w:t>
            </w:r>
            <w:r>
              <w:t xml:space="preserve">‘detail’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main, sub (inside a block) or detail (ours only, never compared).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statement, figures, line_no); index</w:t>
      </w:r>
      <w:r>
        <w:t xml:space="preserve"> </w:t>
      </w:r>
      <w:r>
        <w:rPr>
          <w:rStyle w:val="VerbatimChar"/>
        </w:rPr>
        <w:t xml:space="preserve">ix_statement_lines_match</w:t>
      </w:r>
      <w:r>
        <w:t xml:space="preserve"> </w:t>
      </w:r>
      <w:r>
        <w:t xml:space="preserve">(entity_id, as_of, statement, match_key).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04"/>
    <w:bookmarkEnd w:id="105"/>
    <w:bookmarkStart w:id="117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106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6"/>
    <w:bookmarkStart w:id="107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7"/>
    <w:bookmarkStart w:id="108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8"/>
    <w:bookmarkStart w:id="109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9"/>
    <w:bookmarkStart w:id="110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10"/>
    <w:bookmarkStart w:id="111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1"/>
    <w:bookmarkStart w:id="112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2"/>
    <w:bookmarkStart w:id="113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3"/>
    <w:bookmarkStart w:id="114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4"/>
    <w:bookmarkStart w:id="115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15"/>
    <w:bookmarkStart w:id="116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6"/>
    <w:bookmarkEnd w:id="117"/>
    <w:bookmarkStart w:id="121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18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18"/>
    <w:bookmarkStart w:id="119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9"/>
    <w:bookmarkStart w:id="120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20"/>
    <w:bookmarkEnd w:id="121"/>
    <w:bookmarkStart w:id="129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22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2"/>
    <w:bookmarkStart w:id="123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3"/>
    <w:bookmarkStart w:id="124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24"/>
    <w:bookmarkStart w:id="125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25"/>
    <w:bookmarkStart w:id="126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6"/>
    <w:bookmarkStart w:id="127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27"/>
    <w:bookmarkStart w:id="128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8"/>
    <w:bookmarkEnd w:id="129"/>
    <w:bookmarkStart w:id="132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30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30"/>
    <w:bookmarkStart w:id="131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31"/>
    <w:bookmarkEnd w:id="132"/>
    <w:bookmarkStart w:id="135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33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33"/>
    <w:bookmarkStart w:id="134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34"/>
    <w:bookmarkEnd w:id="135"/>
    <w:bookmarkStart w:id="136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36"/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2026-10-30T10:34:38Z</dcterms:created>
  <dcterms:modified xsi:type="dcterms:W3CDTF">2026-10-30T10:34:38Z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