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9520"/>
        <w:spacing w:after="0" w:line="239" w:lineRule="auto"/>
        <w:rPr>
          <w:sz w:val="20"/>
          <w:szCs w:val="20"/>
          <w:color w:val="auto"/>
        </w:rPr>
      </w:pPr>
      <w:r>
        <w:rPr>
          <w:rFonts w:ascii="Calibri" w:cs="Calibri" w:eastAsia="Calibri" w:hAnsi="Calibri"/>
          <w:sz w:val="22"/>
          <w:szCs w:val="22"/>
          <w:color w:val="auto"/>
        </w:rPr>
        <w:t>1</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spacing w:after="0"/>
        <w:rPr>
          <w:sz w:val="20"/>
          <w:szCs w:val="20"/>
          <w:color w:val="auto"/>
        </w:rPr>
      </w:pPr>
      <w:r>
        <w:rPr>
          <w:rFonts w:ascii="Arial" w:cs="Arial" w:eastAsia="Arial" w:hAnsi="Arial"/>
          <w:sz w:val="28"/>
          <w:szCs w:val="28"/>
          <w:b w:val="1"/>
          <w:bCs w:val="1"/>
          <w:color w:val="231F20"/>
        </w:rPr>
        <w:t>ANÁLISE DA ESTRUTURA DE MERCADO DAS INDÚSTRIAS DE</w:t>
      </w:r>
    </w:p>
    <w:p>
      <w:pPr>
        <w:spacing w:after="0" w:line="2" w:lineRule="exact"/>
        <w:rPr>
          <w:sz w:val="24"/>
          <w:szCs w:val="24"/>
          <w:color w:val="auto"/>
        </w:rPr>
      </w:pPr>
    </w:p>
    <w:p>
      <w:pPr>
        <w:spacing w:after="0"/>
        <w:rPr>
          <w:sz w:val="20"/>
          <w:szCs w:val="20"/>
          <w:color w:val="auto"/>
        </w:rPr>
      </w:pPr>
      <w:r>
        <w:rPr>
          <w:rFonts w:ascii="Arial" w:cs="Arial" w:eastAsia="Arial" w:hAnsi="Arial"/>
          <w:sz w:val="28"/>
          <w:szCs w:val="28"/>
          <w:b w:val="1"/>
          <w:bCs w:val="1"/>
          <w:color w:val="231F20"/>
        </w:rPr>
        <w:t>FÉCULA DO ESTADO DO PARANÁ</w:t>
      </w:r>
    </w:p>
    <w:p>
      <w:pPr>
        <w:spacing w:after="0" w:line="321" w:lineRule="exact"/>
        <w:rPr>
          <w:sz w:val="24"/>
          <w:szCs w:val="24"/>
          <w:color w:val="auto"/>
        </w:rPr>
      </w:pPr>
    </w:p>
    <w:p>
      <w:pPr>
        <w:spacing w:after="0"/>
        <w:rPr>
          <w:sz w:val="20"/>
          <w:szCs w:val="20"/>
          <w:color w:val="auto"/>
        </w:rPr>
      </w:pPr>
      <w:r>
        <w:rPr>
          <w:rFonts w:ascii="Arial" w:cs="Arial" w:eastAsia="Arial" w:hAnsi="Arial"/>
          <w:sz w:val="28"/>
          <w:szCs w:val="28"/>
          <w:b w:val="1"/>
          <w:bCs w:val="1"/>
          <w:color w:val="231F20"/>
        </w:rPr>
        <w:t>ANÁLISE DA INDÚSTRIA DE FÉCULA PARANAENSE</w:t>
      </w:r>
    </w:p>
    <w:p>
      <w:pPr>
        <w:spacing w:after="0" w:line="286" w:lineRule="exact"/>
        <w:rPr>
          <w:sz w:val="24"/>
          <w:szCs w:val="24"/>
          <w:color w:val="auto"/>
        </w:rPr>
      </w:pPr>
    </w:p>
    <w:p>
      <w:pPr>
        <w:jc w:val="both"/>
        <w:spacing w:after="0" w:line="239" w:lineRule="auto"/>
        <w:rPr>
          <w:sz w:val="20"/>
          <w:szCs w:val="20"/>
          <w:color w:val="auto"/>
        </w:rPr>
      </w:pPr>
      <w:r>
        <w:rPr>
          <w:rFonts w:ascii="Arial" w:cs="Arial" w:eastAsia="Arial" w:hAnsi="Arial"/>
          <w:sz w:val="24"/>
          <w:szCs w:val="24"/>
          <w:b w:val="1"/>
          <w:bCs w:val="1"/>
          <w:color w:val="231F20"/>
        </w:rPr>
        <w:t xml:space="preserve">RESUMO: </w:t>
      </w:r>
      <w:r>
        <w:rPr>
          <w:rFonts w:ascii="Arial" w:cs="Arial" w:eastAsia="Arial" w:hAnsi="Arial"/>
          <w:sz w:val="24"/>
          <w:szCs w:val="24"/>
          <w:color w:val="231F20"/>
        </w:rPr>
        <w:t>O presente artigo teve como objetivo analisar a estrutura de mercado das</w:t>
      </w:r>
      <w:r>
        <w:rPr>
          <w:rFonts w:ascii="Arial" w:cs="Arial" w:eastAsia="Arial" w:hAnsi="Arial"/>
          <w:sz w:val="24"/>
          <w:szCs w:val="24"/>
          <w:b w:val="1"/>
          <w:bCs w:val="1"/>
          <w:color w:val="231F20"/>
        </w:rPr>
        <w:t xml:space="preserve"> </w:t>
      </w:r>
      <w:r>
        <w:rPr>
          <w:rFonts w:ascii="Arial" w:cs="Arial" w:eastAsia="Arial" w:hAnsi="Arial"/>
          <w:sz w:val="24"/>
          <w:szCs w:val="24"/>
          <w:color w:val="231F20"/>
        </w:rPr>
        <w:t>indústrias de fécula do Estado do Paraná. Partindo de uma pesquisa de cunho exploratória, servindo de base para a revisão literária do assunto, e também de cunho quantitativo, a partir de um estudo multicaso, a fim de que, de forma sistemática e estruturada, aplicando o método ECD (Estrutura; Conduta; Desempenho), seja alcançado o objetivo esperado. Assim, os resultados obtidos mostram que o setor apresenta uma moderada concentração, o que caracteriza uma estrutura de mercado oligopolista muito próxima a um mercado de concorrência perfeita. Este resultado apresenta informações importantes que podem contribuir para a tomada de decisões dos gestores, que vão poder se valer dessa concorrência para melhores negociações e investimentos.</w:t>
      </w:r>
    </w:p>
    <w:p>
      <w:pPr>
        <w:spacing w:after="0" w:line="277" w:lineRule="exact"/>
        <w:rPr>
          <w:sz w:val="24"/>
          <w:szCs w:val="24"/>
          <w:color w:val="auto"/>
        </w:rPr>
      </w:pPr>
    </w:p>
    <w:p>
      <w:pPr>
        <w:spacing w:after="0"/>
        <w:rPr>
          <w:sz w:val="20"/>
          <w:szCs w:val="20"/>
          <w:color w:val="auto"/>
        </w:rPr>
      </w:pPr>
      <w:r>
        <w:rPr>
          <w:rFonts w:ascii="Arial" w:cs="Arial" w:eastAsia="Arial" w:hAnsi="Arial"/>
          <w:sz w:val="24"/>
          <w:szCs w:val="24"/>
          <w:b w:val="1"/>
          <w:bCs w:val="1"/>
          <w:color w:val="231F20"/>
        </w:rPr>
        <w:t>PALAVRAS-CHAVE</w:t>
      </w:r>
      <w:r>
        <w:rPr>
          <w:rFonts w:ascii="Arial" w:cs="Arial" w:eastAsia="Arial" w:hAnsi="Arial"/>
          <w:sz w:val="24"/>
          <w:szCs w:val="24"/>
          <w:color w:val="231F20"/>
        </w:rPr>
        <w:t>: Indústria de fécula, mercado, ECD.</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8"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ANALYSIS OF MARKET STRUCTURE STARCH INDUSTRIES OF THE STATE OF</w:t>
      </w:r>
    </w:p>
    <w:p>
      <w:pPr>
        <w:spacing w:after="0"/>
        <w:rPr>
          <w:sz w:val="20"/>
          <w:szCs w:val="20"/>
          <w:color w:val="auto"/>
        </w:rPr>
      </w:pPr>
      <w:r>
        <w:rPr>
          <w:rFonts w:ascii="Arial" w:cs="Arial" w:eastAsia="Arial" w:hAnsi="Arial"/>
          <w:sz w:val="24"/>
          <w:szCs w:val="24"/>
          <w:b w:val="1"/>
          <w:bCs w:val="1"/>
          <w:color w:val="auto"/>
        </w:rPr>
        <w:t>PARANÁ</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ANALYSIS OF STARCH PARANAENSE INDUSTRY</w:t>
      </w:r>
    </w:p>
    <w:p>
      <w:pPr>
        <w:spacing w:after="0" w:line="286" w:lineRule="exact"/>
        <w:rPr>
          <w:sz w:val="24"/>
          <w:szCs w:val="24"/>
          <w:color w:val="auto"/>
        </w:rPr>
      </w:pPr>
    </w:p>
    <w:p>
      <w:pPr>
        <w:jc w:val="both"/>
        <w:spacing w:after="0" w:line="239" w:lineRule="auto"/>
        <w:rPr>
          <w:sz w:val="20"/>
          <w:szCs w:val="20"/>
          <w:color w:val="auto"/>
        </w:rPr>
      </w:pPr>
      <w:r>
        <w:rPr>
          <w:rFonts w:ascii="Arial" w:cs="Arial" w:eastAsia="Arial" w:hAnsi="Arial"/>
          <w:sz w:val="24"/>
          <w:szCs w:val="24"/>
          <w:b w:val="1"/>
          <w:bCs w:val="1"/>
          <w:color w:val="auto"/>
        </w:rPr>
        <w:t xml:space="preserve">ABSTRACT: </w:t>
      </w:r>
      <w:r>
        <w:rPr>
          <w:rFonts w:ascii="Arial" w:cs="Arial" w:eastAsia="Arial" w:hAnsi="Arial"/>
          <w:sz w:val="24"/>
          <w:szCs w:val="24"/>
          <w:color w:val="auto"/>
        </w:rPr>
        <w:t>This article aims to analyze the market structure of the State of Paraná</w:t>
      </w:r>
      <w:r>
        <w:rPr>
          <w:rFonts w:ascii="Arial" w:cs="Arial" w:eastAsia="Arial" w:hAnsi="Arial"/>
          <w:sz w:val="24"/>
          <w:szCs w:val="24"/>
          <w:b w:val="1"/>
          <w:bCs w:val="1"/>
          <w:color w:val="auto"/>
        </w:rPr>
        <w:t xml:space="preserve"> </w:t>
      </w:r>
      <w:r>
        <w:rPr>
          <w:rFonts w:ascii="Arial" w:cs="Arial" w:eastAsia="Arial" w:hAnsi="Arial"/>
          <w:sz w:val="24"/>
          <w:szCs w:val="24"/>
          <w:color w:val="auto"/>
        </w:rPr>
        <w:t>starch industries. Starting from an exploratory nature of research, providing the basis for the literary review of the subject, as well as quantitative nature, from a multi case study, so that in a systematic and structured manner, applying the ECD method (Structure, Conduct, Performance) is achieved expected goal. Thus, the results show that the industry has a moderate concentration, which features an oligopolistic market structure very close to a perfectly competitive market. This result has important information that may contribute to the decision making of managers who will be able to take advantage of this competition for better trading and investment.</w:t>
      </w:r>
    </w:p>
    <w:p>
      <w:pPr>
        <w:spacing w:after="0" w:line="276" w:lineRule="exact"/>
        <w:rPr>
          <w:sz w:val="24"/>
          <w:szCs w:val="24"/>
          <w:color w:val="auto"/>
        </w:rPr>
      </w:pPr>
    </w:p>
    <w:p>
      <w:pPr>
        <w:spacing w:after="0"/>
        <w:rPr>
          <w:sz w:val="20"/>
          <w:szCs w:val="20"/>
          <w:color w:val="auto"/>
        </w:rPr>
      </w:pPr>
      <w:r>
        <w:rPr>
          <w:rFonts w:ascii="Arial" w:cs="Arial" w:eastAsia="Arial" w:hAnsi="Arial"/>
          <w:sz w:val="24"/>
          <w:szCs w:val="24"/>
          <w:b w:val="1"/>
          <w:bCs w:val="1"/>
          <w:color w:val="auto"/>
        </w:rPr>
        <w:t xml:space="preserve">KEYWORDS: </w:t>
      </w:r>
      <w:r>
        <w:rPr>
          <w:rFonts w:ascii="Arial" w:cs="Arial" w:eastAsia="Arial" w:hAnsi="Arial"/>
          <w:sz w:val="24"/>
          <w:szCs w:val="24"/>
          <w:color w:val="auto"/>
        </w:rPr>
        <w:t>Industry starch, market, ECD.</w:t>
      </w:r>
    </w:p>
    <w:p>
      <w:pPr>
        <w:sectPr>
          <w:pgSz w:w="11900" w:h="16838" w:orient="portrait"/>
          <w:cols w:equalWidth="0" w:num="1">
            <w:col w:w="9640"/>
          </w:cols>
          <w:pgMar w:left="1140" w:top="649" w:right="1120" w:bottom="1440" w:gutter="0" w:footer="0" w:header="0"/>
        </w:sectPr>
      </w:pPr>
    </w:p>
    <w:bookmarkStart w:id="1" w:name="page2"/>
    <w:bookmarkEnd w:id="1"/>
    <w:p>
      <w:pPr>
        <w:jc w:val="right"/>
        <w:spacing w:after="0" w:line="239" w:lineRule="auto"/>
        <w:rPr>
          <w:sz w:val="20"/>
          <w:szCs w:val="20"/>
          <w:color w:val="auto"/>
        </w:rPr>
      </w:pPr>
      <w:r>
        <w:rPr>
          <w:rFonts w:ascii="Calibri" w:cs="Calibri" w:eastAsia="Calibri" w:hAnsi="Calibri"/>
          <w:sz w:val="22"/>
          <w:szCs w:val="22"/>
          <w:color w:val="auto"/>
        </w:rPr>
        <w:t>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1. INTRODUÇÃO</w:t>
      </w:r>
    </w:p>
    <w:p>
      <w:pPr>
        <w:spacing w:after="0" w:line="200" w:lineRule="exact"/>
        <w:rPr>
          <w:sz w:val="20"/>
          <w:szCs w:val="20"/>
          <w:color w:val="auto"/>
        </w:rPr>
      </w:pPr>
    </w:p>
    <w:p>
      <w:pPr>
        <w:spacing w:after="0" w:line="200" w:lineRule="exact"/>
        <w:rPr>
          <w:sz w:val="20"/>
          <w:szCs w:val="20"/>
          <w:color w:val="auto"/>
        </w:rPr>
      </w:pPr>
    </w:p>
    <w:p>
      <w:pPr>
        <w:spacing w:after="0" w:line="309"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Atualmente a mandioca vem ganhando um lugar de destaque em vários países, sendo uma das principais fontes alimentares. No Brasil, a produção de mandioca está presente em todos os estados brasileiros, e é destinada ao consumo humano e animal, além de servir como matéria prima na fabricação de outros produtos, em especial a farinha e a fécula.</w:t>
      </w:r>
    </w:p>
    <w:p>
      <w:pPr>
        <w:spacing w:after="0" w:line="68"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De acordo com Gameiro et.al. (2003), o sistema agroindustrial da mandioca vem passando por mudanças estruturais motivadas por políticas governamentais, pela evolução da renda da população e dos seus hábitos de consumo, além do aparecimento de novos produtos derivados da mandioca e assim a alteração nos padrões de concorrência enfrentados pelas empresas.</w:t>
      </w:r>
    </w:p>
    <w:p>
      <w:pPr>
        <w:spacing w:after="0" w:line="68" w:lineRule="exact"/>
        <w:rPr>
          <w:sz w:val="20"/>
          <w:szCs w:val="20"/>
          <w:color w:val="auto"/>
        </w:rPr>
      </w:pPr>
    </w:p>
    <w:p>
      <w:pPr>
        <w:jc w:val="both"/>
        <w:ind w:firstLine="708"/>
        <w:spacing w:after="0" w:line="352" w:lineRule="auto"/>
        <w:rPr>
          <w:sz w:val="20"/>
          <w:szCs w:val="20"/>
          <w:color w:val="auto"/>
        </w:rPr>
      </w:pPr>
      <w:r>
        <w:rPr>
          <w:rFonts w:ascii="Arial" w:cs="Arial" w:eastAsia="Arial" w:hAnsi="Arial"/>
          <w:sz w:val="24"/>
          <w:szCs w:val="24"/>
          <w:color w:val="auto"/>
        </w:rPr>
        <w:t>Dessa forma, surgiram muitos desafios a respeito da organização do mercado e do relacionamento entre os produtores de mandioca e a indústria processadora. Segundo Groxko (2014), a Região Sul ocupa o 2° lugar no ranking da produção nacional de mandioca e possui o principal polo industrial do País, sendo o Paraná o principal produtor, produzindo 70% da fécula brasileira, a qual é uma das principais destinações da mandioca, pois entra na composição de vários produtos industrializados, como nos frigoríficos, nas indústrias de papel e papelão, além dos biscoitos e panificação.</w:t>
      </w:r>
    </w:p>
    <w:p>
      <w:pPr>
        <w:spacing w:after="0" w:line="66" w:lineRule="exact"/>
        <w:rPr>
          <w:sz w:val="20"/>
          <w:szCs w:val="20"/>
          <w:color w:val="auto"/>
        </w:rPr>
      </w:pPr>
    </w:p>
    <w:p>
      <w:pPr>
        <w:jc w:val="both"/>
        <w:ind w:firstLine="708"/>
        <w:spacing w:after="0" w:line="344" w:lineRule="auto"/>
        <w:rPr>
          <w:sz w:val="20"/>
          <w:szCs w:val="20"/>
          <w:color w:val="auto"/>
        </w:rPr>
      </w:pPr>
      <w:r>
        <w:rPr>
          <w:rFonts w:ascii="Arial" w:cs="Arial" w:eastAsia="Arial" w:hAnsi="Arial"/>
          <w:sz w:val="24"/>
          <w:szCs w:val="24"/>
          <w:color w:val="auto"/>
        </w:rPr>
        <w:t>Em vista dessas inúmeras utilidades e destinações que podem ser dadas para a fécula e sua utilização nesses vários ramos industriais (alimentos embutidos, têxtil, embalagens, etc), o seu mercado no Paraná e em todo o país vem crescendo e se apresenta bastante amplo e promissor.</w:t>
      </w:r>
    </w:p>
    <w:p>
      <w:pPr>
        <w:spacing w:after="0" w:line="74"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De acordo com o CEPEA (2014), no primeiro semestre de 2014, o volume de mandioca processada pela indústria de fécula superou em 11% ao mesmo período de 2013. Pode-se assim verificar que a disputa pela matéria prima em questão vem aumentando e fazendo com que a fécula seja cada dia mais valorizada, sendo necessário o aumento da produção em algumas regiões para atender a crescente demanda.</w:t>
      </w:r>
    </w:p>
    <w:p>
      <w:pPr>
        <w:spacing w:after="0" w:line="68" w:lineRule="exact"/>
        <w:rPr>
          <w:sz w:val="20"/>
          <w:szCs w:val="20"/>
          <w:color w:val="auto"/>
        </w:rPr>
      </w:pPr>
    </w:p>
    <w:p>
      <w:pPr>
        <w:jc w:val="both"/>
        <w:ind w:firstLine="708"/>
        <w:spacing w:after="0" w:line="345" w:lineRule="auto"/>
        <w:rPr>
          <w:sz w:val="20"/>
          <w:szCs w:val="20"/>
          <w:color w:val="auto"/>
        </w:rPr>
      </w:pPr>
      <w:r>
        <w:rPr>
          <w:rFonts w:ascii="Arial" w:cs="Arial" w:eastAsia="Arial" w:hAnsi="Arial"/>
          <w:sz w:val="24"/>
          <w:szCs w:val="24"/>
          <w:color w:val="auto"/>
        </w:rPr>
        <w:t>Existe uma escala que vai desde unidades menores, como as para fins artesanais, de médio porte, que fabricam 100 sacas, até as de grande porte que oferecem até 300 sacas de fécula no dia. Nessa categoria também existem produtos que são vendidos de formas mais informais como as raspas de mandioca.</w:t>
      </w:r>
    </w:p>
    <w:p>
      <w:pPr>
        <w:sectPr>
          <w:pgSz w:w="11900" w:h="16838" w:orient="portrait"/>
          <w:cols w:equalWidth="0" w:num="1">
            <w:col w:w="9640"/>
          </w:cols>
          <w:pgMar w:left="1140" w:top="649" w:right="1120" w:bottom="1440" w:gutter="0" w:footer="0" w:header="0"/>
        </w:sectPr>
      </w:pPr>
    </w:p>
    <w:bookmarkStart w:id="2" w:name="page3"/>
    <w:bookmarkEnd w:id="2"/>
    <w:p>
      <w:pPr>
        <w:ind w:left="9520"/>
        <w:spacing w:after="0" w:line="239" w:lineRule="auto"/>
        <w:rPr>
          <w:sz w:val="20"/>
          <w:szCs w:val="20"/>
          <w:color w:val="auto"/>
        </w:rPr>
      </w:pPr>
      <w:r>
        <w:rPr>
          <w:rFonts w:ascii="Calibri" w:cs="Calibri" w:eastAsia="Calibri" w:hAnsi="Calibri"/>
          <w:sz w:val="22"/>
          <w:szCs w:val="22"/>
          <w:color w:val="auto"/>
        </w:rPr>
        <w:t>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708"/>
        <w:spacing w:after="0" w:line="351" w:lineRule="auto"/>
        <w:rPr>
          <w:sz w:val="20"/>
          <w:szCs w:val="20"/>
          <w:color w:val="auto"/>
        </w:rPr>
      </w:pPr>
      <w:r>
        <w:rPr>
          <w:rFonts w:ascii="Arial" w:cs="Arial" w:eastAsia="Arial" w:hAnsi="Arial"/>
          <w:sz w:val="24"/>
          <w:szCs w:val="24"/>
          <w:color w:val="auto"/>
        </w:rPr>
        <w:t>Assim, devido à importância desse produto e a sua grande concentração no Estado do Paraná, torna-se necessário investigar essa concentração, como se encontra a estrutura de mercado deste setor e como essa estrutura pode interferir na economia através da conduta das empresas, motivadas pela concorrência, a qual vai determinar o desempenho das tomadas de decisões dos gestores, que poderão saber onde focar a produção, onde e qual o momento de expandir.</w:t>
      </w:r>
    </w:p>
    <w:p>
      <w:pPr>
        <w:spacing w:after="0" w:line="62"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Portanto, este trabalho destinou-se a analisar a estrutura de mercado das indústrias de fécula do Estado do Paraná, bem como sua concentração, ou seja, buscou-se através de um estudo quantitativo e exploratório, responder ao seguinte problema: em que estrutura de mercado estão inseridas as indústrias de fécula do Estado do Paraná? Qual a sua concentração?</w:t>
      </w:r>
    </w:p>
    <w:p>
      <w:pPr>
        <w:spacing w:after="0" w:line="200" w:lineRule="exact"/>
        <w:rPr>
          <w:sz w:val="20"/>
          <w:szCs w:val="20"/>
          <w:color w:val="auto"/>
        </w:rPr>
      </w:pPr>
    </w:p>
    <w:p>
      <w:pPr>
        <w:spacing w:after="0" w:line="23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 REVISÃO DA LITERATURA</w:t>
      </w:r>
    </w:p>
    <w:p>
      <w:pPr>
        <w:spacing w:after="0" w:line="200" w:lineRule="exact"/>
        <w:rPr>
          <w:sz w:val="20"/>
          <w:szCs w:val="20"/>
          <w:color w:val="auto"/>
        </w:rPr>
      </w:pPr>
    </w:p>
    <w:p>
      <w:pPr>
        <w:spacing w:after="0" w:line="35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2.1 Panorama do setor de mandioca no Brasil</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353" w:lineRule="auto"/>
        <w:rPr>
          <w:sz w:val="20"/>
          <w:szCs w:val="20"/>
          <w:color w:val="auto"/>
        </w:rPr>
      </w:pPr>
      <w:r>
        <w:rPr>
          <w:rFonts w:ascii="Arial" w:cs="Arial" w:eastAsia="Arial" w:hAnsi="Arial"/>
          <w:sz w:val="24"/>
          <w:szCs w:val="24"/>
          <w:color w:val="auto"/>
        </w:rPr>
        <w:t>Segundo Hermogenes (2015), a raiz da mandioca é produzida em todo país, pois ela se adapta aos diferentes climas e como consequência faz parte dos hábitos alimentares da população. Por esse motivo, o Brasil é o segundo maior produtor mundial da mandioca. Assim, pode-se perceber a importância dessa cultura no país e o quanto ela vem sendo valorizada em diversos setores e difundida cada vez mais. Isso ocorre desde a descoberta do país, onde os indígenas já cultivavam a matéria-prima, sendo ela uma das principais fontes de sobrevivência das tribos. Atualmente a mandioca é utilizada para diversos fins, seja na alimentação direta, na industrialização e no beneficiamento.</w:t>
      </w:r>
    </w:p>
    <w:p>
      <w:pPr>
        <w:spacing w:after="0" w:line="65" w:lineRule="exact"/>
        <w:rPr>
          <w:sz w:val="20"/>
          <w:szCs w:val="20"/>
          <w:color w:val="auto"/>
        </w:rPr>
      </w:pPr>
    </w:p>
    <w:p>
      <w:pPr>
        <w:jc w:val="both"/>
        <w:ind w:firstLine="708"/>
        <w:spacing w:after="0" w:line="354" w:lineRule="auto"/>
        <w:rPr>
          <w:sz w:val="20"/>
          <w:szCs w:val="20"/>
          <w:color w:val="auto"/>
        </w:rPr>
      </w:pPr>
      <w:r>
        <w:rPr>
          <w:rFonts w:ascii="Arial" w:cs="Arial" w:eastAsia="Arial" w:hAnsi="Arial"/>
          <w:sz w:val="24"/>
          <w:szCs w:val="24"/>
          <w:color w:val="auto"/>
        </w:rPr>
        <w:t>A produção de mandioca no Brasil representa mais de 15% da produção mundial, e dessa produção aproveita-se tudo. As folhas e as hastes são utilizadas para a alimentação animal e a raiz é consumida na alimentação humana, animal e também pelas indústrias, principalmente de farinhas e féculas. Devido a facilidade de cultivo e por não exigir técnicas sofisticadas, de acordo com o IBGE (2014), a raiz de mandioca foi a quarta cultura mais produzida no Brasil em 2013. Entretanto, além da produção própria, o Brasil também precisou importar produtos derivados da mandioca de outros países, sendo o principal deles o Paraguai, isto para poder suprir o abastecimento principalmente do Estado da Bahia e Ceará. O SEBRAE (2014) destaca que, a importação e a exportação</w:t>
      </w:r>
    </w:p>
    <w:p>
      <w:pPr>
        <w:sectPr>
          <w:pgSz w:w="11900" w:h="16838" w:orient="portrait"/>
          <w:cols w:equalWidth="0" w:num="1">
            <w:col w:w="9640"/>
          </w:cols>
          <w:pgMar w:left="1140" w:top="649" w:right="1120" w:bottom="1440" w:gutter="0" w:footer="0" w:header="0"/>
        </w:sectPr>
      </w:pPr>
    </w:p>
    <w:bookmarkStart w:id="3" w:name="page4"/>
    <w:bookmarkEnd w:id="3"/>
    <w:p>
      <w:pPr>
        <w:jc w:val="right"/>
        <w:spacing w:after="0" w:line="239" w:lineRule="auto"/>
        <w:rPr>
          <w:sz w:val="20"/>
          <w:szCs w:val="20"/>
          <w:color w:val="auto"/>
        </w:rPr>
      </w:pPr>
      <w:r>
        <w:rPr>
          <w:rFonts w:ascii="Calibri" w:cs="Calibri" w:eastAsia="Calibri" w:hAnsi="Calibri"/>
          <w:sz w:val="22"/>
          <w:szCs w:val="22"/>
          <w:color w:val="auto"/>
        </w:rPr>
        <w:t>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left="80"/>
        <w:spacing w:after="0" w:line="316" w:lineRule="auto"/>
        <w:rPr>
          <w:sz w:val="20"/>
          <w:szCs w:val="20"/>
          <w:color w:val="auto"/>
        </w:rPr>
      </w:pPr>
      <w:r>
        <w:rPr>
          <w:rFonts w:ascii="Arial" w:cs="Arial" w:eastAsia="Arial" w:hAnsi="Arial"/>
          <w:sz w:val="24"/>
          <w:szCs w:val="24"/>
          <w:color w:val="auto"/>
        </w:rPr>
        <w:t>brasileira apresentam volumes próximos, sendo que os principais compradores são Estados Unidos, Bolívia e Venezuela.</w:t>
      </w:r>
    </w:p>
    <w:p>
      <w:pPr>
        <w:spacing w:after="0" w:line="101" w:lineRule="exact"/>
        <w:rPr>
          <w:sz w:val="20"/>
          <w:szCs w:val="20"/>
          <w:color w:val="auto"/>
        </w:rPr>
      </w:pPr>
    </w:p>
    <w:p>
      <w:pPr>
        <w:jc w:val="both"/>
        <w:ind w:left="80" w:firstLine="708"/>
        <w:spacing w:after="0" w:line="316" w:lineRule="auto"/>
        <w:rPr>
          <w:sz w:val="20"/>
          <w:szCs w:val="20"/>
          <w:color w:val="auto"/>
        </w:rPr>
      </w:pPr>
      <w:r>
        <w:rPr>
          <w:rFonts w:ascii="Arial" w:cs="Arial" w:eastAsia="Arial" w:hAnsi="Arial"/>
          <w:sz w:val="24"/>
          <w:szCs w:val="24"/>
          <w:color w:val="auto"/>
        </w:rPr>
        <w:t>O quadro 1 demonstra como vem sendo distribuída a produção da mandioca entre os Estados Brasileiros:</w:t>
      </w:r>
    </w:p>
    <w:p>
      <w:pPr>
        <w:spacing w:after="0" w:line="321" w:lineRule="exact"/>
        <w:rPr>
          <w:sz w:val="20"/>
          <w:szCs w:val="20"/>
          <w:color w:val="auto"/>
        </w:rPr>
      </w:pPr>
    </w:p>
    <w:p>
      <w:pPr>
        <w:ind w:left="80"/>
        <w:spacing w:after="0" w:line="239" w:lineRule="auto"/>
        <w:rPr>
          <w:sz w:val="20"/>
          <w:szCs w:val="20"/>
          <w:color w:val="auto"/>
        </w:rPr>
      </w:pPr>
      <w:r>
        <w:rPr>
          <w:rFonts w:ascii="Arial" w:cs="Arial" w:eastAsia="Arial" w:hAnsi="Arial"/>
          <w:sz w:val="20"/>
          <w:szCs w:val="20"/>
          <w:b w:val="1"/>
          <w:bCs w:val="1"/>
          <w:color w:val="auto"/>
        </w:rPr>
        <w:t xml:space="preserve">QUADRO 1 </w:t>
      </w:r>
      <w:r>
        <w:rPr>
          <w:rFonts w:ascii="Arial" w:cs="Arial" w:eastAsia="Arial" w:hAnsi="Arial"/>
          <w:sz w:val="20"/>
          <w:szCs w:val="20"/>
          <w:color w:val="auto"/>
        </w:rPr>
        <w:t>– Produção de Mandioca entre os Estados</w:t>
      </w:r>
    </w:p>
    <w:p>
      <w:pPr>
        <w:spacing w:after="0" w:line="64"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-3810</wp:posOffset>
                </wp:positionH>
                <wp:positionV relativeFrom="paragraph">
                  <wp:posOffset>29845</wp:posOffset>
                </wp:positionV>
                <wp:extent cx="584073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840730" cy="0"/>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2999pt,2.35pt" to="459.6pt,2.35pt" o:allowincell="f" strokecolor="#000000" strokeweight="0.9599pt"/>
            </w:pict>
          </mc:Fallback>
        </mc:AlternateContent>
        <mc:AlternateContent>
          <mc:Choice Requires="wps">
            <w:drawing>
              <wp:anchor simplePos="0" relativeHeight="251657728" behindDoc="1" locked="0" layoutInCell="0" allowOverlap="1">
                <wp:simplePos x="0" y="0"/>
                <wp:positionH relativeFrom="column">
                  <wp:posOffset>5831205</wp:posOffset>
                </wp:positionH>
                <wp:positionV relativeFrom="paragraph">
                  <wp:posOffset>23495</wp:posOffset>
                </wp:positionV>
                <wp:extent cx="0" cy="704215"/>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704215"/>
                        </a:xfrm>
                        <a:prstGeom prst="line">
                          <a:avLst/>
                        </a:prstGeom>
                        <a:solidFill>
                          <a:srgbClr val="FFFFFF"/>
                        </a:solidFill>
                        <a:ln w="12192">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59.15pt,1.85pt" to="459.15pt,57.3pt" o:allowincell="f" strokecolor="#000000" strokeweight="0.96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23495</wp:posOffset>
                </wp:positionV>
                <wp:extent cx="0" cy="1025525"/>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0" cy="1025525"/>
                        </a:xfrm>
                        <a:prstGeom prst="line">
                          <a:avLst/>
                        </a:prstGeom>
                        <a:solidFill>
                          <a:srgbClr val="FFFFFF"/>
                        </a:solidFill>
                        <a:ln w="12191">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85pt" to="0.15pt,82.6pt" o:allowincell="f" strokecolor="#000000" strokeweight="0.9599pt"/>
            </w:pict>
          </mc:Fallback>
        </mc:AlternateContent>
      </w:r>
    </w:p>
    <w:p>
      <w:pPr>
        <w:ind w:left="3600"/>
        <w:spacing w:after="0" w:line="239" w:lineRule="auto"/>
        <w:rPr>
          <w:sz w:val="20"/>
          <w:szCs w:val="20"/>
          <w:color w:val="auto"/>
        </w:rPr>
      </w:pPr>
      <w:r>
        <w:rPr>
          <w:rFonts w:ascii="Arial" w:cs="Arial" w:eastAsia="Arial" w:hAnsi="Arial"/>
          <w:sz w:val="18"/>
          <w:szCs w:val="18"/>
          <w:b w:val="1"/>
          <w:bCs w:val="1"/>
          <w:color w:val="auto"/>
        </w:rPr>
        <w:t>Variável x Ano da safra</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197"/>
        </w:trPr>
        <w:tc>
          <w:tcPr>
            <w:tcW w:w="1300" w:type="dxa"/>
            <w:vAlign w:val="bottom"/>
            <w:tcBorders>
              <w:top w:val="single" w:sz="8" w:color="auto"/>
              <w:right w:val="single" w:sz="8" w:color="auto"/>
            </w:tcBorders>
          </w:tcPr>
          <w:p>
            <w:pPr>
              <w:ind w:left="80"/>
              <w:spacing w:after="0" w:line="197" w:lineRule="exact"/>
              <w:rPr>
                <w:sz w:val="20"/>
                <w:szCs w:val="20"/>
                <w:color w:val="auto"/>
              </w:rPr>
            </w:pPr>
            <w:r>
              <w:rPr>
                <w:rFonts w:ascii="Arial" w:cs="Arial" w:eastAsia="Arial" w:hAnsi="Arial"/>
                <w:sz w:val="18"/>
                <w:szCs w:val="18"/>
                <w:b w:val="1"/>
                <w:bCs w:val="1"/>
                <w:color w:val="auto"/>
              </w:rPr>
              <w:t>Brasil,</w:t>
            </w:r>
          </w:p>
        </w:tc>
        <w:tc>
          <w:tcPr>
            <w:tcW w:w="1020" w:type="dxa"/>
            <w:vAlign w:val="bottom"/>
            <w:tcBorders>
              <w:top w:val="single" w:sz="8" w:color="auto"/>
            </w:tcBorders>
          </w:tcPr>
          <w:p>
            <w:pPr>
              <w:spacing w:after="0"/>
              <w:rPr>
                <w:sz w:val="17"/>
                <w:szCs w:val="17"/>
                <w:color w:val="auto"/>
              </w:rPr>
            </w:pPr>
          </w:p>
        </w:tc>
        <w:tc>
          <w:tcPr>
            <w:tcW w:w="1040" w:type="dxa"/>
            <w:vAlign w:val="bottom"/>
            <w:tcBorders>
              <w:top w:val="single" w:sz="8" w:color="auto"/>
              <w:right w:val="single" w:sz="8" w:color="auto"/>
            </w:tcBorders>
          </w:tcPr>
          <w:p>
            <w:pPr>
              <w:spacing w:after="0"/>
              <w:rPr>
                <w:sz w:val="17"/>
                <w:szCs w:val="17"/>
                <w:color w:val="auto"/>
              </w:rPr>
            </w:pPr>
          </w:p>
        </w:tc>
        <w:tc>
          <w:tcPr>
            <w:tcW w:w="1020" w:type="dxa"/>
            <w:vAlign w:val="bottom"/>
            <w:tcBorders>
              <w:top w:val="single" w:sz="8" w:color="auto"/>
            </w:tcBorders>
          </w:tcPr>
          <w:p>
            <w:pPr>
              <w:spacing w:after="0"/>
              <w:rPr>
                <w:sz w:val="17"/>
                <w:szCs w:val="17"/>
                <w:color w:val="auto"/>
              </w:rPr>
            </w:pPr>
          </w:p>
        </w:tc>
        <w:tc>
          <w:tcPr>
            <w:tcW w:w="1040" w:type="dxa"/>
            <w:vAlign w:val="bottom"/>
            <w:tcBorders>
              <w:top w:val="single" w:sz="8" w:color="auto"/>
              <w:right w:val="single" w:sz="8" w:color="auto"/>
            </w:tcBorders>
          </w:tcPr>
          <w:p>
            <w:pPr>
              <w:spacing w:after="0"/>
              <w:rPr>
                <w:sz w:val="17"/>
                <w:szCs w:val="17"/>
                <w:color w:val="auto"/>
              </w:rPr>
            </w:pPr>
          </w:p>
        </w:tc>
        <w:tc>
          <w:tcPr>
            <w:tcW w:w="1140" w:type="dxa"/>
            <w:vAlign w:val="bottom"/>
            <w:tcBorders>
              <w:top w:val="single" w:sz="8" w:color="auto"/>
            </w:tcBorders>
          </w:tcPr>
          <w:p>
            <w:pPr>
              <w:spacing w:after="0"/>
              <w:rPr>
                <w:sz w:val="17"/>
                <w:szCs w:val="17"/>
                <w:color w:val="auto"/>
              </w:rPr>
            </w:pPr>
          </w:p>
        </w:tc>
        <w:tc>
          <w:tcPr>
            <w:tcW w:w="1140" w:type="dxa"/>
            <w:vAlign w:val="bottom"/>
            <w:tcBorders>
              <w:top w:val="single" w:sz="8" w:color="auto"/>
              <w:right w:val="single" w:sz="8" w:color="auto"/>
            </w:tcBorders>
          </w:tcPr>
          <w:p>
            <w:pPr>
              <w:spacing w:after="0"/>
              <w:rPr>
                <w:sz w:val="17"/>
                <w:szCs w:val="17"/>
                <w:color w:val="auto"/>
              </w:rPr>
            </w:pPr>
          </w:p>
        </w:tc>
        <w:tc>
          <w:tcPr>
            <w:tcW w:w="1500" w:type="dxa"/>
            <w:vAlign w:val="bottom"/>
            <w:tcBorders>
              <w:top w:val="single" w:sz="8" w:color="auto"/>
            </w:tcBorders>
            <w:gridSpan w:val="2"/>
          </w:tcPr>
          <w:p>
            <w:pPr>
              <w:jc w:val="right"/>
              <w:ind w:right="150"/>
              <w:spacing w:after="0" w:line="197" w:lineRule="exact"/>
              <w:rPr>
                <w:sz w:val="20"/>
                <w:szCs w:val="20"/>
                <w:color w:val="auto"/>
              </w:rPr>
            </w:pPr>
            <w:r>
              <w:rPr>
                <w:rFonts w:ascii="Arial" w:cs="Arial" w:eastAsia="Arial" w:hAnsi="Arial"/>
                <w:sz w:val="18"/>
                <w:szCs w:val="18"/>
                <w:b w:val="1"/>
                <w:bCs w:val="1"/>
                <w:color w:val="auto"/>
              </w:rPr>
              <w:t>Rendimento</w:t>
            </w:r>
          </w:p>
        </w:tc>
      </w:tr>
      <w:tr>
        <w:trPr>
          <w:trHeight w:val="211"/>
        </w:trPr>
        <w:tc>
          <w:tcPr>
            <w:tcW w:w="1300" w:type="dxa"/>
            <w:vAlign w:val="bottom"/>
            <w:tcBorders>
              <w:right w:val="single" w:sz="8" w:color="auto"/>
            </w:tcBorders>
          </w:tcPr>
          <w:p>
            <w:pPr>
              <w:ind w:left="80"/>
              <w:spacing w:after="0" w:line="206" w:lineRule="exact"/>
              <w:rPr>
                <w:sz w:val="20"/>
                <w:szCs w:val="20"/>
                <w:color w:val="auto"/>
              </w:rPr>
            </w:pPr>
            <w:r>
              <w:rPr>
                <w:rFonts w:ascii="Arial" w:cs="Arial" w:eastAsia="Arial" w:hAnsi="Arial"/>
                <w:sz w:val="18"/>
                <w:szCs w:val="18"/>
                <w:b w:val="1"/>
                <w:bCs w:val="1"/>
                <w:color w:val="auto"/>
              </w:rPr>
              <w:t>região e UF</w:t>
            </w:r>
          </w:p>
        </w:tc>
        <w:tc>
          <w:tcPr>
            <w:tcW w:w="2060" w:type="dxa"/>
            <w:vAlign w:val="bottom"/>
            <w:tcBorders>
              <w:bottom w:val="single" w:sz="8" w:color="auto"/>
              <w:right w:val="single" w:sz="8" w:color="auto"/>
            </w:tcBorders>
            <w:gridSpan w:val="2"/>
          </w:tcPr>
          <w:p>
            <w:pPr>
              <w:jc w:val="right"/>
              <w:ind w:right="170"/>
              <w:spacing w:after="0" w:line="206" w:lineRule="exact"/>
              <w:rPr>
                <w:sz w:val="20"/>
                <w:szCs w:val="20"/>
                <w:color w:val="auto"/>
              </w:rPr>
            </w:pPr>
            <w:r>
              <w:rPr>
                <w:rFonts w:ascii="Arial" w:cs="Arial" w:eastAsia="Arial" w:hAnsi="Arial"/>
                <w:sz w:val="18"/>
                <w:szCs w:val="18"/>
                <w:b w:val="1"/>
                <w:bCs w:val="1"/>
                <w:color w:val="auto"/>
              </w:rPr>
              <w:t>Área plantada (ha)</w:t>
            </w:r>
          </w:p>
        </w:tc>
        <w:tc>
          <w:tcPr>
            <w:tcW w:w="2060" w:type="dxa"/>
            <w:vAlign w:val="bottom"/>
            <w:tcBorders>
              <w:bottom w:val="single" w:sz="8" w:color="auto"/>
              <w:right w:val="single" w:sz="8" w:color="auto"/>
            </w:tcBorders>
            <w:gridSpan w:val="2"/>
          </w:tcPr>
          <w:p>
            <w:pPr>
              <w:jc w:val="right"/>
              <w:ind w:right="210"/>
              <w:spacing w:after="0" w:line="206" w:lineRule="exact"/>
              <w:rPr>
                <w:sz w:val="20"/>
                <w:szCs w:val="20"/>
                <w:color w:val="auto"/>
              </w:rPr>
            </w:pPr>
            <w:r>
              <w:rPr>
                <w:rFonts w:ascii="Arial" w:cs="Arial" w:eastAsia="Arial" w:hAnsi="Arial"/>
                <w:sz w:val="18"/>
                <w:szCs w:val="18"/>
                <w:b w:val="1"/>
                <w:bCs w:val="1"/>
                <w:color w:val="auto"/>
              </w:rPr>
              <w:t>Área Colhida (ha)</w:t>
            </w:r>
          </w:p>
        </w:tc>
        <w:tc>
          <w:tcPr>
            <w:tcW w:w="2280" w:type="dxa"/>
            <w:vAlign w:val="bottom"/>
            <w:tcBorders>
              <w:bottom w:val="single" w:sz="8" w:color="auto"/>
              <w:right w:val="single" w:sz="8" w:color="auto"/>
            </w:tcBorders>
            <w:gridSpan w:val="2"/>
          </w:tcPr>
          <w:p>
            <w:pPr>
              <w:jc w:val="right"/>
              <w:ind w:right="530"/>
              <w:spacing w:after="0" w:line="206" w:lineRule="exact"/>
              <w:rPr>
                <w:sz w:val="20"/>
                <w:szCs w:val="20"/>
                <w:color w:val="auto"/>
              </w:rPr>
            </w:pPr>
            <w:r>
              <w:rPr>
                <w:rFonts w:ascii="Arial" w:cs="Arial" w:eastAsia="Arial" w:hAnsi="Arial"/>
                <w:sz w:val="18"/>
                <w:szCs w:val="18"/>
                <w:b w:val="1"/>
                <w:bCs w:val="1"/>
                <w:color w:val="auto"/>
              </w:rPr>
              <w:t>Produção (t)</w:t>
            </w:r>
          </w:p>
        </w:tc>
        <w:tc>
          <w:tcPr>
            <w:tcW w:w="1500" w:type="dxa"/>
            <w:vAlign w:val="bottom"/>
            <w:tcBorders>
              <w:bottom w:val="single" w:sz="8" w:color="auto"/>
            </w:tcBorders>
            <w:gridSpan w:val="2"/>
          </w:tcPr>
          <w:p>
            <w:pPr>
              <w:jc w:val="right"/>
              <w:ind w:right="390"/>
              <w:spacing w:after="0" w:line="206" w:lineRule="exact"/>
              <w:rPr>
                <w:sz w:val="20"/>
                <w:szCs w:val="20"/>
                <w:color w:val="auto"/>
              </w:rPr>
            </w:pPr>
            <w:r>
              <w:rPr>
                <w:rFonts w:ascii="Arial" w:cs="Arial" w:eastAsia="Arial" w:hAnsi="Arial"/>
                <w:sz w:val="18"/>
                <w:szCs w:val="18"/>
                <w:b w:val="1"/>
                <w:bCs w:val="1"/>
                <w:color w:val="auto"/>
              </w:rPr>
              <w:t>(kg/ha)</w:t>
            </w:r>
          </w:p>
        </w:tc>
      </w:tr>
      <w:tr>
        <w:trPr>
          <w:trHeight w:val="192"/>
        </w:trPr>
        <w:tc>
          <w:tcPr>
            <w:tcW w:w="1300" w:type="dxa"/>
            <w:vAlign w:val="bottom"/>
            <w:tcBorders>
              <w:right w:val="single" w:sz="8" w:color="auto"/>
            </w:tcBorders>
          </w:tcPr>
          <w:p>
            <w:pPr>
              <w:spacing w:after="0"/>
              <w:rPr>
                <w:sz w:val="16"/>
                <w:szCs w:val="16"/>
                <w:color w:val="auto"/>
              </w:rPr>
            </w:pPr>
          </w:p>
        </w:tc>
        <w:tc>
          <w:tcPr>
            <w:tcW w:w="1020" w:type="dxa"/>
            <w:vAlign w:val="bottom"/>
            <w:tcBorders>
              <w:right w:val="single" w:sz="8" w:color="auto"/>
            </w:tcBorders>
          </w:tcPr>
          <w:p>
            <w:pPr>
              <w:ind w:left="40"/>
              <w:spacing w:after="0" w:line="192" w:lineRule="exact"/>
              <w:rPr>
                <w:sz w:val="20"/>
                <w:szCs w:val="20"/>
                <w:color w:val="auto"/>
              </w:rPr>
            </w:pPr>
            <w:r>
              <w:rPr>
                <w:rFonts w:ascii="Arial" w:cs="Arial" w:eastAsia="Arial" w:hAnsi="Arial"/>
                <w:sz w:val="18"/>
                <w:szCs w:val="18"/>
                <w:b w:val="1"/>
                <w:bCs w:val="1"/>
                <w:color w:val="auto"/>
              </w:rPr>
              <w:t>Safra</w:t>
            </w:r>
          </w:p>
        </w:tc>
        <w:tc>
          <w:tcPr>
            <w:tcW w:w="1040" w:type="dxa"/>
            <w:vAlign w:val="bottom"/>
            <w:tcBorders>
              <w:right w:val="single" w:sz="8" w:color="auto"/>
            </w:tcBorders>
          </w:tcPr>
          <w:p>
            <w:pPr>
              <w:ind w:left="60"/>
              <w:spacing w:after="0" w:line="192" w:lineRule="exact"/>
              <w:rPr>
                <w:sz w:val="20"/>
                <w:szCs w:val="20"/>
                <w:color w:val="auto"/>
              </w:rPr>
            </w:pPr>
            <w:r>
              <w:rPr>
                <w:rFonts w:ascii="Arial" w:cs="Arial" w:eastAsia="Arial" w:hAnsi="Arial"/>
                <w:sz w:val="18"/>
                <w:szCs w:val="18"/>
                <w:b w:val="1"/>
                <w:bCs w:val="1"/>
                <w:color w:val="auto"/>
              </w:rPr>
              <w:t>Safra</w:t>
            </w:r>
          </w:p>
        </w:tc>
        <w:tc>
          <w:tcPr>
            <w:tcW w:w="1020" w:type="dxa"/>
            <w:vAlign w:val="bottom"/>
            <w:tcBorders>
              <w:right w:val="single" w:sz="8" w:color="auto"/>
            </w:tcBorders>
          </w:tcPr>
          <w:p>
            <w:pPr>
              <w:ind w:left="40"/>
              <w:spacing w:after="0" w:line="192" w:lineRule="exact"/>
              <w:rPr>
                <w:sz w:val="20"/>
                <w:szCs w:val="20"/>
                <w:color w:val="auto"/>
              </w:rPr>
            </w:pPr>
            <w:r>
              <w:rPr>
                <w:rFonts w:ascii="Arial" w:cs="Arial" w:eastAsia="Arial" w:hAnsi="Arial"/>
                <w:sz w:val="18"/>
                <w:szCs w:val="18"/>
                <w:b w:val="1"/>
                <w:bCs w:val="1"/>
                <w:color w:val="auto"/>
              </w:rPr>
              <w:t>Safra</w:t>
            </w:r>
          </w:p>
        </w:tc>
        <w:tc>
          <w:tcPr>
            <w:tcW w:w="1040" w:type="dxa"/>
            <w:vAlign w:val="bottom"/>
            <w:tcBorders>
              <w:right w:val="single" w:sz="8" w:color="auto"/>
            </w:tcBorders>
          </w:tcPr>
          <w:p>
            <w:pPr>
              <w:ind w:left="60"/>
              <w:spacing w:after="0" w:line="192" w:lineRule="exact"/>
              <w:rPr>
                <w:sz w:val="20"/>
                <w:szCs w:val="20"/>
                <w:color w:val="auto"/>
              </w:rPr>
            </w:pPr>
            <w:r>
              <w:rPr>
                <w:rFonts w:ascii="Arial" w:cs="Arial" w:eastAsia="Arial" w:hAnsi="Arial"/>
                <w:sz w:val="18"/>
                <w:szCs w:val="18"/>
                <w:b w:val="1"/>
                <w:bCs w:val="1"/>
                <w:color w:val="auto"/>
              </w:rPr>
              <w:t>Safra</w:t>
            </w:r>
          </w:p>
        </w:tc>
        <w:tc>
          <w:tcPr>
            <w:tcW w:w="1140" w:type="dxa"/>
            <w:vAlign w:val="bottom"/>
            <w:tcBorders>
              <w:right w:val="single" w:sz="8" w:color="auto"/>
            </w:tcBorders>
          </w:tcPr>
          <w:p>
            <w:pPr>
              <w:spacing w:after="0"/>
              <w:rPr>
                <w:sz w:val="16"/>
                <w:szCs w:val="16"/>
                <w:color w:val="auto"/>
              </w:rPr>
            </w:pPr>
          </w:p>
        </w:tc>
        <w:tc>
          <w:tcPr>
            <w:tcW w:w="114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ind w:left="60"/>
              <w:spacing w:after="0" w:line="192" w:lineRule="exact"/>
              <w:rPr>
                <w:sz w:val="20"/>
                <w:szCs w:val="20"/>
                <w:color w:val="auto"/>
              </w:rPr>
            </w:pPr>
            <w:r>
              <w:rPr>
                <w:rFonts w:ascii="Arial" w:cs="Arial" w:eastAsia="Arial" w:hAnsi="Arial"/>
                <w:sz w:val="18"/>
                <w:szCs w:val="18"/>
                <w:b w:val="1"/>
                <w:bCs w:val="1"/>
                <w:color w:val="auto"/>
              </w:rPr>
              <w:t>Safra</w:t>
            </w:r>
          </w:p>
        </w:tc>
        <w:tc>
          <w:tcPr>
            <w:tcW w:w="760" w:type="dxa"/>
            <w:vAlign w:val="bottom"/>
          </w:tcPr>
          <w:p>
            <w:pPr>
              <w:jc w:val="right"/>
              <w:ind w:right="150"/>
              <w:spacing w:after="0" w:line="192" w:lineRule="exact"/>
              <w:rPr>
                <w:sz w:val="20"/>
                <w:szCs w:val="20"/>
                <w:color w:val="auto"/>
              </w:rPr>
            </w:pPr>
            <w:r>
              <w:rPr>
                <w:rFonts w:ascii="Arial" w:cs="Arial" w:eastAsia="Arial" w:hAnsi="Arial"/>
                <w:sz w:val="18"/>
                <w:szCs w:val="18"/>
                <w:b w:val="1"/>
                <w:bCs w:val="1"/>
                <w:color w:val="auto"/>
              </w:rPr>
              <w:t>Safra</w:t>
            </w:r>
          </w:p>
        </w:tc>
      </w:tr>
      <w:tr>
        <w:trPr>
          <w:trHeight w:val="215"/>
        </w:trPr>
        <w:tc>
          <w:tcPr>
            <w:tcW w:w="1300" w:type="dxa"/>
            <w:vAlign w:val="bottom"/>
            <w:tcBorders>
              <w:bottom w:val="single" w:sz="8" w:color="auto"/>
              <w:right w:val="single" w:sz="8" w:color="auto"/>
            </w:tcBorders>
          </w:tcPr>
          <w:p>
            <w:pPr>
              <w:spacing w:after="0"/>
              <w:rPr>
                <w:sz w:val="18"/>
                <w:szCs w:val="18"/>
                <w:color w:val="auto"/>
              </w:rPr>
            </w:pPr>
          </w:p>
        </w:tc>
        <w:tc>
          <w:tcPr>
            <w:tcW w:w="1020" w:type="dxa"/>
            <w:vAlign w:val="bottom"/>
            <w:tcBorders>
              <w:bottom w:val="single" w:sz="8" w:color="auto"/>
              <w:right w:val="single" w:sz="8" w:color="auto"/>
            </w:tcBorders>
          </w:tcPr>
          <w:p>
            <w:pPr>
              <w:ind w:left="40"/>
              <w:spacing w:after="0" w:line="206" w:lineRule="exact"/>
              <w:rPr>
                <w:sz w:val="20"/>
                <w:szCs w:val="20"/>
                <w:color w:val="auto"/>
              </w:rPr>
            </w:pPr>
            <w:r>
              <w:rPr>
                <w:rFonts w:ascii="Arial" w:cs="Arial" w:eastAsia="Arial" w:hAnsi="Arial"/>
                <w:sz w:val="18"/>
                <w:szCs w:val="18"/>
                <w:b w:val="1"/>
                <w:bCs w:val="1"/>
                <w:color w:val="auto"/>
              </w:rPr>
              <w:t>2013</w:t>
            </w:r>
          </w:p>
        </w:tc>
        <w:tc>
          <w:tcPr>
            <w:tcW w:w="1040" w:type="dxa"/>
            <w:vAlign w:val="bottom"/>
            <w:tcBorders>
              <w:bottom w:val="single" w:sz="8" w:color="auto"/>
              <w:right w:val="single" w:sz="8" w:color="auto"/>
            </w:tcBorders>
          </w:tcPr>
          <w:p>
            <w:pPr>
              <w:ind w:left="60"/>
              <w:spacing w:after="0" w:line="206" w:lineRule="exact"/>
              <w:rPr>
                <w:sz w:val="20"/>
                <w:szCs w:val="20"/>
                <w:color w:val="auto"/>
              </w:rPr>
            </w:pPr>
            <w:r>
              <w:rPr>
                <w:rFonts w:ascii="Arial" w:cs="Arial" w:eastAsia="Arial" w:hAnsi="Arial"/>
                <w:sz w:val="18"/>
                <w:szCs w:val="18"/>
                <w:b w:val="1"/>
                <w:bCs w:val="1"/>
                <w:color w:val="auto"/>
              </w:rPr>
              <w:t>2014</w:t>
            </w:r>
          </w:p>
        </w:tc>
        <w:tc>
          <w:tcPr>
            <w:tcW w:w="1020" w:type="dxa"/>
            <w:vAlign w:val="bottom"/>
            <w:tcBorders>
              <w:bottom w:val="single" w:sz="8" w:color="auto"/>
              <w:right w:val="single" w:sz="8" w:color="auto"/>
            </w:tcBorders>
          </w:tcPr>
          <w:p>
            <w:pPr>
              <w:ind w:left="40"/>
              <w:spacing w:after="0" w:line="206" w:lineRule="exact"/>
              <w:rPr>
                <w:sz w:val="20"/>
                <w:szCs w:val="20"/>
                <w:color w:val="auto"/>
              </w:rPr>
            </w:pPr>
            <w:r>
              <w:rPr>
                <w:rFonts w:ascii="Arial" w:cs="Arial" w:eastAsia="Arial" w:hAnsi="Arial"/>
                <w:sz w:val="18"/>
                <w:szCs w:val="18"/>
                <w:b w:val="1"/>
                <w:bCs w:val="1"/>
                <w:color w:val="auto"/>
              </w:rPr>
              <w:t>2013</w:t>
            </w:r>
          </w:p>
        </w:tc>
        <w:tc>
          <w:tcPr>
            <w:tcW w:w="1040" w:type="dxa"/>
            <w:vAlign w:val="bottom"/>
            <w:tcBorders>
              <w:bottom w:val="single" w:sz="8" w:color="auto"/>
              <w:right w:val="single" w:sz="8" w:color="auto"/>
            </w:tcBorders>
          </w:tcPr>
          <w:p>
            <w:pPr>
              <w:ind w:left="60"/>
              <w:spacing w:after="0" w:line="206" w:lineRule="exact"/>
              <w:rPr>
                <w:sz w:val="20"/>
                <w:szCs w:val="20"/>
                <w:color w:val="auto"/>
              </w:rPr>
            </w:pPr>
            <w:r>
              <w:rPr>
                <w:rFonts w:ascii="Arial" w:cs="Arial" w:eastAsia="Arial" w:hAnsi="Arial"/>
                <w:sz w:val="18"/>
                <w:szCs w:val="18"/>
                <w:b w:val="1"/>
                <w:bCs w:val="1"/>
                <w:color w:val="auto"/>
              </w:rPr>
              <w:t>2014</w:t>
            </w:r>
          </w:p>
        </w:tc>
        <w:tc>
          <w:tcPr>
            <w:tcW w:w="1140" w:type="dxa"/>
            <w:vAlign w:val="bottom"/>
            <w:tcBorders>
              <w:bottom w:val="single" w:sz="8" w:color="auto"/>
              <w:right w:val="single" w:sz="8" w:color="auto"/>
            </w:tcBorders>
          </w:tcPr>
          <w:p>
            <w:pPr>
              <w:jc w:val="right"/>
              <w:ind w:right="110"/>
              <w:spacing w:after="0" w:line="206" w:lineRule="exact"/>
              <w:rPr>
                <w:sz w:val="20"/>
                <w:szCs w:val="20"/>
                <w:color w:val="auto"/>
              </w:rPr>
            </w:pPr>
            <w:r>
              <w:rPr>
                <w:rFonts w:ascii="Arial" w:cs="Arial" w:eastAsia="Arial" w:hAnsi="Arial"/>
                <w:sz w:val="18"/>
                <w:szCs w:val="18"/>
                <w:b w:val="1"/>
                <w:bCs w:val="1"/>
                <w:color w:val="auto"/>
              </w:rPr>
              <w:t>Safra 2013</w:t>
            </w:r>
          </w:p>
        </w:tc>
        <w:tc>
          <w:tcPr>
            <w:tcW w:w="1140" w:type="dxa"/>
            <w:vAlign w:val="bottom"/>
            <w:tcBorders>
              <w:bottom w:val="single" w:sz="8" w:color="auto"/>
              <w:right w:val="single" w:sz="8" w:color="auto"/>
            </w:tcBorders>
          </w:tcPr>
          <w:p>
            <w:pPr>
              <w:jc w:val="right"/>
              <w:ind w:right="110"/>
              <w:spacing w:after="0" w:line="206" w:lineRule="exact"/>
              <w:rPr>
                <w:sz w:val="20"/>
                <w:szCs w:val="20"/>
                <w:color w:val="auto"/>
              </w:rPr>
            </w:pPr>
            <w:r>
              <w:rPr>
                <w:rFonts w:ascii="Arial" w:cs="Arial" w:eastAsia="Arial" w:hAnsi="Arial"/>
                <w:sz w:val="18"/>
                <w:szCs w:val="18"/>
                <w:b w:val="1"/>
                <w:bCs w:val="1"/>
                <w:color w:val="auto"/>
              </w:rPr>
              <w:t>Safra 2014</w:t>
            </w:r>
          </w:p>
        </w:tc>
        <w:tc>
          <w:tcPr>
            <w:tcW w:w="740" w:type="dxa"/>
            <w:vAlign w:val="bottom"/>
            <w:tcBorders>
              <w:bottom w:val="single" w:sz="8" w:color="auto"/>
              <w:right w:val="single" w:sz="8" w:color="auto"/>
            </w:tcBorders>
          </w:tcPr>
          <w:p>
            <w:pPr>
              <w:ind w:left="60"/>
              <w:spacing w:after="0" w:line="206" w:lineRule="exact"/>
              <w:rPr>
                <w:sz w:val="20"/>
                <w:szCs w:val="20"/>
                <w:color w:val="auto"/>
              </w:rPr>
            </w:pPr>
            <w:r>
              <w:rPr>
                <w:rFonts w:ascii="Arial" w:cs="Arial" w:eastAsia="Arial" w:hAnsi="Arial"/>
                <w:sz w:val="18"/>
                <w:szCs w:val="18"/>
                <w:b w:val="1"/>
                <w:bCs w:val="1"/>
                <w:color w:val="auto"/>
              </w:rPr>
              <w:t>2013</w:t>
            </w:r>
          </w:p>
        </w:tc>
        <w:tc>
          <w:tcPr>
            <w:tcW w:w="760" w:type="dxa"/>
            <w:vAlign w:val="bottom"/>
            <w:tcBorders>
              <w:bottom w:val="single" w:sz="8" w:color="auto"/>
            </w:tcBorders>
          </w:tcPr>
          <w:p>
            <w:pPr>
              <w:jc w:val="right"/>
              <w:ind w:right="210"/>
              <w:spacing w:after="0" w:line="206" w:lineRule="exact"/>
              <w:rPr>
                <w:sz w:val="20"/>
                <w:szCs w:val="20"/>
                <w:color w:val="auto"/>
              </w:rPr>
            </w:pPr>
            <w:r>
              <w:rPr>
                <w:rFonts w:ascii="Arial" w:cs="Arial" w:eastAsia="Arial" w:hAnsi="Arial"/>
                <w:sz w:val="18"/>
                <w:szCs w:val="18"/>
                <w:b w:val="1"/>
                <w:bCs w:val="1"/>
                <w:color w:val="auto"/>
              </w:rPr>
              <w:t>2014</w:t>
            </w:r>
          </w:p>
        </w:tc>
      </w:tr>
      <w:tr>
        <w:trPr>
          <w:trHeight w:val="232"/>
        </w:trPr>
        <w:tc>
          <w:tcPr>
            <w:tcW w:w="1300" w:type="dxa"/>
            <w:vAlign w:val="bottom"/>
            <w:tcBorders>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b w:val="1"/>
                <w:bCs w:val="1"/>
                <w:color w:val="auto"/>
              </w:rPr>
              <w:t>Brasil</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2.086.266</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b w:val="1"/>
                <w:bCs w:val="1"/>
                <w:color w:val="auto"/>
              </w:rPr>
              <w:t>2.312.378</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1.525.441</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1.588.253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21.225.782</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23.246.352</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13.915</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14.636</w:t>
            </w:r>
          </w:p>
        </w:tc>
      </w:tr>
      <w:tr>
        <w:trPr>
          <w:trHeight w:val="234"/>
        </w:trPr>
        <w:tc>
          <w:tcPr>
            <w:tcW w:w="1300" w:type="dxa"/>
            <w:vAlign w:val="bottom"/>
            <w:tcBorders>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b w:val="1"/>
                <w:bCs w:val="1"/>
                <w:color w:val="auto"/>
              </w:rPr>
              <w:t>Norte</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825.691</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b w:val="1"/>
                <w:bCs w:val="1"/>
                <w:color w:val="auto"/>
              </w:rPr>
              <w:t>917.265</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482.655</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520.396</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7.379.189</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7.835.666</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15.289</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15.057</w:t>
            </w:r>
          </w:p>
        </w:tc>
      </w:tr>
      <w:tr>
        <w:trPr>
          <w:trHeight w:val="220"/>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Rondônia</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29.798</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29.696</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28.088</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26.631</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446.094</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563.278</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15.882</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21.151</w:t>
            </w:r>
          </w:p>
        </w:tc>
      </w:tr>
      <w:tr>
        <w:trPr>
          <w:trHeight w:val="210"/>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Acre</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44.698</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47.066</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44.257</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46.259</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891.489</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1.020.572</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20.143</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22.062</w:t>
            </w:r>
          </w:p>
        </w:tc>
      </w:tr>
      <w:tr>
        <w:trPr>
          <w:trHeight w:val="210"/>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Amazonas</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92.574</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96.838</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82.621</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82.594</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964.970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964.970</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11.679</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11.683</w:t>
            </w:r>
          </w:p>
        </w:tc>
      </w:tr>
      <w:tr>
        <w:trPr>
          <w:trHeight w:val="210"/>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Roraima</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6.800</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6.210</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5.800</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5.800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77.190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77.192</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13.309</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13.309</w:t>
            </w: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Pará</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621.821</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700.472</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298.190</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331.483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4.681.102</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4.780.082</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15.698</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14.420</w:t>
            </w:r>
          </w:p>
        </w:tc>
      </w:tr>
      <w:tr>
        <w:trPr>
          <w:trHeight w:val="209"/>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Amapá</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12.150</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14.500</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11.850</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14.500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134.720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180.200</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11.369</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12.428</w:t>
            </w:r>
          </w:p>
        </w:tc>
      </w:tr>
      <w:tr>
        <w:trPr>
          <w:trHeight w:val="225"/>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Tocantins</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17.850</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22.483</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11.849</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13.129</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183.624</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249.372</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15.497</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18.994</w:t>
            </w:r>
          </w:p>
        </w:tc>
      </w:tr>
      <w:tr>
        <w:trPr>
          <w:trHeight w:val="234"/>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b w:val="1"/>
                <w:bCs w:val="1"/>
                <w:color w:val="auto"/>
              </w:rPr>
              <w:t>Nordeste</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745.646</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b w:val="1"/>
                <w:bCs w:val="1"/>
                <w:color w:val="auto"/>
              </w:rPr>
              <w:t>863.613</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575.055</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580.009</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4.798.282</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6.012.040</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8.344</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10.365</w:t>
            </w:r>
          </w:p>
        </w:tc>
      </w:tr>
      <w:tr>
        <w:trPr>
          <w:trHeight w:val="22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Maranhão</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189.693</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188.080</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189.693</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188.080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1.325.328</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1.631.860</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6.987</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8.676</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Piaui</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65.535</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67.856</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37.602</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28.837</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156.256</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238.829</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4.156</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8.282</w:t>
            </w: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Ceará</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121.593</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132.136</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65.519</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61.533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300.348</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591.985</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4.584</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9.621</w:t>
            </w:r>
          </w:p>
        </w:tc>
      </w:tr>
      <w:tr>
        <w:trPr>
          <w:trHeight w:val="196"/>
        </w:trPr>
        <w:tc>
          <w:tcPr>
            <w:tcW w:w="1300" w:type="dxa"/>
            <w:vAlign w:val="bottom"/>
            <w:tcBorders>
              <w:left w:val="single" w:sz="8" w:color="auto"/>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Rio Grande</w:t>
            </w: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spacing w:after="0"/>
              <w:rPr>
                <w:sz w:val="17"/>
                <w:szCs w:val="17"/>
                <w:color w:val="auto"/>
              </w:rPr>
            </w:pPr>
          </w:p>
        </w:tc>
        <w:tc>
          <w:tcPr>
            <w:tcW w:w="760" w:type="dxa"/>
            <w:vAlign w:val="bottom"/>
            <w:tcBorders>
              <w:right w:val="single" w:sz="8" w:color="auto"/>
            </w:tcBorders>
          </w:tcPr>
          <w:p>
            <w:pPr>
              <w:spacing w:after="0"/>
              <w:rPr>
                <w:sz w:val="17"/>
                <w:szCs w:val="17"/>
                <w:color w:val="auto"/>
              </w:rPr>
            </w:pPr>
          </w:p>
        </w:tc>
      </w:tr>
      <w:tr>
        <w:trPr>
          <w:trHeight w:val="208"/>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do Norte</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18.337</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42.496</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8.025</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28.989</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80.685</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371.352</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10.054</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12.810</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Paraíba</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18.464</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18.169</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14.796</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15.175</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135.052</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149.338</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9.128</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9.841</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Pernambuco</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55.822</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57.916</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35.245</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33.670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292.406</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322.425</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8.269</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9.576</w:t>
            </w: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Alagoas</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36.962</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36.787</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17.471</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18.403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222.960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217.071</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12.762</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11.795</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Sergipe</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55.872</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54.183</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28.738</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27.554</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433.723</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401.657</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15.092</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14.577</w:t>
            </w:r>
          </w:p>
        </w:tc>
      </w:tr>
      <w:tr>
        <w:trPr>
          <w:trHeight w:val="224"/>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Bahia</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183.368</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265.990</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177.966</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177.768</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1.851.524</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2.087.523</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10.404</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11.743</w:t>
            </w:r>
          </w:p>
        </w:tc>
      </w:tr>
      <w:tr>
        <w:trPr>
          <w:trHeight w:val="234"/>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b w:val="1"/>
                <w:bCs w:val="1"/>
                <w:color w:val="auto"/>
              </w:rPr>
              <w:t>Sudeste</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164.524</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b w:val="1"/>
                <w:bCs w:val="1"/>
                <w:color w:val="auto"/>
              </w:rPr>
              <w:t>165.390</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138.922</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141.075</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2.223.289</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2.268.200</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16.004</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16.078</w:t>
            </w:r>
          </w:p>
        </w:tc>
      </w:tr>
      <w:tr>
        <w:trPr>
          <w:trHeight w:val="22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Minas Gerais</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81.108</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80.809</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58.681</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59.996</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816.443</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858.388</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13.913</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14.307</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Espirito Santo</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11.309</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10.909</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9.285</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9.657</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157.603</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164.694</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16.974</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17.054</w:t>
            </w:r>
          </w:p>
        </w:tc>
      </w:tr>
      <w:tr>
        <w:trPr>
          <w:trHeight w:val="195"/>
        </w:trPr>
        <w:tc>
          <w:tcPr>
            <w:tcW w:w="1300" w:type="dxa"/>
            <w:vAlign w:val="bottom"/>
            <w:tcBorders>
              <w:left w:val="single" w:sz="8" w:color="auto"/>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Rio de</w:t>
            </w:r>
          </w:p>
        </w:tc>
        <w:tc>
          <w:tcPr>
            <w:tcW w:w="1020" w:type="dxa"/>
            <w:vAlign w:val="bottom"/>
            <w:tcBorders>
              <w:right w:val="single" w:sz="8" w:color="auto"/>
            </w:tcBorders>
          </w:tcPr>
          <w:p>
            <w:pPr>
              <w:spacing w:after="0"/>
              <w:rPr>
                <w:sz w:val="16"/>
                <w:szCs w:val="16"/>
                <w:color w:val="auto"/>
              </w:rPr>
            </w:pPr>
          </w:p>
        </w:tc>
        <w:tc>
          <w:tcPr>
            <w:tcW w:w="1040" w:type="dxa"/>
            <w:vAlign w:val="bottom"/>
            <w:tcBorders>
              <w:right w:val="single" w:sz="8" w:color="auto"/>
            </w:tcBorders>
          </w:tcPr>
          <w:p>
            <w:pPr>
              <w:spacing w:after="0"/>
              <w:rPr>
                <w:sz w:val="16"/>
                <w:szCs w:val="16"/>
                <w:color w:val="auto"/>
              </w:rPr>
            </w:pPr>
          </w:p>
        </w:tc>
        <w:tc>
          <w:tcPr>
            <w:tcW w:w="1020" w:type="dxa"/>
            <w:vAlign w:val="bottom"/>
            <w:tcBorders>
              <w:right w:val="single" w:sz="8" w:color="auto"/>
            </w:tcBorders>
          </w:tcPr>
          <w:p>
            <w:pPr>
              <w:spacing w:after="0"/>
              <w:rPr>
                <w:sz w:val="16"/>
                <w:szCs w:val="16"/>
                <w:color w:val="auto"/>
              </w:rPr>
            </w:pPr>
          </w:p>
        </w:tc>
        <w:tc>
          <w:tcPr>
            <w:tcW w:w="1040" w:type="dxa"/>
            <w:vAlign w:val="bottom"/>
            <w:tcBorders>
              <w:right w:val="single" w:sz="8" w:color="auto"/>
            </w:tcBorders>
          </w:tcPr>
          <w:p>
            <w:pPr>
              <w:spacing w:after="0"/>
              <w:rPr>
                <w:sz w:val="16"/>
                <w:szCs w:val="16"/>
                <w:color w:val="auto"/>
              </w:rPr>
            </w:pPr>
          </w:p>
        </w:tc>
        <w:tc>
          <w:tcPr>
            <w:tcW w:w="1140" w:type="dxa"/>
            <w:vAlign w:val="bottom"/>
            <w:tcBorders>
              <w:right w:val="single" w:sz="8" w:color="auto"/>
            </w:tcBorders>
          </w:tcPr>
          <w:p>
            <w:pPr>
              <w:spacing w:after="0"/>
              <w:rPr>
                <w:sz w:val="16"/>
                <w:szCs w:val="16"/>
                <w:color w:val="auto"/>
              </w:rPr>
            </w:pPr>
          </w:p>
        </w:tc>
        <w:tc>
          <w:tcPr>
            <w:tcW w:w="114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760" w:type="dxa"/>
            <w:vAlign w:val="bottom"/>
            <w:tcBorders>
              <w:right w:val="single" w:sz="8" w:color="auto"/>
            </w:tcBorders>
          </w:tcPr>
          <w:p>
            <w:pPr>
              <w:spacing w:after="0"/>
              <w:rPr>
                <w:sz w:val="16"/>
                <w:szCs w:val="16"/>
                <w:color w:val="auto"/>
              </w:rPr>
            </w:pP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Janeiro</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13.362</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14.927</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12.956</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13.422</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195.343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191.218</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15.077</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14.247</w:t>
            </w:r>
          </w:p>
        </w:tc>
      </w:tr>
      <w:tr>
        <w:trPr>
          <w:trHeight w:val="224"/>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São Paulo</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58.745</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58.745</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58.000</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58.000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1.053.900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1.053.900</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18.171</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18.171</w:t>
            </w:r>
          </w:p>
        </w:tc>
      </w:tr>
      <w:tr>
        <w:trPr>
          <w:trHeight w:val="234"/>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b w:val="1"/>
                <w:bCs w:val="1"/>
                <w:color w:val="auto"/>
              </w:rPr>
              <w:t>Sul</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277.863</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b w:val="1"/>
                <w:bCs w:val="1"/>
                <w:color w:val="auto"/>
              </w:rPr>
              <w:t>289.653</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261.151</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273.358</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5.579.869</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5.778.381</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21.366</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b w:val="1"/>
                <w:bCs w:val="1"/>
                <w:color w:val="auto"/>
              </w:rPr>
              <w:t>21.139</w:t>
            </w:r>
          </w:p>
        </w:tc>
      </w:tr>
      <w:tr>
        <w:trPr>
          <w:trHeight w:val="22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Paraná</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161.543</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177.121</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161.543</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177.121</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3.865.600</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4.075.605</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23.929</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23.010</w:t>
            </w:r>
          </w:p>
        </w:tc>
      </w:tr>
      <w:tr>
        <w:trPr>
          <w:trHeight w:val="195"/>
        </w:trPr>
        <w:tc>
          <w:tcPr>
            <w:tcW w:w="1300" w:type="dxa"/>
            <w:vAlign w:val="bottom"/>
            <w:tcBorders>
              <w:left w:val="single" w:sz="8" w:color="auto"/>
              <w:right w:val="single" w:sz="8" w:color="auto"/>
            </w:tcBorders>
          </w:tcPr>
          <w:p>
            <w:pPr>
              <w:ind w:left="80"/>
              <w:spacing w:after="0" w:line="194" w:lineRule="exact"/>
              <w:rPr>
                <w:sz w:val="20"/>
                <w:szCs w:val="20"/>
                <w:color w:val="auto"/>
              </w:rPr>
            </w:pPr>
            <w:r>
              <w:rPr>
                <w:rFonts w:ascii="Arial" w:cs="Arial" w:eastAsia="Arial" w:hAnsi="Arial"/>
                <w:sz w:val="18"/>
                <w:szCs w:val="18"/>
                <w:color w:val="auto"/>
              </w:rPr>
              <w:t>Santa</w:t>
            </w:r>
          </w:p>
        </w:tc>
        <w:tc>
          <w:tcPr>
            <w:tcW w:w="1020" w:type="dxa"/>
            <w:vAlign w:val="bottom"/>
            <w:tcBorders>
              <w:right w:val="single" w:sz="8" w:color="auto"/>
            </w:tcBorders>
          </w:tcPr>
          <w:p>
            <w:pPr>
              <w:spacing w:after="0"/>
              <w:rPr>
                <w:sz w:val="16"/>
                <w:szCs w:val="16"/>
                <w:color w:val="auto"/>
              </w:rPr>
            </w:pPr>
          </w:p>
        </w:tc>
        <w:tc>
          <w:tcPr>
            <w:tcW w:w="1040" w:type="dxa"/>
            <w:vAlign w:val="bottom"/>
            <w:tcBorders>
              <w:right w:val="single" w:sz="8" w:color="auto"/>
            </w:tcBorders>
          </w:tcPr>
          <w:p>
            <w:pPr>
              <w:spacing w:after="0"/>
              <w:rPr>
                <w:sz w:val="16"/>
                <w:szCs w:val="16"/>
                <w:color w:val="auto"/>
              </w:rPr>
            </w:pPr>
          </w:p>
        </w:tc>
        <w:tc>
          <w:tcPr>
            <w:tcW w:w="1020" w:type="dxa"/>
            <w:vAlign w:val="bottom"/>
            <w:tcBorders>
              <w:right w:val="single" w:sz="8" w:color="auto"/>
            </w:tcBorders>
          </w:tcPr>
          <w:p>
            <w:pPr>
              <w:spacing w:after="0"/>
              <w:rPr>
                <w:sz w:val="16"/>
                <w:szCs w:val="16"/>
                <w:color w:val="auto"/>
              </w:rPr>
            </w:pPr>
          </w:p>
        </w:tc>
        <w:tc>
          <w:tcPr>
            <w:tcW w:w="1040" w:type="dxa"/>
            <w:vAlign w:val="bottom"/>
            <w:tcBorders>
              <w:right w:val="single" w:sz="8" w:color="auto"/>
            </w:tcBorders>
          </w:tcPr>
          <w:p>
            <w:pPr>
              <w:spacing w:after="0"/>
              <w:rPr>
                <w:sz w:val="16"/>
                <w:szCs w:val="16"/>
                <w:color w:val="auto"/>
              </w:rPr>
            </w:pPr>
          </w:p>
        </w:tc>
        <w:tc>
          <w:tcPr>
            <w:tcW w:w="1140" w:type="dxa"/>
            <w:vAlign w:val="bottom"/>
            <w:tcBorders>
              <w:right w:val="single" w:sz="8" w:color="auto"/>
            </w:tcBorders>
          </w:tcPr>
          <w:p>
            <w:pPr>
              <w:spacing w:after="0"/>
              <w:rPr>
                <w:sz w:val="16"/>
                <w:szCs w:val="16"/>
                <w:color w:val="auto"/>
              </w:rPr>
            </w:pPr>
          </w:p>
        </w:tc>
        <w:tc>
          <w:tcPr>
            <w:tcW w:w="1140" w:type="dxa"/>
            <w:vAlign w:val="bottom"/>
            <w:tcBorders>
              <w:right w:val="single" w:sz="8" w:color="auto"/>
            </w:tcBorders>
          </w:tcPr>
          <w:p>
            <w:pPr>
              <w:spacing w:after="0"/>
              <w:rPr>
                <w:sz w:val="16"/>
                <w:szCs w:val="16"/>
                <w:color w:val="auto"/>
              </w:rPr>
            </w:pPr>
          </w:p>
        </w:tc>
        <w:tc>
          <w:tcPr>
            <w:tcW w:w="740" w:type="dxa"/>
            <w:vAlign w:val="bottom"/>
            <w:tcBorders>
              <w:right w:val="single" w:sz="8" w:color="auto"/>
            </w:tcBorders>
          </w:tcPr>
          <w:p>
            <w:pPr>
              <w:spacing w:after="0"/>
              <w:rPr>
                <w:sz w:val="16"/>
                <w:szCs w:val="16"/>
                <w:color w:val="auto"/>
              </w:rPr>
            </w:pPr>
          </w:p>
        </w:tc>
        <w:tc>
          <w:tcPr>
            <w:tcW w:w="760" w:type="dxa"/>
            <w:vAlign w:val="bottom"/>
            <w:tcBorders>
              <w:right w:val="single" w:sz="8" w:color="auto"/>
            </w:tcBorders>
          </w:tcPr>
          <w:p>
            <w:pPr>
              <w:spacing w:after="0"/>
              <w:rPr>
                <w:sz w:val="16"/>
                <w:szCs w:val="16"/>
                <w:color w:val="auto"/>
              </w:rPr>
            </w:pP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Catarina</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42.284</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40.765</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28.404</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26.764</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548.303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512.253</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19.304</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19.140</w:t>
            </w:r>
          </w:p>
        </w:tc>
      </w:tr>
      <w:tr>
        <w:trPr>
          <w:trHeight w:val="196"/>
        </w:trPr>
        <w:tc>
          <w:tcPr>
            <w:tcW w:w="1300" w:type="dxa"/>
            <w:vAlign w:val="bottom"/>
            <w:tcBorders>
              <w:left w:val="single" w:sz="8" w:color="auto"/>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Rio Grande</w:t>
            </w: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spacing w:after="0"/>
              <w:rPr>
                <w:sz w:val="17"/>
                <w:szCs w:val="17"/>
                <w:color w:val="auto"/>
              </w:rPr>
            </w:pPr>
          </w:p>
        </w:tc>
        <w:tc>
          <w:tcPr>
            <w:tcW w:w="760" w:type="dxa"/>
            <w:vAlign w:val="bottom"/>
            <w:tcBorders>
              <w:right w:val="single" w:sz="8" w:color="auto"/>
            </w:tcBorders>
          </w:tcPr>
          <w:p>
            <w:pPr>
              <w:spacing w:after="0"/>
              <w:rPr>
                <w:sz w:val="17"/>
                <w:szCs w:val="17"/>
                <w:color w:val="auto"/>
              </w:rPr>
            </w:pPr>
          </w:p>
        </w:tc>
      </w:tr>
      <w:tr>
        <w:trPr>
          <w:trHeight w:val="208"/>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do Sul</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74.036</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71.767</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71.204</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69.473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1.165.966</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1.190.523</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16.375</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17.136</w:t>
            </w:r>
          </w:p>
        </w:tc>
      </w:tr>
      <w:tr>
        <w:trPr>
          <w:trHeight w:val="202"/>
        </w:trPr>
        <w:tc>
          <w:tcPr>
            <w:tcW w:w="1300" w:type="dxa"/>
            <w:vAlign w:val="bottom"/>
            <w:tcBorders>
              <w:left w:val="single" w:sz="8" w:color="auto"/>
              <w:right w:val="single" w:sz="8" w:color="auto"/>
            </w:tcBorders>
          </w:tcPr>
          <w:p>
            <w:pPr>
              <w:ind w:left="80"/>
              <w:spacing w:after="0" w:line="201" w:lineRule="exact"/>
              <w:rPr>
                <w:sz w:val="20"/>
                <w:szCs w:val="20"/>
                <w:color w:val="auto"/>
              </w:rPr>
            </w:pPr>
            <w:r>
              <w:rPr>
                <w:rFonts w:ascii="Arial" w:cs="Arial" w:eastAsia="Arial" w:hAnsi="Arial"/>
                <w:sz w:val="18"/>
                <w:szCs w:val="18"/>
                <w:b w:val="1"/>
                <w:bCs w:val="1"/>
                <w:color w:val="auto"/>
              </w:rPr>
              <w:t>Centro-</w:t>
            </w: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spacing w:after="0"/>
              <w:rPr>
                <w:sz w:val="17"/>
                <w:szCs w:val="17"/>
                <w:color w:val="auto"/>
              </w:rPr>
            </w:pPr>
          </w:p>
        </w:tc>
        <w:tc>
          <w:tcPr>
            <w:tcW w:w="760" w:type="dxa"/>
            <w:vAlign w:val="bottom"/>
            <w:tcBorders>
              <w:right w:val="single" w:sz="8" w:color="auto"/>
            </w:tcBorders>
          </w:tcPr>
          <w:p>
            <w:pPr>
              <w:spacing w:after="0"/>
              <w:rPr>
                <w:sz w:val="17"/>
                <w:szCs w:val="17"/>
                <w:color w:val="auto"/>
              </w:rPr>
            </w:pPr>
          </w:p>
        </w:tc>
      </w:tr>
      <w:tr>
        <w:trPr>
          <w:trHeight w:val="213"/>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b w:val="1"/>
                <w:bCs w:val="1"/>
                <w:color w:val="auto"/>
              </w:rPr>
              <w:t>Oeste</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72.542</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b w:val="1"/>
                <w:bCs w:val="1"/>
                <w:color w:val="auto"/>
              </w:rPr>
              <w:t>76.457</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67.658</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73.415</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1.245.153</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1.352.065</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18.404</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b w:val="1"/>
                <w:bCs w:val="1"/>
                <w:color w:val="auto"/>
              </w:rPr>
              <w:t>18.417</w:t>
            </w:r>
          </w:p>
        </w:tc>
      </w:tr>
      <w:tr>
        <w:trPr>
          <w:trHeight w:val="206"/>
        </w:trPr>
        <w:tc>
          <w:tcPr>
            <w:tcW w:w="1300" w:type="dxa"/>
            <w:vAlign w:val="bottom"/>
            <w:tcBorders>
              <w:left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Mato Grosso</w:t>
            </w: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spacing w:after="0"/>
              <w:rPr>
                <w:sz w:val="17"/>
                <w:szCs w:val="17"/>
                <w:color w:val="auto"/>
              </w:rPr>
            </w:pPr>
          </w:p>
        </w:tc>
        <w:tc>
          <w:tcPr>
            <w:tcW w:w="760" w:type="dxa"/>
            <w:vAlign w:val="bottom"/>
            <w:tcBorders>
              <w:right w:val="single" w:sz="8" w:color="auto"/>
            </w:tcBorders>
          </w:tcPr>
          <w:p>
            <w:pPr>
              <w:spacing w:after="0"/>
              <w:rPr>
                <w:sz w:val="17"/>
                <w:szCs w:val="17"/>
                <w:color w:val="auto"/>
              </w:rPr>
            </w:pPr>
          </w:p>
        </w:tc>
      </w:tr>
      <w:tr>
        <w:trPr>
          <w:trHeight w:val="208"/>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do Sul</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33.068</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40.000</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33.058</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40.000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721.870</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840.000</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21.836</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21.000</w:t>
            </w:r>
          </w:p>
        </w:tc>
      </w:tr>
      <w:tr>
        <w:trPr>
          <w:trHeight w:val="210"/>
        </w:trPr>
        <w:tc>
          <w:tcPr>
            <w:tcW w:w="1300" w:type="dxa"/>
            <w:vAlign w:val="bottom"/>
            <w:tcBorders>
              <w:left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8"/>
                <w:szCs w:val="18"/>
                <w:color w:val="auto"/>
              </w:rPr>
              <w:t>Mato Grosso</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23.390</w:t>
            </w:r>
          </w:p>
        </w:tc>
        <w:tc>
          <w:tcPr>
            <w:tcW w:w="1040" w:type="dxa"/>
            <w:vAlign w:val="bottom"/>
            <w:tcBorders>
              <w:bottom w:val="single" w:sz="8" w:color="auto"/>
              <w:right w:val="single" w:sz="8" w:color="auto"/>
            </w:tcBorders>
          </w:tcPr>
          <w:p>
            <w:pPr>
              <w:jc w:val="right"/>
              <w:ind w:right="10"/>
              <w:spacing w:after="0"/>
              <w:rPr>
                <w:sz w:val="20"/>
                <w:szCs w:val="20"/>
                <w:color w:val="auto"/>
              </w:rPr>
            </w:pPr>
            <w:r>
              <w:rPr>
                <w:rFonts w:ascii="Arial" w:cs="Arial" w:eastAsia="Arial" w:hAnsi="Arial"/>
                <w:sz w:val="18"/>
                <w:szCs w:val="18"/>
                <w:color w:val="auto"/>
              </w:rPr>
              <w:t>23.187</w:t>
            </w:r>
          </w:p>
        </w:tc>
        <w:tc>
          <w:tcPr>
            <w:tcW w:w="102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23.236</w:t>
            </w:r>
          </w:p>
        </w:tc>
        <w:tc>
          <w:tcPr>
            <w:tcW w:w="10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22.837</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335.736</w:t>
            </w:r>
          </w:p>
        </w:tc>
        <w:tc>
          <w:tcPr>
            <w:tcW w:w="11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340.784</w:t>
            </w:r>
          </w:p>
        </w:tc>
        <w:tc>
          <w:tcPr>
            <w:tcW w:w="74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14.449</w:t>
            </w:r>
          </w:p>
        </w:tc>
        <w:tc>
          <w:tcPr>
            <w:tcW w:w="760" w:type="dxa"/>
            <w:vAlign w:val="bottom"/>
            <w:tcBorders>
              <w:bottom w:val="single" w:sz="8" w:color="auto"/>
              <w:right w:val="single" w:sz="8" w:color="auto"/>
            </w:tcBorders>
          </w:tcPr>
          <w:p>
            <w:pPr>
              <w:jc w:val="right"/>
              <w:spacing w:after="0"/>
              <w:rPr>
                <w:sz w:val="20"/>
                <w:szCs w:val="20"/>
                <w:color w:val="auto"/>
              </w:rPr>
            </w:pPr>
            <w:r>
              <w:rPr>
                <w:rFonts w:ascii="Arial" w:cs="Arial" w:eastAsia="Arial" w:hAnsi="Arial"/>
                <w:sz w:val="18"/>
                <w:szCs w:val="18"/>
                <w:color w:val="auto"/>
              </w:rPr>
              <w:t>14.922</w:t>
            </w:r>
          </w:p>
        </w:tc>
      </w:tr>
      <w:tr>
        <w:trPr>
          <w:trHeight w:val="209"/>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Goiás</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14.775</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11.948</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10.055</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9.256</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167.358</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151.428</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16.644</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16.360</w:t>
            </w:r>
          </w:p>
        </w:tc>
      </w:tr>
      <w:tr>
        <w:trPr>
          <w:trHeight w:val="196"/>
        </w:trPr>
        <w:tc>
          <w:tcPr>
            <w:tcW w:w="1300" w:type="dxa"/>
            <w:vAlign w:val="bottom"/>
            <w:tcBorders>
              <w:left w:val="single" w:sz="8" w:color="auto"/>
              <w:right w:val="single" w:sz="8" w:color="auto"/>
            </w:tcBorders>
          </w:tcPr>
          <w:p>
            <w:pPr>
              <w:ind w:left="80"/>
              <w:spacing w:after="0" w:line="196" w:lineRule="exact"/>
              <w:rPr>
                <w:sz w:val="20"/>
                <w:szCs w:val="20"/>
                <w:color w:val="auto"/>
              </w:rPr>
            </w:pPr>
            <w:r>
              <w:rPr>
                <w:rFonts w:ascii="Arial" w:cs="Arial" w:eastAsia="Arial" w:hAnsi="Arial"/>
                <w:sz w:val="18"/>
                <w:szCs w:val="18"/>
                <w:color w:val="auto"/>
              </w:rPr>
              <w:t>Distrito</w:t>
            </w: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020" w:type="dxa"/>
            <w:vAlign w:val="bottom"/>
            <w:tcBorders>
              <w:right w:val="single" w:sz="8" w:color="auto"/>
            </w:tcBorders>
          </w:tcPr>
          <w:p>
            <w:pPr>
              <w:spacing w:after="0"/>
              <w:rPr>
                <w:sz w:val="17"/>
                <w:szCs w:val="17"/>
                <w:color w:val="auto"/>
              </w:rPr>
            </w:pPr>
          </w:p>
        </w:tc>
        <w:tc>
          <w:tcPr>
            <w:tcW w:w="10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1140" w:type="dxa"/>
            <w:vAlign w:val="bottom"/>
            <w:tcBorders>
              <w:right w:val="single" w:sz="8" w:color="auto"/>
            </w:tcBorders>
          </w:tcPr>
          <w:p>
            <w:pPr>
              <w:spacing w:after="0"/>
              <w:rPr>
                <w:sz w:val="17"/>
                <w:szCs w:val="17"/>
                <w:color w:val="auto"/>
              </w:rPr>
            </w:pPr>
          </w:p>
        </w:tc>
        <w:tc>
          <w:tcPr>
            <w:tcW w:w="740" w:type="dxa"/>
            <w:vAlign w:val="bottom"/>
            <w:tcBorders>
              <w:right w:val="single" w:sz="8" w:color="auto"/>
            </w:tcBorders>
          </w:tcPr>
          <w:p>
            <w:pPr>
              <w:spacing w:after="0"/>
              <w:rPr>
                <w:sz w:val="17"/>
                <w:szCs w:val="17"/>
                <w:color w:val="auto"/>
              </w:rPr>
            </w:pPr>
          </w:p>
        </w:tc>
        <w:tc>
          <w:tcPr>
            <w:tcW w:w="760" w:type="dxa"/>
            <w:vAlign w:val="bottom"/>
            <w:tcBorders>
              <w:right w:val="single" w:sz="8" w:color="auto"/>
            </w:tcBorders>
          </w:tcPr>
          <w:p>
            <w:pPr>
              <w:spacing w:after="0"/>
              <w:rPr>
                <w:sz w:val="17"/>
                <w:szCs w:val="17"/>
                <w:color w:val="auto"/>
              </w:rPr>
            </w:pPr>
          </w:p>
        </w:tc>
      </w:tr>
      <w:tr>
        <w:trPr>
          <w:trHeight w:val="208"/>
        </w:trPr>
        <w:tc>
          <w:tcPr>
            <w:tcW w:w="1300" w:type="dxa"/>
            <w:vAlign w:val="bottom"/>
            <w:tcBorders>
              <w:left w:val="single" w:sz="8" w:color="auto"/>
              <w:bottom w:val="single" w:sz="8" w:color="auto"/>
              <w:right w:val="single" w:sz="8" w:color="auto"/>
            </w:tcBorders>
          </w:tcPr>
          <w:p>
            <w:pPr>
              <w:ind w:left="80"/>
              <w:spacing w:after="0" w:line="206" w:lineRule="exact"/>
              <w:rPr>
                <w:sz w:val="20"/>
                <w:szCs w:val="20"/>
                <w:color w:val="auto"/>
              </w:rPr>
            </w:pPr>
            <w:r>
              <w:rPr>
                <w:rFonts w:ascii="Arial" w:cs="Arial" w:eastAsia="Arial" w:hAnsi="Arial"/>
                <w:sz w:val="18"/>
                <w:szCs w:val="18"/>
                <w:color w:val="auto"/>
              </w:rPr>
              <w:t>Federal</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1.309</w:t>
            </w:r>
          </w:p>
        </w:tc>
        <w:tc>
          <w:tcPr>
            <w:tcW w:w="1040" w:type="dxa"/>
            <w:vAlign w:val="bottom"/>
            <w:tcBorders>
              <w:bottom w:val="single" w:sz="8" w:color="auto"/>
              <w:right w:val="single" w:sz="8" w:color="auto"/>
            </w:tcBorders>
          </w:tcPr>
          <w:p>
            <w:pPr>
              <w:jc w:val="right"/>
              <w:ind w:right="10"/>
              <w:spacing w:after="0" w:line="206" w:lineRule="exact"/>
              <w:rPr>
                <w:sz w:val="20"/>
                <w:szCs w:val="20"/>
                <w:color w:val="auto"/>
              </w:rPr>
            </w:pPr>
            <w:r>
              <w:rPr>
                <w:rFonts w:ascii="Arial" w:cs="Arial" w:eastAsia="Arial" w:hAnsi="Arial"/>
                <w:sz w:val="18"/>
                <w:szCs w:val="18"/>
                <w:color w:val="auto"/>
              </w:rPr>
              <w:t>1.322</w:t>
            </w:r>
          </w:p>
        </w:tc>
        <w:tc>
          <w:tcPr>
            <w:tcW w:w="102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1.309</w:t>
            </w:r>
          </w:p>
        </w:tc>
        <w:tc>
          <w:tcPr>
            <w:tcW w:w="10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1.322</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20.189</w:t>
            </w:r>
          </w:p>
        </w:tc>
        <w:tc>
          <w:tcPr>
            <w:tcW w:w="11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19.853</w:t>
            </w:r>
          </w:p>
        </w:tc>
        <w:tc>
          <w:tcPr>
            <w:tcW w:w="74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15.423</w:t>
            </w:r>
          </w:p>
        </w:tc>
        <w:tc>
          <w:tcPr>
            <w:tcW w:w="760" w:type="dxa"/>
            <w:vAlign w:val="bottom"/>
            <w:tcBorders>
              <w:bottom w:val="single" w:sz="8" w:color="auto"/>
              <w:right w:val="single" w:sz="8" w:color="auto"/>
            </w:tcBorders>
          </w:tcPr>
          <w:p>
            <w:pPr>
              <w:jc w:val="right"/>
              <w:spacing w:after="0" w:line="206" w:lineRule="exact"/>
              <w:rPr>
                <w:sz w:val="20"/>
                <w:szCs w:val="20"/>
                <w:color w:val="auto"/>
              </w:rPr>
            </w:pPr>
            <w:r>
              <w:rPr>
                <w:rFonts w:ascii="Arial" w:cs="Arial" w:eastAsia="Arial" w:hAnsi="Arial"/>
                <w:sz w:val="18"/>
                <w:szCs w:val="18"/>
                <w:color w:val="auto"/>
              </w:rPr>
              <w:t>15.017</w:t>
            </w:r>
          </w:p>
        </w:tc>
      </w:tr>
    </w:tbl>
    <w:p>
      <w:pPr>
        <w:spacing w:after="0" w:line="48" w:lineRule="exact"/>
        <w:rPr>
          <w:sz w:val="20"/>
          <w:szCs w:val="20"/>
          <w:color w:val="auto"/>
        </w:rPr>
      </w:pPr>
    </w:p>
    <w:p>
      <w:pPr>
        <w:ind w:left="80"/>
        <w:spacing w:after="0" w:line="239" w:lineRule="auto"/>
        <w:rPr>
          <w:sz w:val="20"/>
          <w:szCs w:val="20"/>
          <w:color w:val="auto"/>
        </w:rPr>
      </w:pPr>
      <w:r>
        <w:rPr>
          <w:rFonts w:ascii="Arial" w:cs="Arial" w:eastAsia="Arial" w:hAnsi="Arial"/>
          <w:sz w:val="20"/>
          <w:szCs w:val="20"/>
          <w:color w:val="auto"/>
        </w:rPr>
        <w:t>Fonte: IBGE (2014).</w:t>
      </w:r>
    </w:p>
    <w:p>
      <w:pPr>
        <w:sectPr>
          <w:pgSz w:w="11900" w:h="16838" w:orient="portrait"/>
          <w:cols w:equalWidth="0" w:num="1">
            <w:col w:w="9720"/>
          </w:cols>
          <w:pgMar w:left="1060" w:top="649" w:right="1120" w:bottom="862" w:gutter="0" w:footer="0" w:header="0"/>
        </w:sectPr>
      </w:pPr>
    </w:p>
    <w:p>
      <w:pPr>
        <w:spacing w:after="0" w:line="200" w:lineRule="exact"/>
        <w:rPr>
          <w:sz w:val="20"/>
          <w:szCs w:val="20"/>
          <w:color w:val="auto"/>
        </w:rPr>
      </w:pPr>
    </w:p>
    <w:p>
      <w:pPr>
        <w:spacing w:after="0" w:line="316" w:lineRule="exact"/>
        <w:rPr>
          <w:sz w:val="20"/>
          <w:szCs w:val="20"/>
          <w:color w:val="auto"/>
        </w:rPr>
      </w:pPr>
    </w:p>
    <w:p>
      <w:pPr>
        <w:ind w:firstLine="708"/>
        <w:spacing w:after="0" w:line="314" w:lineRule="auto"/>
        <w:rPr>
          <w:sz w:val="20"/>
          <w:szCs w:val="20"/>
          <w:color w:val="auto"/>
        </w:rPr>
      </w:pPr>
      <w:r>
        <w:rPr>
          <w:rFonts w:ascii="Arial" w:cs="Arial" w:eastAsia="Arial" w:hAnsi="Arial"/>
          <w:sz w:val="24"/>
          <w:szCs w:val="24"/>
          <w:color w:val="auto"/>
        </w:rPr>
        <w:t>Esse aumento na produção, demonstrado no quadro 1, pode ser justificado devido às descobertas de novas utilizações da mandioca, dentre elas estão o interesse por</w:t>
      </w:r>
    </w:p>
    <w:p>
      <w:pPr>
        <w:sectPr>
          <w:pgSz w:w="11900" w:h="16838" w:orient="portrait"/>
          <w:cols w:equalWidth="0" w:num="1">
            <w:col w:w="9640"/>
          </w:cols>
          <w:pgMar w:left="1140" w:top="649" w:right="1120" w:bottom="862" w:gutter="0" w:footer="0" w:header="0"/>
          <w:type w:val="continuous"/>
        </w:sectPr>
      </w:pPr>
    </w:p>
    <w:bookmarkStart w:id="4" w:name="page5"/>
    <w:bookmarkEnd w:id="4"/>
    <w:p>
      <w:pPr>
        <w:ind w:left="9520"/>
        <w:spacing w:after="0" w:line="239" w:lineRule="auto"/>
        <w:rPr>
          <w:sz w:val="20"/>
          <w:szCs w:val="20"/>
          <w:color w:val="auto"/>
        </w:rPr>
      </w:pPr>
      <w:r>
        <w:rPr>
          <w:rFonts w:ascii="Calibri" w:cs="Calibri" w:eastAsia="Calibri" w:hAnsi="Calibri"/>
          <w:sz w:val="22"/>
          <w:szCs w:val="22"/>
          <w:color w:val="auto"/>
        </w:rPr>
        <w:t>5</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337" w:lineRule="auto"/>
        <w:rPr>
          <w:sz w:val="20"/>
          <w:szCs w:val="20"/>
          <w:color w:val="auto"/>
        </w:rPr>
      </w:pPr>
      <w:r>
        <w:rPr>
          <w:rFonts w:ascii="Arial" w:cs="Arial" w:eastAsia="Arial" w:hAnsi="Arial"/>
          <w:sz w:val="24"/>
          <w:szCs w:val="24"/>
          <w:color w:val="auto"/>
        </w:rPr>
        <w:t>fontes energéticas renováveis, que culminou na produção do etanol de mandioca, além da utilização na produção de plásticos biodegradáveis e novos usos nos setores têxtil e moveleiro.</w:t>
      </w:r>
    </w:p>
    <w:p>
      <w:pPr>
        <w:spacing w:after="0" w:line="81"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De acordo com Groxko (2014), para as próximas safras de mandioca, a região Sul, principalmente, precisará investir na mecanização da colheita, pois o arranquio manual predomina e é necessário avanço tecnológico pelo fato de que vem se observando um grande avanço em todas as lavouras mecanizadas, em detrimento das culturas mais simples que ainda não atualizaram seus métodos de produção.</w:t>
      </w:r>
    </w:p>
    <w:p>
      <w:pPr>
        <w:spacing w:after="0" w:line="68" w:lineRule="exact"/>
        <w:rPr>
          <w:sz w:val="20"/>
          <w:szCs w:val="20"/>
          <w:color w:val="auto"/>
        </w:rPr>
      </w:pPr>
    </w:p>
    <w:p>
      <w:pPr>
        <w:jc w:val="both"/>
        <w:ind w:firstLine="708"/>
        <w:spacing w:after="0" w:line="356" w:lineRule="auto"/>
        <w:rPr>
          <w:sz w:val="20"/>
          <w:szCs w:val="20"/>
          <w:color w:val="auto"/>
        </w:rPr>
      </w:pPr>
      <w:r>
        <w:rPr>
          <w:rFonts w:ascii="Arial" w:cs="Arial" w:eastAsia="Arial" w:hAnsi="Arial"/>
          <w:sz w:val="24"/>
          <w:szCs w:val="24"/>
          <w:color w:val="auto"/>
        </w:rPr>
        <w:t>Um dos produtos mais importantes feitos a partir da mandioca é a fécula, pois esta possui muitas aplicações, no país e fora dele. Ela pode ser aplicada na indústria alimentícia e em outras indústrias, como por exemplo a de papel, pois de acordo com o SEBRAE (2008, p.33), “estima-se que 90% dos papéis de impressão no país tenham fécula de mandioca em sua composição”. Ela é ingrediente presente em molhos, sopas, comidas para bebê, pudins, sorvetes, embutidos, pães de queijo, dentre outros, pois é ela quem proporciona melhor consistência desses alimentos. Ela não contém glúten e é mais barata que o amido de milho. Pode ser transformada em cera para revestir frutas e legumes, pode ser base para tapioca, biscoitos, além de bebidas alcoólicas. Ou seja, são tantas destinações possíveis que faz com que o mercado brasileiro absolva praticamente toda a produção, ficando menos de 2% destinado a exportações, e ainda assim o país recorre à importações de outros países.</w:t>
      </w:r>
    </w:p>
    <w:p>
      <w:pPr>
        <w:spacing w:after="0" w:line="56"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A indústria de fécula surgiu na década de 1960, porém foi em 1990 que o setor cresceu expressivamente, surgindo nessa década mais de 50% das empresas que hoje atuam na área. Foi nesse período, entre 1990 e 2000 que houve um salto na produção, e também quando o produto passou a ser mais valorizado e direcionado a segmentos específicos.</w:t>
      </w:r>
    </w:p>
    <w:p>
      <w:pPr>
        <w:spacing w:after="0" w:line="70" w:lineRule="exact"/>
        <w:rPr>
          <w:sz w:val="20"/>
          <w:szCs w:val="20"/>
          <w:color w:val="auto"/>
        </w:rPr>
      </w:pPr>
    </w:p>
    <w:p>
      <w:pPr>
        <w:jc w:val="both"/>
        <w:ind w:firstLine="708"/>
        <w:spacing w:after="0" w:line="344" w:lineRule="auto"/>
        <w:rPr>
          <w:sz w:val="20"/>
          <w:szCs w:val="20"/>
          <w:color w:val="auto"/>
        </w:rPr>
      </w:pPr>
      <w:r>
        <w:rPr>
          <w:rFonts w:ascii="Arial" w:cs="Arial" w:eastAsia="Arial" w:hAnsi="Arial"/>
          <w:sz w:val="24"/>
          <w:szCs w:val="24"/>
          <w:color w:val="auto"/>
        </w:rPr>
        <w:t>Apesar disso, o processo produtivo da fécula de mandioca é bastante complexo, ele requer maior nível de investimento em capacidade produtiva e em tecnologia, e, por esse motivo, a produção se concentra no Centro Sul do país, sendo o Paraná o maior produtor.</w:t>
      </w:r>
    </w:p>
    <w:p>
      <w:pPr>
        <w:spacing w:after="0" w:line="74"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Outro agravante negativo deste segmento, é que a indústria de fécula vem trabalhando com expressiva ociosidade, segundo o CEPEA (2014, p. 1), no ano de 2013 a capacidade instalada permitia a produção de mais de 1 milhão de toneladas de fécula, porém a produção estimada foi de apenas 473,72 mil toneladas, ou seja, uma ociosidade média de 53,5%.</w:t>
      </w:r>
    </w:p>
    <w:p>
      <w:pPr>
        <w:sectPr>
          <w:pgSz w:w="11900" w:h="16838" w:orient="portrait"/>
          <w:cols w:equalWidth="0" w:num="1">
            <w:col w:w="9640"/>
          </w:cols>
          <w:pgMar w:left="1140" w:top="649" w:right="1120" w:bottom="778" w:gutter="0" w:footer="0" w:header="0"/>
        </w:sectPr>
      </w:pPr>
    </w:p>
    <w:bookmarkStart w:id="5" w:name="page6"/>
    <w:bookmarkEnd w:id="5"/>
    <w:p>
      <w:pPr>
        <w:ind w:left="9520"/>
        <w:spacing w:after="0" w:line="239" w:lineRule="auto"/>
        <w:rPr>
          <w:sz w:val="20"/>
          <w:szCs w:val="20"/>
          <w:color w:val="auto"/>
        </w:rPr>
      </w:pPr>
      <w:r>
        <w:rPr>
          <w:rFonts w:ascii="Calibri" w:cs="Calibri" w:eastAsia="Calibri" w:hAnsi="Calibri"/>
          <w:sz w:val="22"/>
          <w:szCs w:val="22"/>
          <w:color w:val="auto"/>
        </w:rPr>
        <w:t>6</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708"/>
        <w:spacing w:after="0" w:line="345" w:lineRule="auto"/>
        <w:rPr>
          <w:sz w:val="20"/>
          <w:szCs w:val="20"/>
          <w:color w:val="auto"/>
        </w:rPr>
      </w:pPr>
      <w:r>
        <w:rPr>
          <w:rFonts w:ascii="Arial" w:cs="Arial" w:eastAsia="Arial" w:hAnsi="Arial"/>
          <w:sz w:val="24"/>
          <w:szCs w:val="24"/>
          <w:color w:val="auto"/>
        </w:rPr>
        <w:t>Portanto, apesar das fecularias do Brasil apresentar um bom nível tecnológico se comparadas às unidades da Tailândia e da Indonésia, elas têm menor capacidade unitária em vistas do mercado internacional, e essa ociosidade acaba limitando o crescimento da produção em nosso país.</w:t>
      </w:r>
    </w:p>
    <w:p>
      <w:pPr>
        <w:spacing w:after="0" w:line="69" w:lineRule="exact"/>
        <w:rPr>
          <w:sz w:val="20"/>
          <w:szCs w:val="20"/>
          <w:color w:val="auto"/>
        </w:rPr>
      </w:pPr>
    </w:p>
    <w:p>
      <w:pPr>
        <w:jc w:val="both"/>
        <w:ind w:firstLine="708"/>
        <w:spacing w:after="0" w:line="351" w:lineRule="auto"/>
        <w:rPr>
          <w:sz w:val="20"/>
          <w:szCs w:val="20"/>
          <w:color w:val="auto"/>
        </w:rPr>
      </w:pPr>
      <w:r>
        <w:rPr>
          <w:rFonts w:ascii="Arial" w:cs="Arial" w:eastAsia="Arial" w:hAnsi="Arial"/>
          <w:sz w:val="24"/>
          <w:szCs w:val="24"/>
          <w:color w:val="auto"/>
        </w:rPr>
        <w:t>Outro fator importante a ser analisado é a estrutura de mercado desta indústria de fécula do país, como pode ser observado, a indústria se concentra no Centro-Sul, no entanto, não se sabe o grau de concentração desta indústria e como isto pode impactar na competitividade dos agentes inseridos neste mercado. Se fazendo importante a identificação e análise de sua estrutura. O próximo item deste estudo traz uma revisão literária do modelo Estrutura-Conduta-Desempenho.</w:t>
      </w:r>
    </w:p>
    <w:p>
      <w:pPr>
        <w:spacing w:after="0" w:line="200" w:lineRule="exact"/>
        <w:rPr>
          <w:sz w:val="20"/>
          <w:szCs w:val="20"/>
          <w:color w:val="auto"/>
        </w:rPr>
      </w:pPr>
    </w:p>
    <w:p>
      <w:pPr>
        <w:spacing w:after="0" w:line="226"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2.2 Estrutura-Conduta-Desempenho</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O modelo ECD (Estrutura-Conduta-Desempenho) é um ramo da OI (Organizações Industriais), que teve origem com Mason e seus colegas de Harvard, através de trabalhos que investigam a relação de causalidade entre Estrutura-Comportamento-Desempenho. Apesar disso, quem se destacou foi Joe Bain em 1968, com trabalhos bastante detalhados.</w:t>
      </w:r>
    </w:p>
    <w:p>
      <w:pPr>
        <w:spacing w:after="0" w:line="68" w:lineRule="exact"/>
        <w:rPr>
          <w:sz w:val="20"/>
          <w:szCs w:val="20"/>
          <w:color w:val="auto"/>
        </w:rPr>
      </w:pPr>
    </w:p>
    <w:p>
      <w:pPr>
        <w:jc w:val="both"/>
        <w:ind w:firstLine="708"/>
        <w:spacing w:after="0" w:line="352" w:lineRule="auto"/>
        <w:rPr>
          <w:sz w:val="20"/>
          <w:szCs w:val="20"/>
          <w:color w:val="auto"/>
        </w:rPr>
      </w:pPr>
      <w:r>
        <w:rPr>
          <w:rFonts w:ascii="Arial" w:cs="Arial" w:eastAsia="Arial" w:hAnsi="Arial"/>
          <w:sz w:val="24"/>
          <w:szCs w:val="24"/>
          <w:color w:val="auto"/>
        </w:rPr>
        <w:t>Segundo Scherer e Ross (1990), o objetivo do modelo ECD é estudar as variáveis que influenciam no desempenho econômico e que representam as condições de mercado, como por exemplo, o número de firmas concorrentes e relações entre oferta e demanda, permitindo a construção de teorias que detalhem a ligação entre essas variáveis e o desempenho da indústria. Portanto, o método ou modelo ECD, permite diagnosticar as informações relevantes sobre a estrutura de mercado, comportamento das firmas e seus respectivos desempenho.</w:t>
      </w:r>
    </w:p>
    <w:p>
      <w:pPr>
        <w:sectPr>
          <w:pgSz w:w="11900" w:h="16838" w:orient="portrait"/>
          <w:cols w:equalWidth="0" w:num="1">
            <w:col w:w="9640"/>
          </w:cols>
          <w:pgMar w:left="1140" w:top="649" w:right="1120" w:bottom="1440" w:gutter="0" w:footer="0" w:header="0"/>
        </w:sectPr>
      </w:pPr>
    </w:p>
    <w:bookmarkStart w:id="6" w:name="page7"/>
    <w:bookmarkEnd w:id="6"/>
    <w:p>
      <w:pPr>
        <w:ind w:left="9520"/>
        <w:spacing w:after="0" w:line="239" w:lineRule="auto"/>
        <w:rPr>
          <w:sz w:val="20"/>
          <w:szCs w:val="20"/>
          <w:color w:val="auto"/>
        </w:rPr>
      </w:pPr>
      <w:r>
        <w:rPr>
          <w:rFonts w:ascii="Calibri" w:cs="Calibri" w:eastAsia="Calibri" w:hAnsi="Calibri"/>
          <w:sz w:val="22"/>
          <w:szCs w:val="22"/>
          <w:color w:val="auto"/>
        </w:rPr>
        <w:t>7</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 xml:space="preserve">QUADRO 2 </w:t>
      </w:r>
      <w:r>
        <w:rPr>
          <w:rFonts w:ascii="Arial" w:cs="Arial" w:eastAsia="Arial" w:hAnsi="Arial"/>
          <w:sz w:val="24"/>
          <w:szCs w:val="24"/>
          <w:color w:val="auto"/>
        </w:rPr>
        <w:t>- O Modelo Conduta-Estrutura-Desempenho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830580</wp:posOffset>
            </wp:positionH>
            <wp:positionV relativeFrom="paragraph">
              <wp:posOffset>120650</wp:posOffset>
            </wp:positionV>
            <wp:extent cx="4448810" cy="33147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extLst>
                    </a:blip>
                    <a:srcRect/>
                    <a:stretch>
                      <a:fillRect/>
                    </a:stretch>
                  </pic:blipFill>
                  <pic:spPr bwMode="auto">
                    <a:xfrm>
                      <a:off x="0" y="0"/>
                      <a:ext cx="4448810" cy="33147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spacing w:after="0" w:line="239" w:lineRule="auto"/>
        <w:rPr>
          <w:sz w:val="20"/>
          <w:szCs w:val="20"/>
          <w:color w:val="auto"/>
        </w:rPr>
      </w:pPr>
      <w:r>
        <w:rPr>
          <w:rFonts w:ascii="Arial" w:cs="Arial" w:eastAsia="Arial" w:hAnsi="Arial"/>
          <w:sz w:val="20"/>
          <w:szCs w:val="20"/>
          <w:b w:val="1"/>
          <w:bCs w:val="1"/>
          <w:color w:val="auto"/>
        </w:rPr>
        <w:t xml:space="preserve">Fonte: </w:t>
      </w:r>
      <w:r>
        <w:rPr>
          <w:rFonts w:ascii="Arial" w:cs="Arial" w:eastAsia="Arial" w:hAnsi="Arial"/>
          <w:sz w:val="20"/>
          <w:szCs w:val="20"/>
          <w:color w:val="auto"/>
        </w:rPr>
        <w:t>Scherer e Ross (1990)</w:t>
      </w:r>
    </w:p>
    <w:p>
      <w:pPr>
        <w:spacing w:after="0" w:line="288" w:lineRule="exact"/>
        <w:rPr>
          <w:sz w:val="20"/>
          <w:szCs w:val="20"/>
          <w:color w:val="auto"/>
        </w:rPr>
      </w:pPr>
    </w:p>
    <w:p>
      <w:pPr>
        <w:jc w:val="both"/>
        <w:ind w:firstLine="708"/>
        <w:spacing w:after="0" w:line="355" w:lineRule="auto"/>
        <w:rPr>
          <w:sz w:val="20"/>
          <w:szCs w:val="20"/>
          <w:color w:val="auto"/>
        </w:rPr>
      </w:pPr>
      <w:r>
        <w:rPr>
          <w:rFonts w:ascii="Arial" w:cs="Arial" w:eastAsia="Arial" w:hAnsi="Arial"/>
          <w:sz w:val="24"/>
          <w:szCs w:val="24"/>
          <w:color w:val="auto"/>
        </w:rPr>
        <w:t>De acordo com Kupfer (1992), a conduta das empresas era negligenciada nas primeiras versões do ECD. Isso ocorria porque os elementos estruturais, principalmente a concentração de mercado, eram vistos como os principais responsáveis pelo desempenho. No entanto, hoje nota-se que no modelo ECD há grande valorização no aspecto da conduta, pois mostra que ela tem o poder de mudar uma estrutura industrial tanto como, seu desempenho geral. Kupfer e Hansenclever (2002), destacam que existe uma linha mestra que infere uma causalidade da estrutura de mercado estabelecida sobre o desempenho das firmas, através da conduta por elas realizadas, determinando assim o desempenho no setor. Eles ressaltam que são os índices de concentração que fornecem um indicador sintético da concorrência existente no mercado, ou seja, quanto maior a concentração, menor a concorrência e mais concentrado ficará o poder de mercado da indústria.</w:t>
      </w:r>
    </w:p>
    <w:p>
      <w:pPr>
        <w:spacing w:after="0" w:line="18" w:lineRule="exact"/>
        <w:rPr>
          <w:sz w:val="20"/>
          <w:szCs w:val="20"/>
          <w:color w:val="auto"/>
        </w:rPr>
      </w:pPr>
    </w:p>
    <w:p>
      <w:pPr>
        <w:ind w:left="700"/>
        <w:spacing w:after="0"/>
        <w:rPr>
          <w:sz w:val="20"/>
          <w:szCs w:val="20"/>
          <w:color w:val="auto"/>
        </w:rPr>
      </w:pPr>
      <w:r>
        <w:rPr>
          <w:rFonts w:ascii="Arial" w:cs="Arial" w:eastAsia="Arial" w:hAnsi="Arial"/>
          <w:sz w:val="24"/>
          <w:szCs w:val="24"/>
          <w:color w:val="auto"/>
        </w:rPr>
        <w:t>Sediyama et. al (2013), afirma que:</w:t>
      </w:r>
    </w:p>
    <w:p>
      <w:pPr>
        <w:spacing w:after="0" w:line="179" w:lineRule="exact"/>
        <w:rPr>
          <w:sz w:val="20"/>
          <w:szCs w:val="20"/>
          <w:color w:val="auto"/>
        </w:rPr>
      </w:pPr>
    </w:p>
    <w:p>
      <w:pPr>
        <w:jc w:val="both"/>
        <w:ind w:left="2260"/>
        <w:spacing w:after="0" w:line="235" w:lineRule="auto"/>
        <w:rPr>
          <w:sz w:val="20"/>
          <w:szCs w:val="20"/>
          <w:color w:val="auto"/>
        </w:rPr>
      </w:pPr>
      <w:r>
        <w:rPr>
          <w:rFonts w:ascii="Arial" w:cs="Arial" w:eastAsia="Arial" w:hAnsi="Arial"/>
          <w:sz w:val="20"/>
          <w:szCs w:val="20"/>
          <w:color w:val="auto"/>
        </w:rPr>
        <w:t>O Modelo ECD propõe que as condições básicas de mercado (oferta e demanda) influenciam a estrutura de mercado. E, por conseguinte, dependendo da estrutura de mercado (número e tamanho relativo dos concorrentes, compradores e vendedores; grau de diferenciação dos produtos; existência de barreira de entrada de novas empresas no mercado, estrutura de custos; integração vertical), a empresa terá uma conduta (política de preços, níveis de cooperação tácita, pesquisa e desenvolvimento, publicidade, investimento, política de fusões e aquisições, decisão de produção) que irá influenciar no desempenho (eficiência produtiva e alocativa; desenvolvimento; pleno emprego; processo técnico; crescimento distributivo).</w:t>
      </w:r>
    </w:p>
    <w:p>
      <w:pPr>
        <w:sectPr>
          <w:pgSz w:w="11900" w:h="16838" w:orient="portrait"/>
          <w:cols w:equalWidth="0" w:num="1">
            <w:col w:w="9640"/>
          </w:cols>
          <w:pgMar w:left="1140" w:top="649" w:right="1120" w:bottom="1021" w:gutter="0" w:footer="0" w:header="0"/>
        </w:sectPr>
      </w:pPr>
    </w:p>
    <w:bookmarkStart w:id="7" w:name="page8"/>
    <w:bookmarkEnd w:id="7"/>
    <w:p>
      <w:pPr>
        <w:ind w:left="9520"/>
        <w:spacing w:after="0" w:line="239" w:lineRule="auto"/>
        <w:rPr>
          <w:sz w:val="20"/>
          <w:szCs w:val="20"/>
          <w:color w:val="auto"/>
        </w:rPr>
      </w:pPr>
      <w:r>
        <w:rPr>
          <w:rFonts w:ascii="Calibri" w:cs="Calibri" w:eastAsia="Calibri" w:hAnsi="Calibri"/>
          <w:sz w:val="22"/>
          <w:szCs w:val="22"/>
          <w:color w:val="auto"/>
        </w:rPr>
        <w:t>8</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jc w:val="both"/>
        <w:ind w:firstLine="708"/>
        <w:spacing w:after="0" w:line="351" w:lineRule="auto"/>
        <w:rPr>
          <w:sz w:val="20"/>
          <w:szCs w:val="20"/>
          <w:color w:val="auto"/>
        </w:rPr>
      </w:pPr>
      <w:r>
        <w:rPr>
          <w:rFonts w:ascii="Arial" w:cs="Arial" w:eastAsia="Arial" w:hAnsi="Arial"/>
          <w:sz w:val="24"/>
          <w:szCs w:val="24"/>
          <w:color w:val="auto"/>
        </w:rPr>
        <w:t>Dessa forma, pode-se perceber que a conduta e a estrutura de mercado são determinadas pela relação básica entre oferta e demanda, e a parcela de concentração mensurada pelo modelo ECD irá representar o indicador de estrutura que definirá a relação entre a conduta e o desempenho econômico. Essa relação da estrutura de mercado com o desempenho e a conduta das empresas poderá resultar em modelos de concorrência perfeita, oligopólio ou monopólio.</w:t>
      </w:r>
    </w:p>
    <w:p>
      <w:pPr>
        <w:spacing w:after="0" w:line="62"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Mendes e Padilha (2007), afirmam que a estrutura de mercado refere-se às características organizacionais de um mercado que influenciam o tipo de concorrência e a formação de preços, como por exemplo o grau de concentração de vendedores e compradores, o grau de diferenciação do produto e o grau de dificuldade de entrada de novas empresas.</w:t>
      </w:r>
    </w:p>
    <w:p>
      <w:pPr>
        <w:spacing w:after="0" w:line="70"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Já a conduta de mercado são as políticas da empresa em relação aos concorrentes no mercado. Essa conduta pode ser subdividida segundo o comportamento da política de preços (por meio de acordos entre firmas por exemplo), o comportamento com respeito ao produto (diferenciação, propaganda, serviços adicionais), e o comportamento coercitivo (enfraquecimento ou eliminação de concorrentes).</w:t>
      </w:r>
    </w:p>
    <w:p>
      <w:pPr>
        <w:spacing w:after="0" w:line="68" w:lineRule="exact"/>
        <w:rPr>
          <w:sz w:val="20"/>
          <w:szCs w:val="20"/>
          <w:color w:val="auto"/>
        </w:rPr>
      </w:pPr>
    </w:p>
    <w:p>
      <w:pPr>
        <w:jc w:val="both"/>
        <w:ind w:firstLine="708"/>
        <w:spacing w:after="0" w:line="348" w:lineRule="auto"/>
        <w:rPr>
          <w:sz w:val="20"/>
          <w:szCs w:val="20"/>
          <w:color w:val="auto"/>
        </w:rPr>
      </w:pPr>
      <w:r>
        <w:rPr>
          <w:rFonts w:ascii="Arial" w:cs="Arial" w:eastAsia="Arial" w:hAnsi="Arial"/>
          <w:sz w:val="24"/>
          <w:szCs w:val="24"/>
          <w:color w:val="auto"/>
        </w:rPr>
        <w:t>O desempenho de mercado é uma relação produto/insumo, e as principais medidas de desempenho ou eficiência são as margens como reflexo de custo, o progresso da empresa, a eficiência de preço, as perdas e quebras na comercialização e os preços em relação ao custo médio de produção. O presente artigo faz uso do modelo E-C-D, objetivando diagnosticar a estrutura de mercado da indústria de fécula no Brasil.</w:t>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3. PROCEDIMENTOS METODOLÓGICOS</w:t>
      </w:r>
    </w:p>
    <w:p>
      <w:pPr>
        <w:spacing w:after="0" w:line="200" w:lineRule="exact"/>
        <w:rPr>
          <w:sz w:val="20"/>
          <w:szCs w:val="20"/>
          <w:color w:val="auto"/>
        </w:rPr>
      </w:pPr>
    </w:p>
    <w:p>
      <w:pPr>
        <w:spacing w:after="0" w:line="343" w:lineRule="exact"/>
        <w:rPr>
          <w:sz w:val="20"/>
          <w:szCs w:val="20"/>
          <w:color w:val="auto"/>
        </w:rPr>
      </w:pPr>
    </w:p>
    <w:p>
      <w:pPr>
        <w:jc w:val="both"/>
        <w:ind w:firstLine="708"/>
        <w:spacing w:after="0" w:line="352" w:lineRule="auto"/>
        <w:rPr>
          <w:sz w:val="20"/>
          <w:szCs w:val="20"/>
          <w:color w:val="auto"/>
        </w:rPr>
      </w:pPr>
      <w:r>
        <w:rPr>
          <w:rFonts w:ascii="Arial" w:cs="Arial" w:eastAsia="Arial" w:hAnsi="Arial"/>
          <w:sz w:val="24"/>
          <w:szCs w:val="24"/>
          <w:color w:val="auto"/>
        </w:rPr>
        <w:t xml:space="preserve">Para cumprir ao objetivo proposto, ou seja, para se identificar a estrutura de mercado da indústria de fécula no Estado do Paraná, utilizou-se um método sistemático e estruturado. Inicialmente foi feita uma busca na literatura disponível em livros, periódicos nacionais e internacionais, anais de congressos, dissertações e teses acadêmicas que abordam os temas relacionados a: mandioca; fécula; modelo </w:t>
      </w:r>
      <w:r>
        <w:rPr>
          <w:rFonts w:ascii="Arial" w:cs="Arial" w:eastAsia="Arial" w:hAnsi="Arial"/>
          <w:sz w:val="24"/>
          <w:szCs w:val="24"/>
          <w:i w:val="1"/>
          <w:iCs w:val="1"/>
          <w:color w:val="auto"/>
        </w:rPr>
        <w:t>ECD;</w:t>
      </w:r>
      <w:r>
        <w:rPr>
          <w:rFonts w:ascii="Arial" w:cs="Arial" w:eastAsia="Arial" w:hAnsi="Arial"/>
          <w:sz w:val="24"/>
          <w:szCs w:val="24"/>
          <w:color w:val="auto"/>
        </w:rPr>
        <w:t xml:space="preserve"> estrutura de mercado, entre outros temas relevantes ao presente estudo. Esta fase da pesquisa se caracteriza como exploratória, pois visou, em um primeiro momento, a revisão da literatura.</w:t>
      </w:r>
    </w:p>
    <w:p>
      <w:pPr>
        <w:spacing w:after="0" w:line="66" w:lineRule="exact"/>
        <w:rPr>
          <w:sz w:val="20"/>
          <w:szCs w:val="20"/>
          <w:color w:val="auto"/>
        </w:rPr>
      </w:pPr>
    </w:p>
    <w:p>
      <w:pPr>
        <w:jc w:val="both"/>
        <w:ind w:firstLine="708"/>
        <w:spacing w:after="0" w:line="314" w:lineRule="auto"/>
        <w:rPr>
          <w:sz w:val="20"/>
          <w:szCs w:val="20"/>
          <w:color w:val="auto"/>
        </w:rPr>
      </w:pPr>
      <w:r>
        <w:rPr>
          <w:rFonts w:ascii="Arial" w:cs="Arial" w:eastAsia="Arial" w:hAnsi="Arial"/>
          <w:sz w:val="24"/>
          <w:szCs w:val="24"/>
          <w:color w:val="auto"/>
        </w:rPr>
        <w:t>O presente estudo possui caráter quantitativo e fez uso de pesquisa secundária, tendo como base a análise dos dados fornecidos no trabalho de Felipe e Paulillo (2015).</w:t>
      </w:r>
    </w:p>
    <w:p>
      <w:pPr>
        <w:sectPr>
          <w:pgSz w:w="11900" w:h="16838" w:orient="portrait"/>
          <w:cols w:equalWidth="0" w:num="1">
            <w:col w:w="9640"/>
          </w:cols>
          <w:pgMar w:left="1140" w:top="649" w:right="1120" w:bottom="1061" w:gutter="0" w:footer="0" w:header="0"/>
        </w:sectPr>
      </w:pPr>
    </w:p>
    <w:bookmarkStart w:id="8" w:name="page9"/>
    <w:bookmarkEnd w:id="8"/>
    <w:p>
      <w:pPr>
        <w:ind w:left="9520"/>
        <w:spacing w:after="0" w:line="239" w:lineRule="auto"/>
        <w:rPr>
          <w:sz w:val="20"/>
          <w:szCs w:val="20"/>
          <w:color w:val="auto"/>
        </w:rPr>
      </w:pPr>
      <w:r>
        <w:rPr>
          <w:rFonts w:ascii="Calibri" w:cs="Calibri" w:eastAsia="Calibri" w:hAnsi="Calibri"/>
          <w:sz w:val="22"/>
          <w:szCs w:val="22"/>
          <w:color w:val="auto"/>
        </w:rPr>
        <w:t>9</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spacing w:after="0" w:line="356" w:lineRule="auto"/>
        <w:rPr>
          <w:sz w:val="20"/>
          <w:szCs w:val="20"/>
          <w:color w:val="auto"/>
        </w:rPr>
      </w:pPr>
      <w:r>
        <w:rPr>
          <w:rFonts w:ascii="Arial" w:cs="Arial" w:eastAsia="Arial" w:hAnsi="Arial"/>
          <w:sz w:val="24"/>
          <w:szCs w:val="24"/>
          <w:color w:val="auto"/>
        </w:rPr>
        <w:t>O universo estudado foi a indústria de fécula paranaense e partiu-se da pesquisa dos autores supracitados, no qual os autores elaboraram estudo multicaso junto a 11 fecularias no Estado do Paraná. Para identificar a estrutura de mercado assim como a sua concentração, a pesquisa valeu-se do modelo ECD (Estrutura-Conduta-Desempenho). O instrumento para mensurar esses objetivos foi o IHH (</w:t>
      </w:r>
      <w:r>
        <w:rPr>
          <w:rFonts w:ascii="Arial" w:cs="Arial" w:eastAsia="Arial" w:hAnsi="Arial"/>
          <w:sz w:val="24"/>
          <w:szCs w:val="24"/>
          <w:i w:val="1"/>
          <w:iCs w:val="1"/>
          <w:color w:val="auto"/>
        </w:rPr>
        <w:t>Í</w:t>
      </w:r>
      <w:r>
        <w:rPr>
          <w:rFonts w:ascii="Arial" w:cs="Arial" w:eastAsia="Arial" w:hAnsi="Arial"/>
          <w:sz w:val="17"/>
          <w:szCs w:val="17"/>
          <w:i w:val="1"/>
          <w:iCs w:val="1"/>
          <w:color w:val="auto"/>
        </w:rPr>
        <w:t>NDICE DE</w:t>
      </w:r>
      <w:r>
        <w:rPr>
          <w:rFonts w:ascii="Arial" w:cs="Arial" w:eastAsia="Arial" w:hAnsi="Arial"/>
          <w:sz w:val="24"/>
          <w:szCs w:val="24"/>
          <w:color w:val="auto"/>
        </w:rPr>
        <w:t xml:space="preserve"> </w:t>
      </w:r>
      <w:r>
        <w:rPr>
          <w:rFonts w:ascii="Arial" w:cs="Arial" w:eastAsia="Arial" w:hAnsi="Arial"/>
          <w:sz w:val="24"/>
          <w:szCs w:val="24"/>
          <w:i w:val="1"/>
          <w:iCs w:val="1"/>
          <w:color w:val="auto"/>
        </w:rPr>
        <w:t>H</w:t>
      </w:r>
      <w:r>
        <w:rPr>
          <w:rFonts w:ascii="Arial" w:cs="Arial" w:eastAsia="Arial" w:hAnsi="Arial"/>
          <w:sz w:val="17"/>
          <w:szCs w:val="17"/>
          <w:i w:val="1"/>
          <w:iCs w:val="1"/>
          <w:color w:val="auto"/>
        </w:rPr>
        <w:t>ERFINDAHL</w:t>
      </w:r>
      <w:r>
        <w:rPr>
          <w:rFonts w:ascii="Arial" w:cs="Arial" w:eastAsia="Arial" w:hAnsi="Arial"/>
          <w:sz w:val="20"/>
          <w:szCs w:val="20"/>
          <w:i w:val="1"/>
          <w:iCs w:val="1"/>
          <w:color w:val="auto"/>
        </w:rPr>
        <w:t>-</w:t>
      </w:r>
      <w:r>
        <w:rPr>
          <w:rFonts w:ascii="Arial" w:cs="Arial" w:eastAsia="Arial" w:hAnsi="Arial"/>
          <w:sz w:val="24"/>
          <w:szCs w:val="24"/>
          <w:i w:val="1"/>
          <w:iCs w:val="1"/>
          <w:color w:val="auto"/>
        </w:rPr>
        <w:t>H</w:t>
      </w:r>
      <w:r>
        <w:rPr>
          <w:rFonts w:ascii="Arial" w:cs="Arial" w:eastAsia="Arial" w:hAnsi="Arial"/>
          <w:sz w:val="17"/>
          <w:szCs w:val="17"/>
          <w:i w:val="1"/>
          <w:iCs w:val="1"/>
          <w:color w:val="auto"/>
        </w:rPr>
        <w:t>IRSCHAN</w:t>
      </w:r>
      <w:r>
        <w:rPr>
          <w:rFonts w:ascii="Arial" w:cs="Arial" w:eastAsia="Arial" w:hAnsi="Arial"/>
          <w:sz w:val="24"/>
          <w:szCs w:val="24"/>
          <w:color w:val="auto"/>
        </w:rPr>
        <w:t xml:space="preserve">), que mede a concentração de mercado pela soma dos quadrados do </w:t>
      </w:r>
      <w:r>
        <w:rPr>
          <w:rFonts w:ascii="Arial" w:cs="Arial" w:eastAsia="Arial" w:hAnsi="Arial"/>
          <w:sz w:val="24"/>
          <w:szCs w:val="24"/>
          <w:i w:val="1"/>
          <w:iCs w:val="1"/>
          <w:color w:val="auto"/>
        </w:rPr>
        <w:t>M</w:t>
      </w:r>
      <w:r>
        <w:rPr>
          <w:rFonts w:ascii="Arial" w:cs="Arial" w:eastAsia="Arial" w:hAnsi="Arial"/>
          <w:sz w:val="17"/>
          <w:szCs w:val="17"/>
          <w:i w:val="1"/>
          <w:iCs w:val="1"/>
          <w:color w:val="auto"/>
        </w:rPr>
        <w:t>ARKET</w:t>
      </w:r>
      <w:r>
        <w:rPr>
          <w:rFonts w:ascii="Arial" w:cs="Arial" w:eastAsia="Arial" w:hAnsi="Arial"/>
          <w:sz w:val="24"/>
          <w:szCs w:val="24"/>
          <w:color w:val="auto"/>
        </w:rPr>
        <w:t xml:space="preserve"> </w:t>
      </w:r>
      <w:r>
        <w:rPr>
          <w:rFonts w:ascii="Arial" w:cs="Arial" w:eastAsia="Arial" w:hAnsi="Arial"/>
          <w:sz w:val="24"/>
          <w:szCs w:val="24"/>
          <w:i w:val="1"/>
          <w:iCs w:val="1"/>
          <w:color w:val="auto"/>
        </w:rPr>
        <w:t>S</w:t>
      </w:r>
      <w:r>
        <w:rPr>
          <w:rFonts w:ascii="Arial" w:cs="Arial" w:eastAsia="Arial" w:hAnsi="Arial"/>
          <w:sz w:val="17"/>
          <w:szCs w:val="17"/>
          <w:i w:val="1"/>
          <w:iCs w:val="1"/>
          <w:color w:val="auto"/>
        </w:rPr>
        <w:t>HARE</w:t>
      </w:r>
      <w:r>
        <w:rPr>
          <w:rFonts w:ascii="Arial" w:cs="Arial" w:eastAsia="Arial" w:hAnsi="Arial"/>
          <w:sz w:val="24"/>
          <w:szCs w:val="24"/>
          <w:color w:val="auto"/>
        </w:rPr>
        <w:t xml:space="preserve"> de cada empresa. De acordo com Marques e Aguiar (1993), este índice considera a participação de todas as empresas, de forma que aumenta à medida que intensifica a concentração, assim, a concentração toma como base o número de empresas participantes em determinado mercado e a produção agregada ou volume de vendas, quanto maior o índice obtido, maior é a concentração deste mercado; a equação se configura da seguinte maneira:</w:t>
      </w:r>
    </w:p>
    <w:p>
      <w:pPr>
        <w:spacing w:after="0" w:line="4" w:lineRule="exact"/>
        <w:rPr>
          <w:sz w:val="20"/>
          <w:szCs w:val="20"/>
          <w:color w:val="auto"/>
        </w:rPr>
      </w:pPr>
    </w:p>
    <w:p>
      <w:pPr>
        <w:ind w:left="700"/>
        <w:spacing w:after="0"/>
        <w:rPr>
          <w:sz w:val="20"/>
          <w:szCs w:val="20"/>
          <w:color w:val="auto"/>
        </w:rPr>
      </w:pPr>
      <w:r>
        <w:rPr>
          <w:rFonts w:ascii="Arial" w:cs="Arial" w:eastAsia="Arial" w:hAnsi="Arial"/>
          <w:sz w:val="24"/>
          <w:szCs w:val="24"/>
          <w:color w:val="auto"/>
        </w:rPr>
        <w:t>Taxa de concentração de mercado:</w:t>
      </w:r>
    </w:p>
    <w:p>
      <w:pPr>
        <w:spacing w:after="0" w:line="142" w:lineRule="exact"/>
        <w:rPr>
          <w:sz w:val="20"/>
          <w:szCs w:val="20"/>
          <w:color w:val="auto"/>
        </w:rPr>
      </w:pPr>
    </w:p>
    <w:p>
      <w:pPr>
        <w:ind w:left="1700"/>
        <w:spacing w:after="0"/>
        <w:rPr>
          <w:sz w:val="20"/>
          <w:szCs w:val="20"/>
          <w:color w:val="auto"/>
        </w:rPr>
      </w:pPr>
      <w:r>
        <w:rPr>
          <w:rFonts w:ascii="Times New Roman" w:cs="Times New Roman" w:eastAsia="Times New Roman" w:hAnsi="Times New Roman"/>
          <w:sz w:val="12"/>
          <w:szCs w:val="12"/>
          <w:i w:val="1"/>
          <w:iCs w:val="1"/>
          <w:color w:val="auto"/>
        </w:rPr>
        <w:t>N</w:t>
      </w:r>
    </w:p>
    <w:p>
      <w:pPr>
        <w:ind w:left="740"/>
        <w:spacing w:after="0" w:line="183" w:lineRule="auto"/>
        <w:rPr>
          <w:sz w:val="20"/>
          <w:szCs w:val="20"/>
          <w:color w:val="auto"/>
        </w:rPr>
      </w:pPr>
      <w:r>
        <w:rPr>
          <w:rFonts w:ascii="Times New Roman" w:cs="Times New Roman" w:eastAsia="Times New Roman" w:hAnsi="Times New Roman"/>
          <w:sz w:val="17"/>
          <w:szCs w:val="17"/>
          <w:i w:val="1"/>
          <w:iCs w:val="1"/>
          <w:color w:val="auto"/>
        </w:rPr>
        <w:t xml:space="preserve">IHH </w:t>
      </w:r>
      <w:r>
        <w:rPr>
          <w:rFonts w:ascii="Symbol" w:cs="Symbol" w:eastAsia="Symbol" w:hAnsi="Symbol"/>
          <w:sz w:val="17"/>
          <w:szCs w:val="17"/>
          <w:color w:val="auto"/>
        </w:rPr>
        <w:t>=</w:t>
      </w:r>
      <w:r>
        <w:rPr>
          <w:rFonts w:ascii="Times New Roman" w:cs="Times New Roman" w:eastAsia="Times New Roman" w:hAnsi="Times New Roman"/>
          <w:sz w:val="17"/>
          <w:szCs w:val="17"/>
          <w:i w:val="1"/>
          <w:iCs w:val="1"/>
          <w:color w:val="auto"/>
        </w:rPr>
        <w:t xml:space="preserve"> </w:t>
      </w:r>
      <w:r>
        <w:rPr>
          <w:rFonts w:ascii="Symbol" w:cs="Symbol" w:eastAsia="Symbol" w:hAnsi="Symbol"/>
          <w:sz w:val="30"/>
          <w:szCs w:val="30"/>
          <w:color w:val="auto"/>
          <w:vertAlign w:val="subscript"/>
        </w:rPr>
        <w:t>∑</w:t>
      </w:r>
      <w:r>
        <w:rPr>
          <w:rFonts w:ascii="Times New Roman" w:cs="Times New Roman" w:eastAsia="Times New Roman" w:hAnsi="Times New Roman"/>
          <w:sz w:val="17"/>
          <w:szCs w:val="17"/>
          <w:i w:val="1"/>
          <w:iCs w:val="1"/>
          <w:color w:val="auto"/>
          <w:vertAlign w:val="subscript"/>
        </w:rPr>
        <w:t>T</w:t>
      </w:r>
      <w:r>
        <w:rPr>
          <w:rFonts w:ascii="Symbol" w:cs="Symbol" w:eastAsia="Symbol" w:hAnsi="Symbol"/>
          <w:sz w:val="18"/>
          <w:szCs w:val="18"/>
          <w:color w:val="auto"/>
          <w:vertAlign w:val="subscript"/>
        </w:rPr>
        <w:t>=</w:t>
      </w:r>
      <w:r>
        <w:rPr>
          <w:rFonts w:ascii="Times New Roman" w:cs="Times New Roman" w:eastAsia="Times New Roman" w:hAnsi="Times New Roman"/>
          <w:sz w:val="18"/>
          <w:szCs w:val="18"/>
          <w:color w:val="auto"/>
          <w:vertAlign w:val="subscript"/>
        </w:rPr>
        <w:t>1</w:t>
      </w:r>
      <w:r>
        <w:rPr>
          <w:rFonts w:ascii="Times New Roman" w:cs="Times New Roman" w:eastAsia="Times New Roman" w:hAnsi="Times New Roman"/>
          <w:sz w:val="17"/>
          <w:szCs w:val="17"/>
          <w:i w:val="1"/>
          <w:iCs w:val="1"/>
          <w:color w:val="auto"/>
        </w:rPr>
        <w:t xml:space="preserve"> MS</w:t>
      </w:r>
      <w:r>
        <w:rPr>
          <w:rFonts w:ascii="Times New Roman" w:cs="Times New Roman" w:eastAsia="Times New Roman" w:hAnsi="Times New Roman"/>
          <w:sz w:val="17"/>
          <w:szCs w:val="17"/>
          <w:i w:val="1"/>
          <w:iCs w:val="1"/>
          <w:color w:val="auto"/>
          <w:vertAlign w:val="subscript"/>
        </w:rPr>
        <w:t>T</w:t>
      </w:r>
      <w:r>
        <w:rPr>
          <w:rFonts w:ascii="Times New Roman" w:cs="Times New Roman" w:eastAsia="Times New Roman" w:hAnsi="Times New Roman"/>
          <w:sz w:val="18"/>
          <w:szCs w:val="18"/>
          <w:color w:val="auto"/>
          <w:vertAlign w:val="superscript"/>
        </w:rPr>
        <w:t>2</w:t>
      </w:r>
      <w:r>
        <w:rPr>
          <w:rFonts w:ascii="Times New Roman" w:cs="Times New Roman" w:eastAsia="Times New Roman" w:hAnsi="Times New Roman"/>
          <w:sz w:val="17"/>
          <w:szCs w:val="17"/>
          <w:i w:val="1"/>
          <w:iCs w:val="1"/>
          <w:color w:val="auto"/>
        </w:rPr>
        <w:t xml:space="preserve"> </w:t>
      </w:r>
      <w:r>
        <w:rPr>
          <w:rFonts w:ascii="Arial" w:cs="Arial" w:eastAsia="Arial" w:hAnsi="Arial"/>
          <w:sz w:val="17"/>
          <w:szCs w:val="17"/>
          <w:color w:val="auto"/>
        </w:rPr>
        <w:t>(1)</w:t>
      </w:r>
    </w:p>
    <w:p>
      <w:pPr>
        <w:spacing w:after="0" w:line="169" w:lineRule="exact"/>
        <w:rPr>
          <w:sz w:val="20"/>
          <w:szCs w:val="20"/>
          <w:color w:val="auto"/>
        </w:rPr>
      </w:pPr>
    </w:p>
    <w:p>
      <w:pPr>
        <w:ind w:left="700"/>
        <w:spacing w:after="0"/>
        <w:rPr>
          <w:sz w:val="20"/>
          <w:szCs w:val="20"/>
          <w:color w:val="auto"/>
        </w:rPr>
      </w:pPr>
      <w:r>
        <w:rPr>
          <w:rFonts w:ascii="Arial" w:cs="Arial" w:eastAsia="Arial" w:hAnsi="Arial"/>
          <w:sz w:val="24"/>
          <w:szCs w:val="24"/>
          <w:color w:val="auto"/>
        </w:rPr>
        <w:t>Em que:</w:t>
      </w:r>
    </w:p>
    <w:p>
      <w:pPr>
        <w:spacing w:after="0" w:line="139" w:lineRule="exact"/>
        <w:rPr>
          <w:sz w:val="20"/>
          <w:szCs w:val="20"/>
          <w:color w:val="auto"/>
        </w:rPr>
      </w:pPr>
    </w:p>
    <w:p>
      <w:pPr>
        <w:ind w:left="700"/>
        <w:spacing w:after="0"/>
        <w:rPr>
          <w:sz w:val="20"/>
          <w:szCs w:val="20"/>
          <w:color w:val="auto"/>
        </w:rPr>
      </w:pPr>
      <w:r>
        <w:rPr>
          <w:rFonts w:ascii="Arial" w:cs="Arial" w:eastAsia="Arial" w:hAnsi="Arial"/>
          <w:sz w:val="22"/>
          <w:szCs w:val="22"/>
          <w:color w:val="auto"/>
        </w:rPr>
        <w:t xml:space="preserve">IHH= </w:t>
      </w:r>
      <w:r>
        <w:rPr>
          <w:rFonts w:ascii="Arial" w:cs="Arial" w:eastAsia="Arial" w:hAnsi="Arial"/>
          <w:sz w:val="22"/>
          <w:szCs w:val="22"/>
          <w:i w:val="1"/>
          <w:iCs w:val="1"/>
          <w:color w:val="auto"/>
        </w:rPr>
        <w:t>Í</w:t>
      </w:r>
      <w:r>
        <w:rPr>
          <w:rFonts w:ascii="Arial" w:cs="Arial" w:eastAsia="Arial" w:hAnsi="Arial"/>
          <w:sz w:val="15"/>
          <w:szCs w:val="15"/>
          <w:i w:val="1"/>
          <w:iCs w:val="1"/>
          <w:color w:val="auto"/>
        </w:rPr>
        <w:t>NDICE DE</w:t>
      </w:r>
      <w:r>
        <w:rPr>
          <w:rFonts w:ascii="Arial" w:cs="Arial" w:eastAsia="Arial" w:hAnsi="Arial"/>
          <w:sz w:val="22"/>
          <w:szCs w:val="22"/>
          <w:color w:val="auto"/>
        </w:rPr>
        <w:t xml:space="preserve"> </w:t>
      </w:r>
      <w:r>
        <w:rPr>
          <w:rFonts w:ascii="Arial" w:cs="Arial" w:eastAsia="Arial" w:hAnsi="Arial"/>
          <w:sz w:val="22"/>
          <w:szCs w:val="22"/>
          <w:i w:val="1"/>
          <w:iCs w:val="1"/>
          <w:color w:val="auto"/>
        </w:rPr>
        <w:t>H</w:t>
      </w:r>
      <w:r>
        <w:rPr>
          <w:rFonts w:ascii="Arial" w:cs="Arial" w:eastAsia="Arial" w:hAnsi="Arial"/>
          <w:sz w:val="15"/>
          <w:szCs w:val="15"/>
          <w:i w:val="1"/>
          <w:iCs w:val="1"/>
          <w:color w:val="auto"/>
        </w:rPr>
        <w:t>ERFINDAHL</w:t>
      </w:r>
      <w:r>
        <w:rPr>
          <w:rFonts w:ascii="Arial" w:cs="Arial" w:eastAsia="Arial" w:hAnsi="Arial"/>
          <w:sz w:val="18"/>
          <w:szCs w:val="18"/>
          <w:i w:val="1"/>
          <w:iCs w:val="1"/>
          <w:color w:val="auto"/>
        </w:rPr>
        <w:t>-</w:t>
      </w:r>
      <w:r>
        <w:rPr>
          <w:rFonts w:ascii="Arial" w:cs="Arial" w:eastAsia="Arial" w:hAnsi="Arial"/>
          <w:sz w:val="22"/>
          <w:szCs w:val="22"/>
          <w:i w:val="1"/>
          <w:iCs w:val="1"/>
          <w:color w:val="auto"/>
        </w:rPr>
        <w:t>H</w:t>
      </w:r>
      <w:r>
        <w:rPr>
          <w:rFonts w:ascii="Arial" w:cs="Arial" w:eastAsia="Arial" w:hAnsi="Arial"/>
          <w:sz w:val="15"/>
          <w:szCs w:val="15"/>
          <w:i w:val="1"/>
          <w:iCs w:val="1"/>
          <w:color w:val="auto"/>
        </w:rPr>
        <w:t>IRSCHMAN</w:t>
      </w:r>
      <w:r>
        <w:rPr>
          <w:rFonts w:ascii="Arial" w:cs="Arial" w:eastAsia="Arial" w:hAnsi="Arial"/>
          <w:sz w:val="22"/>
          <w:szCs w:val="22"/>
          <w:color w:val="auto"/>
        </w:rPr>
        <w:t>;</w:t>
      </w:r>
    </w:p>
    <w:p>
      <w:pPr>
        <w:spacing w:after="0" w:line="132" w:lineRule="exact"/>
        <w:rPr>
          <w:sz w:val="20"/>
          <w:szCs w:val="20"/>
          <w:color w:val="auto"/>
        </w:rPr>
      </w:pPr>
    </w:p>
    <w:p>
      <w:pPr>
        <w:ind w:left="740"/>
        <w:spacing w:after="0" w:line="239" w:lineRule="auto"/>
        <w:rPr>
          <w:sz w:val="20"/>
          <w:szCs w:val="20"/>
          <w:color w:val="auto"/>
        </w:rPr>
      </w:pPr>
      <w:r>
        <w:rPr>
          <w:rFonts w:ascii="Times New Roman" w:cs="Times New Roman" w:eastAsia="Times New Roman" w:hAnsi="Times New Roman"/>
          <w:sz w:val="24"/>
          <w:szCs w:val="24"/>
          <w:i w:val="1"/>
          <w:iCs w:val="1"/>
          <w:color w:val="auto"/>
        </w:rPr>
        <w:t>MS</w:t>
      </w:r>
      <w:r>
        <w:rPr>
          <w:rFonts w:ascii="Times New Roman" w:cs="Times New Roman" w:eastAsia="Times New Roman" w:hAnsi="Times New Roman"/>
          <w:sz w:val="24"/>
          <w:szCs w:val="24"/>
          <w:i w:val="1"/>
          <w:iCs w:val="1"/>
          <w:color w:val="auto"/>
          <w:vertAlign w:val="subscript"/>
        </w:rPr>
        <w:t>T</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4"/>
          <w:szCs w:val="24"/>
          <w:i w:val="1"/>
          <w:iCs w:val="1"/>
          <w:color w:val="auto"/>
        </w:rPr>
        <w:t xml:space="preserve"> </w:t>
      </w:r>
      <w:r>
        <w:rPr>
          <w:rFonts w:ascii="Arial" w:cs="Arial" w:eastAsia="Arial" w:hAnsi="Arial"/>
          <w:sz w:val="22"/>
          <w:szCs w:val="22"/>
          <w:color w:val="auto"/>
        </w:rPr>
        <w:t>=</w:t>
      </w:r>
      <w:r>
        <w:rPr>
          <w:rFonts w:ascii="Times New Roman" w:cs="Times New Roman" w:eastAsia="Times New Roman" w:hAnsi="Times New Roman"/>
          <w:sz w:val="24"/>
          <w:szCs w:val="24"/>
          <w:i w:val="1"/>
          <w:iCs w:val="1"/>
          <w:color w:val="auto"/>
        </w:rPr>
        <w:t xml:space="preserve"> </w:t>
      </w:r>
      <w:r>
        <w:rPr>
          <w:rFonts w:ascii="Arial" w:cs="Arial" w:eastAsia="Arial" w:hAnsi="Arial"/>
          <w:sz w:val="22"/>
          <w:szCs w:val="22"/>
          <w:i w:val="1"/>
          <w:iCs w:val="1"/>
          <w:color w:val="auto"/>
        </w:rPr>
        <w:t>M</w:t>
      </w:r>
      <w:r>
        <w:rPr>
          <w:rFonts w:ascii="Arial" w:cs="Arial" w:eastAsia="Arial" w:hAnsi="Arial"/>
          <w:sz w:val="15"/>
          <w:szCs w:val="15"/>
          <w:i w:val="1"/>
          <w:iCs w:val="1"/>
          <w:color w:val="auto"/>
        </w:rPr>
        <w:t>ARKET</w:t>
      </w:r>
      <w:r>
        <w:rPr>
          <w:rFonts w:ascii="Times New Roman" w:cs="Times New Roman" w:eastAsia="Times New Roman" w:hAnsi="Times New Roman"/>
          <w:sz w:val="24"/>
          <w:szCs w:val="24"/>
          <w:i w:val="1"/>
          <w:iCs w:val="1"/>
          <w:color w:val="auto"/>
        </w:rPr>
        <w:t xml:space="preserve"> </w:t>
      </w:r>
      <w:r>
        <w:rPr>
          <w:rFonts w:ascii="Arial" w:cs="Arial" w:eastAsia="Arial" w:hAnsi="Arial"/>
          <w:sz w:val="22"/>
          <w:szCs w:val="22"/>
          <w:i w:val="1"/>
          <w:iCs w:val="1"/>
          <w:color w:val="auto"/>
        </w:rPr>
        <w:t>S</w:t>
      </w:r>
      <w:r>
        <w:rPr>
          <w:rFonts w:ascii="Arial" w:cs="Arial" w:eastAsia="Arial" w:hAnsi="Arial"/>
          <w:sz w:val="15"/>
          <w:szCs w:val="15"/>
          <w:i w:val="1"/>
          <w:iCs w:val="1"/>
          <w:color w:val="auto"/>
        </w:rPr>
        <w:t>HARE</w:t>
      </w:r>
      <w:r>
        <w:rPr>
          <w:rFonts w:ascii="Times New Roman" w:cs="Times New Roman" w:eastAsia="Times New Roman" w:hAnsi="Times New Roman"/>
          <w:sz w:val="24"/>
          <w:szCs w:val="24"/>
          <w:i w:val="1"/>
          <w:iCs w:val="1"/>
          <w:color w:val="auto"/>
        </w:rPr>
        <w:t xml:space="preserve"> </w:t>
      </w:r>
      <w:r>
        <w:rPr>
          <w:rFonts w:ascii="Arial" w:cs="Arial" w:eastAsia="Arial" w:hAnsi="Arial"/>
          <w:sz w:val="22"/>
          <w:szCs w:val="22"/>
          <w:color w:val="auto"/>
        </w:rPr>
        <w:t>e;</w:t>
      </w:r>
    </w:p>
    <w:p>
      <w:pPr>
        <w:spacing w:after="0" w:line="186" w:lineRule="exact"/>
        <w:rPr>
          <w:sz w:val="20"/>
          <w:szCs w:val="20"/>
          <w:color w:val="auto"/>
        </w:rPr>
      </w:pPr>
    </w:p>
    <w:p>
      <w:pPr>
        <w:ind w:left="700"/>
        <w:spacing w:after="0"/>
        <w:rPr>
          <w:sz w:val="20"/>
          <w:szCs w:val="20"/>
          <w:color w:val="auto"/>
        </w:rPr>
      </w:pPr>
      <w:r>
        <w:rPr>
          <w:rFonts w:ascii="Arial" w:cs="Arial" w:eastAsia="Arial" w:hAnsi="Arial"/>
          <w:sz w:val="19"/>
          <w:szCs w:val="19"/>
          <w:i w:val="1"/>
          <w:iCs w:val="1"/>
          <w:color w:val="auto"/>
        </w:rPr>
        <w:t xml:space="preserve">N </w:t>
      </w:r>
      <w:r>
        <w:rPr>
          <w:rFonts w:ascii="Arial" w:cs="Arial" w:eastAsia="Arial" w:hAnsi="Arial"/>
          <w:sz w:val="22"/>
          <w:szCs w:val="22"/>
          <w:color w:val="auto"/>
        </w:rPr>
        <w:t>= Total de empresas no setor.</w:t>
      </w:r>
    </w:p>
    <w:p>
      <w:pPr>
        <w:spacing w:after="0" w:line="200" w:lineRule="exact"/>
        <w:rPr>
          <w:sz w:val="20"/>
          <w:szCs w:val="20"/>
          <w:color w:val="auto"/>
        </w:rPr>
      </w:pPr>
    </w:p>
    <w:p>
      <w:pPr>
        <w:spacing w:after="0" w:line="339" w:lineRule="exact"/>
        <w:rPr>
          <w:sz w:val="20"/>
          <w:szCs w:val="20"/>
          <w:color w:val="auto"/>
        </w:rPr>
      </w:pPr>
    </w:p>
    <w:p>
      <w:pPr>
        <w:ind w:left="700"/>
        <w:spacing w:after="0"/>
        <w:rPr>
          <w:sz w:val="20"/>
          <w:szCs w:val="20"/>
          <w:color w:val="auto"/>
        </w:rPr>
      </w:pPr>
      <w:r>
        <w:rPr>
          <w:rFonts w:ascii="Arial" w:cs="Arial" w:eastAsia="Arial" w:hAnsi="Arial"/>
          <w:sz w:val="24"/>
          <w:szCs w:val="24"/>
          <w:color w:val="auto"/>
        </w:rPr>
        <w:t>Os intervalos para mensuração do nível de concentração de mercado são:</w:t>
      </w:r>
    </w:p>
    <w:p>
      <w:pPr>
        <w:spacing w:after="0" w:line="139" w:lineRule="exact"/>
        <w:rPr>
          <w:sz w:val="20"/>
          <w:szCs w:val="20"/>
          <w:color w:val="auto"/>
        </w:rPr>
      </w:pPr>
    </w:p>
    <w:p>
      <w:pPr>
        <w:jc w:val="both"/>
        <w:ind w:left="900" w:hanging="199"/>
        <w:spacing w:after="0"/>
        <w:tabs>
          <w:tab w:leader="none" w:pos="900" w:val="left"/>
        </w:tabs>
        <w:numPr>
          <w:ilvl w:val="0"/>
          <w:numId w:val="1"/>
        </w:numPr>
        <w:rPr>
          <w:rFonts w:ascii="Arial" w:cs="Arial" w:eastAsia="Arial" w:hAnsi="Arial"/>
          <w:sz w:val="24"/>
          <w:szCs w:val="24"/>
          <w:color w:val="auto"/>
        </w:rPr>
      </w:pPr>
      <w:r>
        <w:rPr>
          <w:rFonts w:ascii="Arial" w:cs="Arial" w:eastAsia="Arial" w:hAnsi="Arial"/>
          <w:sz w:val="24"/>
          <w:szCs w:val="24"/>
          <w:color w:val="auto"/>
        </w:rPr>
        <w:t>Até 1.000 = Mercado não concentrado (concorrência perfeita);</w:t>
      </w:r>
    </w:p>
    <w:p>
      <w:pPr>
        <w:spacing w:after="0" w:line="134" w:lineRule="exact"/>
        <w:rPr>
          <w:rFonts w:ascii="Arial" w:cs="Arial" w:eastAsia="Arial" w:hAnsi="Arial"/>
          <w:sz w:val="24"/>
          <w:szCs w:val="24"/>
          <w:color w:val="auto"/>
        </w:rPr>
      </w:pPr>
    </w:p>
    <w:p>
      <w:pPr>
        <w:jc w:val="both"/>
        <w:ind w:left="960" w:hanging="259"/>
        <w:spacing w:after="0"/>
        <w:tabs>
          <w:tab w:leader="none" w:pos="960" w:val="left"/>
        </w:tabs>
        <w:numPr>
          <w:ilvl w:val="0"/>
          <w:numId w:val="1"/>
        </w:numPr>
        <w:rPr>
          <w:rFonts w:ascii="Arial" w:cs="Arial" w:eastAsia="Arial" w:hAnsi="Arial"/>
          <w:sz w:val="24"/>
          <w:szCs w:val="24"/>
          <w:color w:val="auto"/>
        </w:rPr>
      </w:pPr>
      <w:r>
        <w:rPr>
          <w:rFonts w:ascii="Arial" w:cs="Arial" w:eastAsia="Arial" w:hAnsi="Arial"/>
          <w:sz w:val="24"/>
          <w:szCs w:val="24"/>
          <w:color w:val="auto"/>
        </w:rPr>
        <w:t xml:space="preserve">1.000 &gt; </w:t>
      </w:r>
      <w:r>
        <w:rPr>
          <w:rFonts w:ascii="Arial" w:cs="Arial" w:eastAsia="Arial" w:hAnsi="Arial"/>
          <w:sz w:val="24"/>
          <w:szCs w:val="24"/>
          <w:i w:val="1"/>
          <w:iCs w:val="1"/>
          <w:color w:val="auto"/>
        </w:rPr>
        <w:t>IHH</w:t>
      </w:r>
      <w:r>
        <w:rPr>
          <w:rFonts w:ascii="Arial" w:cs="Arial" w:eastAsia="Arial" w:hAnsi="Arial"/>
          <w:sz w:val="24"/>
          <w:szCs w:val="24"/>
          <w:color w:val="auto"/>
        </w:rPr>
        <w:t xml:space="preserve"> &gt; 1.800 = Mercado com concentração moderada e;</w:t>
      </w:r>
    </w:p>
    <w:p>
      <w:pPr>
        <w:spacing w:after="0" w:line="141" w:lineRule="exact"/>
        <w:rPr>
          <w:rFonts w:ascii="Arial" w:cs="Arial" w:eastAsia="Arial" w:hAnsi="Arial"/>
          <w:sz w:val="24"/>
          <w:szCs w:val="24"/>
          <w:color w:val="auto"/>
        </w:rPr>
      </w:pPr>
    </w:p>
    <w:p>
      <w:pPr>
        <w:jc w:val="both"/>
        <w:ind w:left="1000" w:hanging="299"/>
        <w:spacing w:after="0"/>
        <w:tabs>
          <w:tab w:leader="none" w:pos="1000" w:val="left"/>
        </w:tabs>
        <w:numPr>
          <w:ilvl w:val="0"/>
          <w:numId w:val="1"/>
        </w:numPr>
        <w:rPr>
          <w:rFonts w:ascii="Arial" w:cs="Arial" w:eastAsia="Arial" w:hAnsi="Arial"/>
          <w:sz w:val="24"/>
          <w:szCs w:val="24"/>
          <w:color w:val="auto"/>
        </w:rPr>
      </w:pPr>
      <w:r>
        <w:rPr>
          <w:rFonts w:ascii="Arial" w:cs="Arial" w:eastAsia="Arial" w:hAnsi="Arial"/>
          <w:sz w:val="24"/>
          <w:szCs w:val="24"/>
          <w:color w:val="auto"/>
        </w:rPr>
        <w:t>Acima de 1.800 = Mercado concentrado.</w:t>
      </w:r>
    </w:p>
    <w:p>
      <w:pPr>
        <w:spacing w:after="0" w:line="153" w:lineRule="exact"/>
        <w:rPr>
          <w:sz w:val="20"/>
          <w:szCs w:val="20"/>
          <w:color w:val="auto"/>
        </w:rPr>
      </w:pPr>
    </w:p>
    <w:p>
      <w:pPr>
        <w:jc w:val="both"/>
        <w:ind w:firstLine="708"/>
        <w:spacing w:after="0" w:line="356" w:lineRule="auto"/>
        <w:rPr>
          <w:sz w:val="20"/>
          <w:szCs w:val="20"/>
          <w:color w:val="auto"/>
        </w:rPr>
      </w:pPr>
      <w:r>
        <w:rPr>
          <w:rFonts w:ascii="Arial" w:cs="Arial" w:eastAsia="Arial" w:hAnsi="Arial"/>
          <w:sz w:val="24"/>
          <w:szCs w:val="24"/>
          <w:color w:val="auto"/>
        </w:rPr>
        <w:t xml:space="preserve">Conforme relatado os dados utilizados para se calcular o </w:t>
      </w:r>
      <w:r>
        <w:rPr>
          <w:rFonts w:ascii="Arial" w:cs="Arial" w:eastAsia="Arial" w:hAnsi="Arial"/>
          <w:sz w:val="24"/>
          <w:szCs w:val="24"/>
          <w:i w:val="1"/>
          <w:iCs w:val="1"/>
          <w:color w:val="auto"/>
        </w:rPr>
        <w:t>IHH</w:t>
      </w:r>
      <w:r>
        <w:rPr>
          <w:rFonts w:ascii="Arial" w:cs="Arial" w:eastAsia="Arial" w:hAnsi="Arial"/>
          <w:sz w:val="24"/>
          <w:szCs w:val="24"/>
          <w:color w:val="auto"/>
        </w:rPr>
        <w:t xml:space="preserve"> fazem parte da pesquisa de Felipe e Paulillo (2015). Os valores de </w:t>
      </w:r>
      <w:r>
        <w:rPr>
          <w:rFonts w:ascii="Arial" w:cs="Arial" w:eastAsia="Arial" w:hAnsi="Arial"/>
          <w:sz w:val="24"/>
          <w:szCs w:val="24"/>
          <w:i w:val="1"/>
          <w:iCs w:val="1"/>
          <w:color w:val="auto"/>
        </w:rPr>
        <w:t>M</w:t>
      </w:r>
      <w:r>
        <w:rPr>
          <w:rFonts w:ascii="Arial" w:cs="Arial" w:eastAsia="Arial" w:hAnsi="Arial"/>
          <w:sz w:val="17"/>
          <w:szCs w:val="17"/>
          <w:i w:val="1"/>
          <w:iCs w:val="1"/>
          <w:color w:val="auto"/>
        </w:rPr>
        <w:t>ARKET</w:t>
      </w:r>
      <w:r>
        <w:rPr>
          <w:rFonts w:ascii="Arial" w:cs="Arial" w:eastAsia="Arial" w:hAnsi="Arial"/>
          <w:sz w:val="24"/>
          <w:szCs w:val="24"/>
          <w:color w:val="auto"/>
        </w:rPr>
        <w:t xml:space="preserve"> </w:t>
      </w:r>
      <w:r>
        <w:rPr>
          <w:rFonts w:ascii="Arial" w:cs="Arial" w:eastAsia="Arial" w:hAnsi="Arial"/>
          <w:sz w:val="24"/>
          <w:szCs w:val="24"/>
          <w:i w:val="1"/>
          <w:iCs w:val="1"/>
          <w:color w:val="auto"/>
        </w:rPr>
        <w:t>S</w:t>
      </w:r>
      <w:r>
        <w:rPr>
          <w:rFonts w:ascii="Arial" w:cs="Arial" w:eastAsia="Arial" w:hAnsi="Arial"/>
          <w:sz w:val="17"/>
          <w:szCs w:val="17"/>
          <w:i w:val="1"/>
          <w:iCs w:val="1"/>
          <w:color w:val="auto"/>
        </w:rPr>
        <w:t>HARE</w:t>
      </w:r>
      <w:r>
        <w:rPr>
          <w:rFonts w:ascii="Arial" w:cs="Arial" w:eastAsia="Arial" w:hAnsi="Arial"/>
          <w:sz w:val="24"/>
          <w:szCs w:val="24"/>
          <w:color w:val="auto"/>
        </w:rPr>
        <w:t xml:space="preserve"> referem-se à participação de mercado de cada empresa, atribuídas pela quantidade em toneladas de fécula produzida no ano de 2014. O quadro 3 demostra a identificação das 11 empresas analisadas e sua respectiva produção de fécula em toneladas no ano de 2014.</w:t>
      </w:r>
    </w:p>
    <w:p>
      <w:pPr>
        <w:sectPr>
          <w:pgSz w:w="11900" w:h="16838" w:orient="portrait"/>
          <w:cols w:equalWidth="0" w:num="1">
            <w:col w:w="9640"/>
          </w:cols>
          <w:pgMar w:left="1140" w:top="649" w:right="1120" w:bottom="1440" w:gutter="0" w:footer="0" w:header="0"/>
        </w:sectPr>
      </w:pPr>
    </w:p>
    <w:bookmarkStart w:id="9" w:name="page10"/>
    <w:bookmarkEnd w:id="9"/>
    <w:p>
      <w:pPr>
        <w:ind w:left="9400"/>
        <w:spacing w:after="0" w:line="239" w:lineRule="auto"/>
        <w:rPr>
          <w:sz w:val="20"/>
          <w:szCs w:val="20"/>
          <w:color w:val="auto"/>
        </w:rPr>
      </w:pPr>
      <w:r>
        <w:rPr>
          <w:rFonts w:ascii="Calibri" w:cs="Calibri" w:eastAsia="Calibri" w:hAnsi="Calibri"/>
          <w:sz w:val="22"/>
          <w:szCs w:val="22"/>
          <w:color w:val="auto"/>
        </w:rPr>
        <w:t>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1980"/>
        <w:spacing w:after="0"/>
        <w:rPr>
          <w:sz w:val="20"/>
          <w:szCs w:val="20"/>
          <w:color w:val="auto"/>
        </w:rPr>
      </w:pPr>
      <w:r>
        <w:rPr>
          <w:rFonts w:ascii="Arial" w:cs="Arial" w:eastAsia="Arial" w:hAnsi="Arial"/>
          <w:sz w:val="24"/>
          <w:szCs w:val="24"/>
          <w:b w:val="1"/>
          <w:bCs w:val="1"/>
          <w:color w:val="auto"/>
        </w:rPr>
        <w:t xml:space="preserve">Quadro 3: </w:t>
      </w:r>
      <w:r>
        <w:rPr>
          <w:rFonts w:ascii="Arial" w:cs="Arial" w:eastAsia="Arial" w:hAnsi="Arial"/>
          <w:sz w:val="24"/>
          <w:szCs w:val="24"/>
          <w:color w:val="auto"/>
        </w:rPr>
        <w:t>concentração da indústria de fécula paranaense.</w:t>
      </w:r>
    </w:p>
    <w:p>
      <w:pPr>
        <w:spacing w:after="0" w:line="122" w:lineRule="exact"/>
        <w:rPr>
          <w:sz w:val="20"/>
          <w:szCs w:val="20"/>
          <w:color w:val="auto"/>
        </w:rPr>
      </w:pPr>
    </w:p>
    <w:tbl>
      <w:tblPr>
        <w:tblLayout w:type="fixed"/>
        <w:tblInd w:w="3710" w:type="dxa"/>
        <w:tblCellMar>
          <w:top w:w="0" w:type="dxa"/>
          <w:left w:w="0" w:type="dxa"/>
          <w:bottom w:w="0" w:type="dxa"/>
          <w:right w:w="0" w:type="dxa"/>
        </w:tblCellMar>
      </w:tblPr>
      <w:tr>
        <w:trPr>
          <w:trHeight w:val="232"/>
        </w:trPr>
        <w:tc>
          <w:tcPr>
            <w:tcW w:w="1000" w:type="dxa"/>
            <w:vAlign w:val="bottom"/>
            <w:tcBorders>
              <w:top w:val="single" w:sz="8" w:color="auto"/>
              <w:left w:val="single" w:sz="8" w:color="auto"/>
              <w:right w:val="single" w:sz="8" w:color="auto"/>
            </w:tcBorders>
            <w:shd w:val="clear" w:color="auto" w:fill="F2F2F2"/>
          </w:tcPr>
          <w:p>
            <w:pPr>
              <w:spacing w:after="0"/>
              <w:rPr>
                <w:sz w:val="20"/>
                <w:szCs w:val="20"/>
                <w:color w:val="auto"/>
              </w:rPr>
            </w:pPr>
          </w:p>
        </w:tc>
        <w:tc>
          <w:tcPr>
            <w:tcW w:w="1240" w:type="dxa"/>
            <w:vAlign w:val="bottom"/>
            <w:tcBorders>
              <w:top w:val="single" w:sz="8" w:color="auto"/>
              <w:right w:val="single" w:sz="8" w:color="auto"/>
            </w:tcBorders>
            <w:shd w:val="clear" w:color="auto" w:fill="F2F2F2"/>
          </w:tcPr>
          <w:p>
            <w:pPr>
              <w:jc w:val="right"/>
              <w:ind w:right="80"/>
              <w:spacing w:after="0" w:line="229" w:lineRule="exact"/>
              <w:rPr>
                <w:sz w:val="20"/>
                <w:szCs w:val="20"/>
                <w:color w:val="auto"/>
              </w:rPr>
            </w:pPr>
            <w:r>
              <w:rPr>
                <w:rFonts w:ascii="Arial" w:cs="Arial" w:eastAsia="Arial" w:hAnsi="Arial"/>
                <w:sz w:val="20"/>
                <w:szCs w:val="20"/>
                <w:b w:val="1"/>
                <w:bCs w:val="1"/>
                <w:color w:val="auto"/>
              </w:rPr>
              <w:t>Produção</w:t>
            </w:r>
          </w:p>
        </w:tc>
      </w:tr>
      <w:tr>
        <w:trPr>
          <w:trHeight w:val="234"/>
        </w:trPr>
        <w:tc>
          <w:tcPr>
            <w:tcW w:w="1000" w:type="dxa"/>
            <w:vAlign w:val="bottom"/>
            <w:tcBorders>
              <w:left w:val="single" w:sz="8" w:color="auto"/>
              <w:bottom w:val="single" w:sz="8" w:color="auto"/>
              <w:right w:val="single" w:sz="8" w:color="auto"/>
            </w:tcBorders>
            <w:shd w:val="clear" w:color="auto" w:fill="F2F2F2"/>
          </w:tcPr>
          <w:p>
            <w:pPr>
              <w:ind w:left="80"/>
              <w:spacing w:after="0" w:line="229" w:lineRule="exact"/>
              <w:rPr>
                <w:sz w:val="20"/>
                <w:szCs w:val="20"/>
                <w:color w:val="auto"/>
              </w:rPr>
            </w:pPr>
            <w:r>
              <w:rPr>
                <w:rFonts w:ascii="Arial" w:cs="Arial" w:eastAsia="Arial" w:hAnsi="Arial"/>
                <w:sz w:val="20"/>
                <w:szCs w:val="20"/>
                <w:b w:val="1"/>
                <w:bCs w:val="1"/>
                <w:color w:val="auto"/>
                <w:shd w:val="clear" w:color="auto" w:fill="F2F2F2"/>
              </w:rPr>
              <w:t>Empresa</w:t>
            </w:r>
          </w:p>
        </w:tc>
        <w:tc>
          <w:tcPr>
            <w:tcW w:w="1240" w:type="dxa"/>
            <w:vAlign w:val="bottom"/>
            <w:tcBorders>
              <w:bottom w:val="single" w:sz="8" w:color="auto"/>
              <w:right w:val="single" w:sz="8" w:color="auto"/>
            </w:tcBorders>
            <w:shd w:val="clear" w:color="auto" w:fill="F2F2F2"/>
          </w:tcPr>
          <w:p>
            <w:pPr>
              <w:jc w:val="right"/>
              <w:ind w:right="440"/>
              <w:spacing w:after="0" w:line="229" w:lineRule="exact"/>
              <w:rPr>
                <w:sz w:val="20"/>
                <w:szCs w:val="20"/>
                <w:color w:val="auto"/>
              </w:rPr>
            </w:pPr>
            <w:r>
              <w:rPr>
                <w:rFonts w:ascii="Arial" w:cs="Arial" w:eastAsia="Arial" w:hAnsi="Arial"/>
                <w:sz w:val="20"/>
                <w:szCs w:val="20"/>
                <w:b w:val="1"/>
                <w:bCs w:val="1"/>
                <w:color w:val="auto"/>
              </w:rPr>
              <w:t>(t)</w:t>
            </w:r>
          </w:p>
        </w:tc>
      </w:tr>
      <w:tr>
        <w:trPr>
          <w:trHeight w:val="291"/>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A</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16196,8</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B</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13904,8</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C</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20780,8</w:t>
            </w:r>
          </w:p>
        </w:tc>
      </w:tr>
      <w:tr>
        <w:trPr>
          <w:trHeight w:val="291"/>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D</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15738,4</w:t>
            </w:r>
          </w:p>
        </w:tc>
      </w:tr>
      <w:tr>
        <w:trPr>
          <w:trHeight w:val="291"/>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E</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11154,4</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F</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5042,4</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G</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12988</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H</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24600,8</w:t>
            </w:r>
          </w:p>
        </w:tc>
      </w:tr>
      <w:tr>
        <w:trPr>
          <w:trHeight w:val="290"/>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I</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11001,6</w:t>
            </w:r>
          </w:p>
        </w:tc>
      </w:tr>
      <w:tr>
        <w:trPr>
          <w:trHeight w:val="291"/>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J</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12224</w:t>
            </w:r>
          </w:p>
        </w:tc>
      </w:tr>
      <w:tr>
        <w:trPr>
          <w:trHeight w:val="291"/>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color w:val="auto"/>
              </w:rPr>
              <w:t>K</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color w:val="auto"/>
              </w:rPr>
              <w:t>9168</w:t>
            </w:r>
          </w:p>
        </w:tc>
      </w:tr>
      <w:tr>
        <w:trPr>
          <w:trHeight w:val="288"/>
        </w:trPr>
        <w:tc>
          <w:tcPr>
            <w:tcW w:w="1000" w:type="dxa"/>
            <w:vAlign w:val="bottom"/>
            <w:tcBorders>
              <w:left w:val="single" w:sz="8" w:color="auto"/>
              <w:bottom w:val="single" w:sz="8" w:color="auto"/>
              <w:right w:val="single" w:sz="8" w:color="auto"/>
            </w:tcBorders>
          </w:tcPr>
          <w:p>
            <w:pPr>
              <w:ind w:left="80"/>
              <w:spacing w:after="0" w:line="229" w:lineRule="exact"/>
              <w:rPr>
                <w:sz w:val="20"/>
                <w:szCs w:val="20"/>
                <w:color w:val="auto"/>
              </w:rPr>
            </w:pPr>
            <w:r>
              <w:rPr>
                <w:rFonts w:ascii="Arial" w:cs="Arial" w:eastAsia="Arial" w:hAnsi="Arial"/>
                <w:sz w:val="20"/>
                <w:szCs w:val="20"/>
                <w:b w:val="1"/>
                <w:bCs w:val="1"/>
                <w:color w:val="auto"/>
              </w:rPr>
              <w:t>Total</w:t>
            </w:r>
          </w:p>
        </w:tc>
        <w:tc>
          <w:tcPr>
            <w:tcW w:w="1240" w:type="dxa"/>
            <w:vAlign w:val="bottom"/>
            <w:tcBorders>
              <w:bottom w:val="single" w:sz="8" w:color="auto"/>
              <w:right w:val="single" w:sz="8" w:color="auto"/>
            </w:tcBorders>
          </w:tcPr>
          <w:p>
            <w:pPr>
              <w:jc w:val="right"/>
              <w:spacing w:after="0" w:line="229" w:lineRule="exact"/>
              <w:rPr>
                <w:sz w:val="20"/>
                <w:szCs w:val="20"/>
                <w:color w:val="auto"/>
              </w:rPr>
            </w:pPr>
            <w:r>
              <w:rPr>
                <w:rFonts w:ascii="Arial" w:cs="Arial" w:eastAsia="Arial" w:hAnsi="Arial"/>
                <w:sz w:val="20"/>
                <w:szCs w:val="20"/>
                <w:b w:val="1"/>
                <w:bCs w:val="1"/>
                <w:color w:val="auto"/>
              </w:rPr>
              <w:t>152.800</w:t>
            </w:r>
          </w:p>
        </w:tc>
      </w:tr>
    </w:tbl>
    <w:p>
      <w:pPr>
        <w:ind w:left="1720"/>
        <w:spacing w:after="0" w:line="234" w:lineRule="auto"/>
        <w:rPr>
          <w:sz w:val="20"/>
          <w:szCs w:val="20"/>
          <w:color w:val="auto"/>
        </w:rPr>
      </w:pPr>
      <w:r>
        <w:rPr>
          <w:rFonts w:ascii="Arial" w:cs="Arial" w:eastAsia="Arial" w:hAnsi="Arial"/>
          <w:sz w:val="20"/>
          <w:szCs w:val="20"/>
          <w:b w:val="1"/>
          <w:bCs w:val="1"/>
          <w:color w:val="auto"/>
        </w:rPr>
        <w:t xml:space="preserve">Fonte: </w:t>
      </w:r>
      <w:r>
        <w:rPr>
          <w:rFonts w:ascii="Arial" w:cs="Arial" w:eastAsia="Arial" w:hAnsi="Arial"/>
          <w:sz w:val="20"/>
          <w:szCs w:val="20"/>
          <w:color w:val="auto"/>
        </w:rPr>
        <w:t>elaborado pelos autores com base em Felipe e Paulillo (2015)</w:t>
      </w:r>
    </w:p>
    <w:p>
      <w:pPr>
        <w:spacing w:after="0" w:line="369" w:lineRule="exact"/>
        <w:rPr>
          <w:sz w:val="20"/>
          <w:szCs w:val="20"/>
          <w:color w:val="auto"/>
        </w:rPr>
      </w:pPr>
    </w:p>
    <w:p>
      <w:pPr>
        <w:jc w:val="both"/>
        <w:ind w:firstLine="708"/>
        <w:spacing w:after="0" w:line="312" w:lineRule="auto"/>
        <w:rPr>
          <w:sz w:val="20"/>
          <w:szCs w:val="20"/>
          <w:color w:val="auto"/>
        </w:rPr>
      </w:pPr>
      <w:r>
        <w:rPr>
          <w:rFonts w:ascii="Arial" w:cs="Arial" w:eastAsia="Arial" w:hAnsi="Arial"/>
          <w:sz w:val="24"/>
          <w:szCs w:val="24"/>
          <w:color w:val="auto"/>
        </w:rPr>
        <w:t xml:space="preserve">O próximo item deste estudo apresenta os resultados e as discussões dos dados tomando como base para análise da concentração o </w:t>
      </w:r>
      <w:r>
        <w:rPr>
          <w:rFonts w:ascii="Arial" w:cs="Arial" w:eastAsia="Arial" w:hAnsi="Arial"/>
          <w:sz w:val="24"/>
          <w:szCs w:val="24"/>
          <w:i w:val="1"/>
          <w:iCs w:val="1"/>
          <w:color w:val="auto"/>
        </w:rPr>
        <w:t>IHH</w:t>
      </w:r>
      <w:r>
        <w:rPr>
          <w:rFonts w:ascii="Arial" w:cs="Arial" w:eastAsia="Arial" w:hAnsi="Arial"/>
          <w:sz w:val="24"/>
          <w:szCs w:val="24"/>
          <w:color w:val="auto"/>
        </w:rPr>
        <w:t xml:space="preserve"> (</w:t>
      </w:r>
      <w:r>
        <w:rPr>
          <w:rFonts w:ascii="Arial" w:cs="Arial" w:eastAsia="Arial" w:hAnsi="Arial"/>
          <w:sz w:val="22"/>
          <w:szCs w:val="22"/>
          <w:i w:val="1"/>
          <w:iCs w:val="1"/>
          <w:color w:val="auto"/>
        </w:rPr>
        <w:t>Í</w:t>
      </w:r>
      <w:r>
        <w:rPr>
          <w:rFonts w:ascii="Arial" w:cs="Arial" w:eastAsia="Arial" w:hAnsi="Arial"/>
          <w:sz w:val="15"/>
          <w:szCs w:val="15"/>
          <w:i w:val="1"/>
          <w:iCs w:val="1"/>
          <w:color w:val="auto"/>
        </w:rPr>
        <w:t>NDICE DE</w:t>
      </w:r>
      <w:r>
        <w:rPr>
          <w:rFonts w:ascii="Arial" w:cs="Arial" w:eastAsia="Arial" w:hAnsi="Arial"/>
          <w:sz w:val="24"/>
          <w:szCs w:val="24"/>
          <w:color w:val="auto"/>
        </w:rPr>
        <w:t xml:space="preserve"> </w:t>
      </w:r>
      <w:r>
        <w:rPr>
          <w:rFonts w:ascii="Arial" w:cs="Arial" w:eastAsia="Arial" w:hAnsi="Arial"/>
          <w:sz w:val="22"/>
          <w:szCs w:val="22"/>
          <w:i w:val="1"/>
          <w:iCs w:val="1"/>
          <w:color w:val="auto"/>
        </w:rPr>
        <w:t>H</w:t>
      </w:r>
      <w:r>
        <w:rPr>
          <w:rFonts w:ascii="Arial" w:cs="Arial" w:eastAsia="Arial" w:hAnsi="Arial"/>
          <w:sz w:val="15"/>
          <w:szCs w:val="15"/>
          <w:i w:val="1"/>
          <w:iCs w:val="1"/>
          <w:color w:val="auto"/>
        </w:rPr>
        <w:t>ERFINDAHL</w:t>
      </w:r>
      <w:r>
        <w:rPr>
          <w:rFonts w:ascii="Arial" w:cs="Arial" w:eastAsia="Arial" w:hAnsi="Arial"/>
          <w:sz w:val="18"/>
          <w:szCs w:val="18"/>
          <w:i w:val="1"/>
          <w:iCs w:val="1"/>
          <w:color w:val="auto"/>
        </w:rPr>
        <w:t>-</w:t>
      </w:r>
      <w:r>
        <w:rPr>
          <w:rFonts w:ascii="Arial" w:cs="Arial" w:eastAsia="Arial" w:hAnsi="Arial"/>
          <w:sz w:val="22"/>
          <w:szCs w:val="22"/>
          <w:i w:val="1"/>
          <w:iCs w:val="1"/>
          <w:color w:val="auto"/>
        </w:rPr>
        <w:t>H</w:t>
      </w:r>
      <w:r>
        <w:rPr>
          <w:rFonts w:ascii="Arial" w:cs="Arial" w:eastAsia="Arial" w:hAnsi="Arial"/>
          <w:sz w:val="15"/>
          <w:szCs w:val="15"/>
          <w:i w:val="1"/>
          <w:iCs w:val="1"/>
          <w:color w:val="auto"/>
        </w:rPr>
        <w:t>IRSCHMAN</w:t>
      </w:r>
      <w:r>
        <w:rPr>
          <w:rFonts w:ascii="Arial" w:cs="Arial" w:eastAsia="Arial" w:hAnsi="Arial"/>
          <w:sz w:val="18"/>
          <w:szCs w:val="18"/>
          <w:i w:val="1"/>
          <w:iCs w:val="1"/>
          <w:color w:val="auto"/>
        </w:rPr>
        <w:t>).</w:t>
      </w:r>
    </w:p>
    <w:p>
      <w:pPr>
        <w:spacing w:after="0" w:line="200" w:lineRule="exact"/>
        <w:rPr>
          <w:sz w:val="20"/>
          <w:szCs w:val="20"/>
          <w:color w:val="auto"/>
        </w:rPr>
      </w:pPr>
    </w:p>
    <w:p>
      <w:pPr>
        <w:spacing w:after="0" w:line="272"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4. ANÁLISE DOS DADOS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337" w:lineRule="auto"/>
        <w:rPr>
          <w:sz w:val="20"/>
          <w:szCs w:val="20"/>
          <w:color w:val="auto"/>
        </w:rPr>
      </w:pPr>
      <w:r>
        <w:rPr>
          <w:rFonts w:ascii="Arial" w:cs="Arial" w:eastAsia="Arial" w:hAnsi="Arial"/>
          <w:sz w:val="24"/>
          <w:szCs w:val="24"/>
          <w:color w:val="231F20"/>
        </w:rPr>
        <w:t>Utilizando-se os dados da pesquisa de Felipe e Paullilo (2015) levantou-se a produção de fécula por empresa no Estado do Paraná no ano de 2014. Sua produção em toneladas e sua respectiva participação de mercado são apresentadas no Quadro 4.</w:t>
      </w:r>
    </w:p>
    <w:p>
      <w:pPr>
        <w:spacing w:after="0" w:line="200" w:lineRule="exact"/>
        <w:rPr>
          <w:sz w:val="20"/>
          <w:szCs w:val="20"/>
          <w:color w:val="auto"/>
        </w:rPr>
      </w:pPr>
    </w:p>
    <w:p>
      <w:pPr>
        <w:spacing w:after="0" w:line="237" w:lineRule="exact"/>
        <w:rPr>
          <w:sz w:val="20"/>
          <w:szCs w:val="20"/>
          <w:color w:val="auto"/>
        </w:rPr>
      </w:pPr>
    </w:p>
    <w:p>
      <w:pPr>
        <w:spacing w:after="0" w:line="239" w:lineRule="auto"/>
        <w:rPr>
          <w:sz w:val="20"/>
          <w:szCs w:val="20"/>
          <w:color w:val="auto"/>
        </w:rPr>
      </w:pPr>
      <w:r>
        <w:rPr>
          <w:rFonts w:ascii="Arial" w:cs="Arial" w:eastAsia="Arial" w:hAnsi="Arial"/>
          <w:sz w:val="20"/>
          <w:szCs w:val="20"/>
          <w:b w:val="1"/>
          <w:bCs w:val="1"/>
          <w:color w:val="auto"/>
        </w:rPr>
        <w:t>Quadro 4</w:t>
      </w:r>
      <w:r>
        <w:rPr>
          <w:rFonts w:ascii="Arial" w:cs="Arial" w:eastAsia="Arial" w:hAnsi="Arial"/>
          <w:sz w:val="20"/>
          <w:szCs w:val="20"/>
          <w:color w:val="auto"/>
        </w:rPr>
        <w:t>. Produção das indústrias de fécula do Estado do Paraná e sua participação no mercado.</w:t>
      </w:r>
    </w:p>
    <w:p>
      <w:pPr>
        <w:spacing w:after="0" w:line="104" w:lineRule="exact"/>
        <w:rPr>
          <w:sz w:val="20"/>
          <w:szCs w:val="20"/>
          <w:color w:val="auto"/>
        </w:rPr>
      </w:pPr>
    </w:p>
    <w:tbl>
      <w:tblPr>
        <w:tblLayout w:type="fixed"/>
        <w:tblInd w:w="1470" w:type="dxa"/>
        <w:tblCellMar>
          <w:top w:w="0" w:type="dxa"/>
          <w:left w:w="0" w:type="dxa"/>
          <w:bottom w:w="0" w:type="dxa"/>
          <w:right w:w="0" w:type="dxa"/>
        </w:tblCellMar>
      </w:tblPr>
      <w:tr>
        <w:trPr>
          <w:trHeight w:val="232"/>
        </w:trPr>
        <w:tc>
          <w:tcPr>
            <w:tcW w:w="1920" w:type="dxa"/>
            <w:vAlign w:val="bottom"/>
            <w:tcBorders>
              <w:top w:val="single" w:sz="8" w:color="auto"/>
              <w:left w:val="single" w:sz="8" w:color="auto"/>
              <w:right w:val="single" w:sz="8" w:color="auto"/>
            </w:tcBorders>
            <w:shd w:val="clear" w:color="auto" w:fill="F2F2F2"/>
          </w:tcPr>
          <w:p>
            <w:pPr>
              <w:spacing w:after="0"/>
              <w:rPr>
                <w:sz w:val="20"/>
                <w:szCs w:val="20"/>
                <w:color w:val="auto"/>
              </w:rPr>
            </w:pPr>
          </w:p>
        </w:tc>
        <w:tc>
          <w:tcPr>
            <w:tcW w:w="2840" w:type="dxa"/>
            <w:vAlign w:val="bottom"/>
            <w:tcBorders>
              <w:top w:val="single" w:sz="8" w:color="auto"/>
              <w:right w:val="single" w:sz="8" w:color="auto"/>
            </w:tcBorders>
            <w:shd w:val="clear" w:color="auto" w:fill="F2F2F2"/>
          </w:tcPr>
          <w:p>
            <w:pPr>
              <w:spacing w:after="0"/>
              <w:rPr>
                <w:sz w:val="20"/>
                <w:szCs w:val="20"/>
                <w:color w:val="auto"/>
              </w:rPr>
            </w:pPr>
          </w:p>
        </w:tc>
        <w:tc>
          <w:tcPr>
            <w:tcW w:w="1960" w:type="dxa"/>
            <w:vAlign w:val="bottom"/>
            <w:tcBorders>
              <w:top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b w:val="1"/>
                <w:bCs w:val="1"/>
                <w:color w:val="auto"/>
                <w:w w:val="99"/>
              </w:rPr>
              <w:t>% da Produção</w:t>
            </w:r>
          </w:p>
        </w:tc>
      </w:tr>
      <w:tr>
        <w:trPr>
          <w:trHeight w:val="234"/>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b w:val="1"/>
                <w:bCs w:val="1"/>
                <w:color w:val="auto"/>
              </w:rPr>
              <w:t>Empresa</w:t>
            </w:r>
          </w:p>
        </w:tc>
        <w:tc>
          <w:tcPr>
            <w:tcW w:w="2840" w:type="dxa"/>
            <w:vAlign w:val="bottom"/>
            <w:tcBorders>
              <w:bottom w:val="single" w:sz="8" w:color="auto"/>
              <w:right w:val="single" w:sz="8" w:color="auto"/>
            </w:tcBorders>
            <w:shd w:val="clear" w:color="auto" w:fill="F2F2F2"/>
          </w:tcPr>
          <w:p>
            <w:pPr>
              <w:ind w:left="940"/>
              <w:spacing w:after="0" w:line="229" w:lineRule="exact"/>
              <w:rPr>
                <w:sz w:val="20"/>
                <w:szCs w:val="20"/>
                <w:color w:val="auto"/>
              </w:rPr>
            </w:pPr>
            <w:r>
              <w:rPr>
                <w:rFonts w:ascii="Arial" w:cs="Arial" w:eastAsia="Arial" w:hAnsi="Arial"/>
                <w:sz w:val="20"/>
                <w:szCs w:val="20"/>
                <w:b w:val="1"/>
                <w:bCs w:val="1"/>
                <w:color w:val="auto"/>
              </w:rPr>
              <w:t>Produção</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b w:val="1"/>
                <w:bCs w:val="1"/>
                <w:color w:val="auto"/>
                <w:w w:val="99"/>
              </w:rPr>
              <w:t>total</w:t>
            </w:r>
          </w:p>
        </w:tc>
      </w:tr>
      <w:tr>
        <w:trPr>
          <w:trHeight w:val="291"/>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A</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9"/>
              </w:rPr>
              <w:t>16196,8</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10,6</w:t>
            </w:r>
          </w:p>
        </w:tc>
      </w:tr>
      <w:tr>
        <w:trPr>
          <w:trHeight w:val="290"/>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B</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9"/>
              </w:rPr>
              <w:t>13904,8</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9,1</w:t>
            </w:r>
          </w:p>
        </w:tc>
      </w:tr>
      <w:tr>
        <w:trPr>
          <w:trHeight w:val="291"/>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6"/>
              </w:rPr>
              <w:t>C</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9"/>
              </w:rPr>
              <w:t>20780,8</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13,6</w:t>
            </w:r>
          </w:p>
        </w:tc>
      </w:tr>
      <w:tr>
        <w:trPr>
          <w:trHeight w:val="292"/>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6"/>
              </w:rPr>
              <w:t>D</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9"/>
              </w:rPr>
              <w:t>15738,4</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10,3</w:t>
            </w:r>
          </w:p>
        </w:tc>
      </w:tr>
      <w:tr>
        <w:trPr>
          <w:trHeight w:val="288"/>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E</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9"/>
              </w:rPr>
              <w:t>11154,4</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7,3</w:t>
            </w:r>
          </w:p>
        </w:tc>
      </w:tr>
      <w:tr>
        <w:trPr>
          <w:trHeight w:val="290"/>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7"/>
              </w:rPr>
              <w:t>F</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8"/>
              </w:rPr>
              <w:t>5042,4</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3,3</w:t>
            </w:r>
          </w:p>
        </w:tc>
      </w:tr>
      <w:tr>
        <w:trPr>
          <w:trHeight w:val="290"/>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G</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12988</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8,5</w:t>
            </w:r>
          </w:p>
        </w:tc>
      </w:tr>
      <w:tr>
        <w:trPr>
          <w:trHeight w:val="290"/>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6"/>
              </w:rPr>
              <w:t>H</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9"/>
              </w:rPr>
              <w:t>24600,8</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b w:val="1"/>
                <w:bCs w:val="1"/>
                <w:color w:val="auto"/>
              </w:rPr>
              <w:t>16,1</w:t>
            </w:r>
          </w:p>
        </w:tc>
      </w:tr>
      <w:tr>
        <w:trPr>
          <w:trHeight w:val="291"/>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I</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9"/>
              </w:rPr>
              <w:t>11001,6</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7,2</w:t>
            </w:r>
          </w:p>
        </w:tc>
      </w:tr>
      <w:tr>
        <w:trPr>
          <w:trHeight w:val="291"/>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9"/>
              </w:rPr>
              <w:t>J</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12224</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rPr>
              <w:t>8</w:t>
            </w:r>
          </w:p>
        </w:tc>
      </w:tr>
      <w:tr>
        <w:trPr>
          <w:trHeight w:val="290"/>
        </w:trPr>
        <w:tc>
          <w:tcPr>
            <w:tcW w:w="1920" w:type="dxa"/>
            <w:vAlign w:val="bottom"/>
            <w:tcBorders>
              <w:left w:val="single" w:sz="8" w:color="auto"/>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K</w:t>
            </w:r>
          </w:p>
        </w:tc>
        <w:tc>
          <w:tcPr>
            <w:tcW w:w="284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w w:val="98"/>
              </w:rPr>
              <w:t>9168</w:t>
            </w:r>
          </w:p>
        </w:tc>
        <w:tc>
          <w:tcPr>
            <w:tcW w:w="1960" w:type="dxa"/>
            <w:vAlign w:val="bottom"/>
            <w:tcBorders>
              <w:bottom w:val="single" w:sz="8" w:color="auto"/>
              <w:right w:val="single" w:sz="8" w:color="auto"/>
            </w:tcBorders>
          </w:tcPr>
          <w:p>
            <w:pPr>
              <w:jc w:val="center"/>
              <w:spacing w:after="0" w:line="229" w:lineRule="exact"/>
              <w:rPr>
                <w:sz w:val="20"/>
                <w:szCs w:val="20"/>
                <w:color w:val="auto"/>
              </w:rPr>
            </w:pPr>
            <w:r>
              <w:rPr>
                <w:rFonts w:ascii="Arial" w:cs="Arial" w:eastAsia="Arial" w:hAnsi="Arial"/>
                <w:sz w:val="20"/>
                <w:szCs w:val="20"/>
                <w:color w:val="auto"/>
              </w:rPr>
              <w:t>6</w:t>
            </w:r>
          </w:p>
        </w:tc>
      </w:tr>
      <w:tr>
        <w:trPr>
          <w:trHeight w:val="290"/>
        </w:trPr>
        <w:tc>
          <w:tcPr>
            <w:tcW w:w="1920" w:type="dxa"/>
            <w:vAlign w:val="bottom"/>
            <w:tcBorders>
              <w:left w:val="single" w:sz="8" w:color="auto"/>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8"/>
              </w:rPr>
              <w:t>Total</w:t>
            </w:r>
          </w:p>
        </w:tc>
        <w:tc>
          <w:tcPr>
            <w:tcW w:w="284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9"/>
              </w:rPr>
              <w:t>152.800</w:t>
            </w:r>
          </w:p>
        </w:tc>
        <w:tc>
          <w:tcPr>
            <w:tcW w:w="1960" w:type="dxa"/>
            <w:vAlign w:val="bottom"/>
            <w:tcBorders>
              <w:bottom w:val="single" w:sz="8" w:color="auto"/>
              <w:right w:val="single" w:sz="8" w:color="auto"/>
            </w:tcBorders>
            <w:shd w:val="clear" w:color="auto" w:fill="F2F2F2"/>
          </w:tcPr>
          <w:p>
            <w:pPr>
              <w:jc w:val="center"/>
              <w:spacing w:after="0" w:line="229" w:lineRule="exact"/>
              <w:rPr>
                <w:sz w:val="20"/>
                <w:szCs w:val="20"/>
                <w:color w:val="auto"/>
              </w:rPr>
            </w:pPr>
            <w:r>
              <w:rPr>
                <w:rFonts w:ascii="Arial" w:cs="Arial" w:eastAsia="Arial" w:hAnsi="Arial"/>
                <w:sz w:val="20"/>
                <w:szCs w:val="20"/>
                <w:color w:val="auto"/>
                <w:w w:val="95"/>
              </w:rPr>
              <w:t>100</w:t>
            </w:r>
          </w:p>
        </w:tc>
      </w:tr>
      <w:p>
        <w:pPr>
          <w:sectPr>
            <w:pgSz w:w="11900" w:h="16838" w:orient="portrait"/>
            <w:cols w:equalWidth="0" w:num="1">
              <w:col w:w="9640"/>
            </w:cols>
            <w:pgMar w:left="1140" w:top="649" w:right="1120" w:bottom="1440" w:gutter="0" w:footer="0" w:header="0"/>
          </w:sectPr>
        </w:pPr>
      </w:p>
    </w:tbl>
    <w:p>
      <w:pPr>
        <w:spacing w:after="0" w:line="4" w:lineRule="exact"/>
        <w:rPr>
          <w:sz w:val="20"/>
          <w:szCs w:val="20"/>
          <w:color w:val="auto"/>
        </w:rPr>
      </w:pPr>
    </w:p>
    <w:p>
      <w:pPr>
        <w:spacing w:after="0" w:line="239" w:lineRule="auto"/>
        <w:rPr>
          <w:sz w:val="20"/>
          <w:szCs w:val="20"/>
          <w:color w:val="auto"/>
        </w:rPr>
      </w:pPr>
      <w:r>
        <w:rPr>
          <w:rFonts w:ascii="Arial" w:cs="Arial" w:eastAsia="Arial" w:hAnsi="Arial"/>
          <w:sz w:val="19"/>
          <w:szCs w:val="19"/>
          <w:b w:val="1"/>
          <w:bCs w:val="1"/>
          <w:color w:val="auto"/>
        </w:rPr>
        <w:t xml:space="preserve">Fonte: </w:t>
      </w:r>
      <w:r>
        <w:rPr>
          <w:rFonts w:ascii="Arial" w:cs="Arial" w:eastAsia="Arial" w:hAnsi="Arial"/>
          <w:sz w:val="19"/>
          <w:szCs w:val="19"/>
          <w:color w:val="auto"/>
        </w:rPr>
        <w:t>Elaborado pelos autores com base em Felipe e Paulillo (2015).</w:t>
      </w:r>
    </w:p>
    <w:p>
      <w:pPr>
        <w:sectPr>
          <w:pgSz w:w="11900" w:h="16838" w:orient="portrait"/>
          <w:cols w:equalWidth="0" w:num="1">
            <w:col w:w="6240"/>
          </w:cols>
          <w:pgMar w:left="1140" w:top="649" w:right="4520" w:bottom="1440" w:gutter="0" w:footer="0" w:header="0"/>
          <w:type w:val="continuous"/>
        </w:sectPr>
      </w:pPr>
    </w:p>
    <w:bookmarkStart w:id="10" w:name="page11"/>
    <w:bookmarkEnd w:id="10"/>
    <w:p>
      <w:pPr>
        <w:ind w:left="9400"/>
        <w:spacing w:after="0" w:line="239" w:lineRule="auto"/>
        <w:rPr>
          <w:sz w:val="20"/>
          <w:szCs w:val="20"/>
          <w:color w:val="auto"/>
        </w:rPr>
      </w:pPr>
      <w:r>
        <w:rPr>
          <w:rFonts w:ascii="Calibri" w:cs="Calibri" w:eastAsia="Calibri" w:hAnsi="Calibri"/>
          <w:sz w:val="22"/>
          <w:szCs w:val="22"/>
          <w:color w:val="auto"/>
        </w:rPr>
        <w:t>11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8" w:lineRule="exact"/>
        <w:rPr>
          <w:sz w:val="20"/>
          <w:szCs w:val="20"/>
          <w:color w:val="auto"/>
        </w:rPr>
      </w:pPr>
    </w:p>
    <w:p>
      <w:pPr>
        <w:jc w:val="both"/>
        <w:ind w:firstLine="708"/>
        <w:spacing w:after="0" w:line="316" w:lineRule="auto"/>
        <w:rPr>
          <w:sz w:val="20"/>
          <w:szCs w:val="20"/>
          <w:color w:val="auto"/>
        </w:rPr>
      </w:pPr>
      <w:r>
        <w:rPr>
          <w:rFonts w:ascii="Arial" w:cs="Arial" w:eastAsia="Arial" w:hAnsi="Arial"/>
          <w:sz w:val="24"/>
          <w:szCs w:val="24"/>
          <w:color w:val="auto"/>
        </w:rPr>
        <w:t>Os dados apresentados no Quadro 4 demostram que a participação de mercado na Industria de fécula no Estado do Paraná se faz de forma equitativa.</w:t>
      </w:r>
    </w:p>
    <w:p>
      <w:pPr>
        <w:spacing w:after="0" w:line="50" w:lineRule="exact"/>
        <w:rPr>
          <w:sz w:val="20"/>
          <w:szCs w:val="20"/>
          <w:color w:val="auto"/>
        </w:rPr>
      </w:pPr>
    </w:p>
    <w:p>
      <w:pPr>
        <w:ind w:left="700"/>
        <w:spacing w:after="0"/>
        <w:rPr>
          <w:sz w:val="20"/>
          <w:szCs w:val="20"/>
          <w:color w:val="auto"/>
        </w:rPr>
      </w:pPr>
      <w:r>
        <w:rPr>
          <w:rFonts w:ascii="Arial" w:cs="Arial" w:eastAsia="Arial" w:hAnsi="Arial"/>
          <w:sz w:val="24"/>
          <w:szCs w:val="24"/>
          <w:color w:val="auto"/>
        </w:rPr>
        <w:t>Para averiguação do nível de concentração os dados apresentados foram</w:t>
      </w:r>
    </w:p>
    <w:p>
      <w:pPr>
        <w:spacing w:after="0" w:line="137"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aplicados ao </w:t>
      </w:r>
      <w:r>
        <w:rPr>
          <w:rFonts w:ascii="Arial" w:cs="Arial" w:eastAsia="Arial" w:hAnsi="Arial"/>
          <w:sz w:val="24"/>
          <w:szCs w:val="24"/>
          <w:i w:val="1"/>
          <w:iCs w:val="1"/>
          <w:color w:val="231F20"/>
        </w:rPr>
        <w:t>Í</w:t>
      </w:r>
      <w:r>
        <w:rPr>
          <w:rFonts w:ascii="Arial" w:cs="Arial" w:eastAsia="Arial" w:hAnsi="Arial"/>
          <w:sz w:val="17"/>
          <w:szCs w:val="17"/>
          <w:i w:val="1"/>
          <w:iCs w:val="1"/>
          <w:color w:val="231F20"/>
        </w:rPr>
        <w:t>NDICE DE</w:t>
      </w:r>
      <w:r>
        <w:rPr>
          <w:rFonts w:ascii="Arial" w:cs="Arial" w:eastAsia="Arial" w:hAnsi="Arial"/>
          <w:sz w:val="24"/>
          <w:szCs w:val="24"/>
          <w:color w:val="auto"/>
        </w:rPr>
        <w:t xml:space="preserve"> </w:t>
      </w:r>
      <w:r>
        <w:rPr>
          <w:rFonts w:ascii="Arial" w:cs="Arial" w:eastAsia="Arial" w:hAnsi="Arial"/>
          <w:sz w:val="24"/>
          <w:szCs w:val="24"/>
          <w:i w:val="1"/>
          <w:iCs w:val="1"/>
          <w:color w:val="231F20"/>
        </w:rPr>
        <w:t>H</w:t>
      </w:r>
      <w:r>
        <w:rPr>
          <w:rFonts w:ascii="Arial" w:cs="Arial" w:eastAsia="Arial" w:hAnsi="Arial"/>
          <w:sz w:val="17"/>
          <w:szCs w:val="17"/>
          <w:i w:val="1"/>
          <w:iCs w:val="1"/>
          <w:color w:val="231F20"/>
        </w:rPr>
        <w:t>ERFINDAHL</w:t>
      </w:r>
      <w:r>
        <w:rPr>
          <w:rFonts w:ascii="Arial" w:cs="Arial" w:eastAsia="Arial" w:hAnsi="Arial"/>
          <w:sz w:val="20"/>
          <w:szCs w:val="20"/>
          <w:i w:val="1"/>
          <w:iCs w:val="1"/>
          <w:color w:val="231F20"/>
        </w:rPr>
        <w:t>-</w:t>
      </w:r>
      <w:r>
        <w:rPr>
          <w:rFonts w:ascii="Arial" w:cs="Arial" w:eastAsia="Arial" w:hAnsi="Arial"/>
          <w:sz w:val="24"/>
          <w:szCs w:val="24"/>
          <w:i w:val="1"/>
          <w:iCs w:val="1"/>
          <w:color w:val="231F20"/>
        </w:rPr>
        <w:t>H</w:t>
      </w:r>
      <w:r>
        <w:rPr>
          <w:rFonts w:ascii="Arial" w:cs="Arial" w:eastAsia="Arial" w:hAnsi="Arial"/>
          <w:sz w:val="17"/>
          <w:szCs w:val="17"/>
          <w:i w:val="1"/>
          <w:iCs w:val="1"/>
          <w:color w:val="231F20"/>
        </w:rPr>
        <w:t>IRSCHMAN</w:t>
      </w:r>
      <w:r>
        <w:rPr>
          <w:rFonts w:ascii="Arial" w:cs="Arial" w:eastAsia="Arial" w:hAnsi="Arial"/>
          <w:sz w:val="20"/>
          <w:szCs w:val="20"/>
          <w:i w:val="1"/>
          <w:iCs w:val="1"/>
          <w:color w:val="231F20"/>
        </w:rPr>
        <w:t>:</w:t>
      </w:r>
    </w:p>
    <w:p>
      <w:pPr>
        <w:spacing w:after="0" w:line="136" w:lineRule="exact"/>
        <w:rPr>
          <w:sz w:val="20"/>
          <w:szCs w:val="20"/>
          <w:color w:val="auto"/>
        </w:rPr>
      </w:pPr>
    </w:p>
    <w:p>
      <w:pPr>
        <w:spacing w:after="0"/>
        <w:rPr>
          <w:sz w:val="20"/>
          <w:szCs w:val="20"/>
          <w:color w:val="auto"/>
        </w:rPr>
      </w:pPr>
      <w:r>
        <w:rPr>
          <w:rFonts w:ascii="Arial" w:cs="Arial" w:eastAsia="Arial" w:hAnsi="Arial"/>
          <w:sz w:val="24"/>
          <w:szCs w:val="24"/>
          <w:i w:val="1"/>
          <w:iCs w:val="1"/>
          <w:color w:val="231F20"/>
        </w:rPr>
        <w:t xml:space="preserve">IHH = </w:t>
      </w:r>
      <w:r>
        <w:rPr>
          <w:sz w:val="20"/>
          <w:szCs w:val="20"/>
          <w:color w:val="auto"/>
        </w:rPr>
        <w:drawing>
          <wp:inline distT="0" distB="0" distL="0" distR="0">
            <wp:extent cx="591185" cy="19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extLst>
                    </a:blip>
                    <a:srcRect/>
                    <a:stretch>
                      <a:fillRect/>
                    </a:stretch>
                  </pic:blipFill>
                  <pic:spPr bwMode="auto">
                    <a:xfrm>
                      <a:off x="0" y="0"/>
                      <a:ext cx="591185" cy="190500"/>
                    </a:xfrm>
                    <a:prstGeom prst="rect">
                      <a:avLst/>
                    </a:prstGeom>
                    <a:noFill/>
                    <a:ln>
                      <a:noFill/>
                    </a:ln>
                  </pic:spPr>
                </pic:pic>
              </a:graphicData>
            </a:graphic>
          </wp:inline>
        </w:drawing>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 xml:space="preserve">IHH = </w:t>
      </w:r>
      <w:r>
        <w:rPr>
          <w:rFonts w:ascii="Arial" w:cs="Arial" w:eastAsia="Arial" w:hAnsi="Arial"/>
          <w:sz w:val="24"/>
          <w:szCs w:val="24"/>
          <w:color w:val="auto"/>
        </w:rPr>
        <w:t>[(10,6²)+(9,1²)+(13,6²)+(10,3²)+(7,3²)+(3,3²)+(8,5²)+(16,1²)+(7,2²)+(8²)+(6²)](2)</w:t>
      </w:r>
    </w:p>
    <w:p>
      <w:pPr>
        <w:spacing w:after="0" w:line="139" w:lineRule="exact"/>
        <w:rPr>
          <w:sz w:val="20"/>
          <w:szCs w:val="20"/>
          <w:color w:val="auto"/>
        </w:rPr>
      </w:pPr>
    </w:p>
    <w:p>
      <w:pPr>
        <w:spacing w:after="0"/>
        <w:rPr>
          <w:sz w:val="20"/>
          <w:szCs w:val="20"/>
          <w:color w:val="auto"/>
        </w:rPr>
      </w:pPr>
      <w:r>
        <w:rPr>
          <w:rFonts w:ascii="Arial" w:cs="Arial" w:eastAsia="Arial" w:hAnsi="Arial"/>
          <w:sz w:val="24"/>
          <w:szCs w:val="24"/>
          <w:i w:val="1"/>
          <w:iCs w:val="1"/>
          <w:color w:val="auto"/>
        </w:rPr>
        <w:t xml:space="preserve">IHH = </w:t>
      </w:r>
      <w:r>
        <w:rPr>
          <w:rFonts w:ascii="Arial" w:cs="Arial" w:eastAsia="Arial" w:hAnsi="Arial"/>
          <w:sz w:val="24"/>
          <w:szCs w:val="24"/>
          <w:color w:val="auto"/>
        </w:rPr>
        <w:t>1.033,70</w:t>
      </w:r>
    </w:p>
    <w:p>
      <w:pPr>
        <w:spacing w:after="0" w:line="190" w:lineRule="exact"/>
        <w:rPr>
          <w:sz w:val="20"/>
          <w:szCs w:val="20"/>
          <w:color w:val="auto"/>
        </w:rPr>
      </w:pPr>
    </w:p>
    <w:p>
      <w:pPr>
        <w:jc w:val="both"/>
        <w:ind w:firstLine="708"/>
        <w:spacing w:after="0" w:line="353" w:lineRule="auto"/>
        <w:rPr>
          <w:sz w:val="20"/>
          <w:szCs w:val="20"/>
          <w:color w:val="auto"/>
        </w:rPr>
      </w:pPr>
      <w:r>
        <w:rPr>
          <w:rFonts w:ascii="Arial" w:cs="Arial" w:eastAsia="Arial" w:hAnsi="Arial"/>
          <w:sz w:val="24"/>
          <w:szCs w:val="24"/>
          <w:color w:val="auto"/>
        </w:rPr>
        <w:t>O resultado indica moderada concentração, carcterizando uma estrutura de mercado oligopolista, no entanto muito próximo de um mercado de concorrência perfeita. Considerando que das onze empresas analisadas, 5 situam-se no noroeste paranaense, 3 no centro-oeste e 3 no extremo-oeste, verifica-se que as mesmas, segundo estudo realizado por Felipe e Paulillo (2015), em sua maioria, são de base familiar. Algumas delas produzem apenas fécula de mandioca e atendem atacado, varejo e o setor alimentício (massas e panificação), enquanto que outras produzem também o amido modificado, atuando assim no segmento papeleiro, têxtil e indústria química.</w:t>
      </w:r>
    </w:p>
    <w:p>
      <w:pPr>
        <w:spacing w:after="0" w:line="65" w:lineRule="exact"/>
        <w:rPr>
          <w:sz w:val="20"/>
          <w:szCs w:val="20"/>
          <w:color w:val="auto"/>
        </w:rPr>
      </w:pPr>
    </w:p>
    <w:p>
      <w:pPr>
        <w:jc w:val="both"/>
        <w:ind w:firstLine="708"/>
        <w:spacing w:after="0" w:line="352" w:lineRule="auto"/>
        <w:rPr>
          <w:sz w:val="20"/>
          <w:szCs w:val="20"/>
          <w:color w:val="auto"/>
        </w:rPr>
      </w:pPr>
      <w:r>
        <w:rPr>
          <w:rFonts w:ascii="Arial" w:cs="Arial" w:eastAsia="Arial" w:hAnsi="Arial"/>
          <w:sz w:val="24"/>
          <w:szCs w:val="24"/>
          <w:color w:val="auto"/>
        </w:rPr>
        <w:t>Apesar dos produtos serem praticamente os mesmos, procuram sempre tomar decisões com o fim de diferenciar-se dos concorrentes, valorizando seu produto, oferecendo formas de pagamento diferenciadas, atendimento diferenciado, melhores instalações, métodos de produção adequados, além de investimentos em publicidade. Dessa forma, caracteriza-se o setor como um oligopólio diferenciado-concentrado, ou seja, além da diferenciação do produto, busca-se a fidelização dos clientes às marcas, o comportamento típico de empresas em mercado de oligopólio.</w:t>
      </w:r>
    </w:p>
    <w:p>
      <w:pPr>
        <w:spacing w:after="0" w:line="23" w:lineRule="exact"/>
        <w:rPr>
          <w:sz w:val="20"/>
          <w:szCs w:val="20"/>
          <w:color w:val="auto"/>
        </w:rPr>
      </w:pPr>
    </w:p>
    <w:p>
      <w:pPr>
        <w:jc w:val="both"/>
        <w:ind w:firstLine="708"/>
        <w:spacing w:after="0" w:line="351" w:lineRule="auto"/>
        <w:rPr>
          <w:sz w:val="20"/>
          <w:szCs w:val="20"/>
          <w:color w:val="auto"/>
        </w:rPr>
      </w:pPr>
      <w:r>
        <w:rPr>
          <w:rFonts w:ascii="Arial" w:cs="Arial" w:eastAsia="Arial" w:hAnsi="Arial"/>
          <w:sz w:val="24"/>
          <w:szCs w:val="24"/>
          <w:color w:val="auto"/>
        </w:rPr>
        <w:t xml:space="preserve">Para ratificar os resultados obtidos por meio do </w:t>
      </w:r>
      <w:r>
        <w:rPr>
          <w:rFonts w:ascii="Arial" w:cs="Arial" w:eastAsia="Arial" w:hAnsi="Arial"/>
          <w:sz w:val="24"/>
          <w:szCs w:val="24"/>
          <w:i w:val="1"/>
          <w:iCs w:val="1"/>
          <w:color w:val="auto"/>
        </w:rPr>
        <w:t>IHH</w:t>
      </w:r>
      <w:r>
        <w:rPr>
          <w:rFonts w:ascii="Arial" w:cs="Arial" w:eastAsia="Arial" w:hAnsi="Arial"/>
          <w:sz w:val="24"/>
          <w:szCs w:val="24"/>
          <w:color w:val="auto"/>
        </w:rPr>
        <w:t>, foi empregado o índice CR4, verificando-se o nível de concentração das quatro maiores firmas: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8255</wp:posOffset>
            </wp:positionV>
            <wp:extent cx="1019810" cy="3721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extLst>
                    </a:blip>
                    <a:srcRect/>
                    <a:stretch>
                      <a:fillRect/>
                    </a:stretch>
                  </pic:blipFill>
                  <pic:spPr bwMode="auto">
                    <a:xfrm>
                      <a:off x="0" y="0"/>
                      <a:ext cx="1019810" cy="372110"/>
                    </a:xfrm>
                    <a:prstGeom prst="rect">
                      <a:avLst/>
                    </a:prstGeom>
                    <a:noFill/>
                  </pic:spPr>
                </pic:pic>
              </a:graphicData>
            </a:graphic>
          </wp:anchor>
        </w:drawing>
      </w:r>
    </w:p>
    <w:p>
      <w:pPr>
        <w:spacing w:after="0" w:line="200" w:lineRule="exact"/>
        <w:rPr>
          <w:sz w:val="20"/>
          <w:szCs w:val="20"/>
          <w:color w:val="auto"/>
        </w:rPr>
      </w:pPr>
    </w:p>
    <w:p>
      <w:pPr>
        <w:spacing w:after="0" w:line="386" w:lineRule="exact"/>
        <w:rPr>
          <w:sz w:val="20"/>
          <w:szCs w:val="20"/>
          <w:color w:val="auto"/>
        </w:rPr>
      </w:pPr>
    </w:p>
    <w:p>
      <w:pPr>
        <w:ind w:right="6200"/>
        <w:spacing w:after="0" w:line="314" w:lineRule="auto"/>
        <w:rPr>
          <w:sz w:val="20"/>
          <w:szCs w:val="20"/>
          <w:color w:val="auto"/>
        </w:rPr>
      </w:pPr>
      <w:r>
        <w:rPr>
          <w:rFonts w:ascii="Arial" w:cs="Arial" w:eastAsia="Arial" w:hAnsi="Arial"/>
          <w:sz w:val="24"/>
          <w:szCs w:val="24"/>
          <w:color w:val="auto"/>
        </w:rPr>
        <w:t>CR4 = 16,1 + 13,6 + 10,6 + 10,3 CR4 = 50,6</w:t>
      </w:r>
    </w:p>
    <w:p>
      <w:pPr>
        <w:spacing w:after="0" w:line="55" w:lineRule="exact"/>
        <w:rPr>
          <w:sz w:val="20"/>
          <w:szCs w:val="20"/>
          <w:color w:val="auto"/>
        </w:rPr>
      </w:pPr>
    </w:p>
    <w:p>
      <w:pPr>
        <w:ind w:left="700"/>
        <w:spacing w:after="0"/>
        <w:rPr>
          <w:sz w:val="20"/>
          <w:szCs w:val="20"/>
          <w:color w:val="auto"/>
        </w:rPr>
      </w:pPr>
      <w:r>
        <w:rPr>
          <w:rFonts w:ascii="Arial" w:cs="Arial" w:eastAsia="Arial" w:hAnsi="Arial"/>
          <w:sz w:val="24"/>
          <w:szCs w:val="24"/>
          <w:color w:val="auto"/>
        </w:rPr>
        <w:t>O resultado observado por meio do CR4 corrobora os identificados por meio do</w:t>
      </w:r>
    </w:p>
    <w:p>
      <w:pPr>
        <w:spacing w:after="0" w:line="148" w:lineRule="exact"/>
        <w:rPr>
          <w:sz w:val="20"/>
          <w:szCs w:val="20"/>
          <w:color w:val="auto"/>
        </w:rPr>
      </w:pPr>
    </w:p>
    <w:p>
      <w:pPr>
        <w:jc w:val="both"/>
        <w:spacing w:after="0" w:line="355" w:lineRule="auto"/>
        <w:rPr>
          <w:sz w:val="20"/>
          <w:szCs w:val="20"/>
          <w:color w:val="auto"/>
        </w:rPr>
      </w:pPr>
      <w:r>
        <w:rPr>
          <w:rFonts w:ascii="Arial" w:cs="Arial" w:eastAsia="Arial" w:hAnsi="Arial"/>
          <w:sz w:val="24"/>
          <w:szCs w:val="24"/>
          <w:i w:val="1"/>
          <w:iCs w:val="1"/>
          <w:color w:val="auto"/>
        </w:rPr>
        <w:t xml:space="preserve">IHH, </w:t>
      </w:r>
      <w:r>
        <w:rPr>
          <w:rFonts w:ascii="Arial" w:cs="Arial" w:eastAsia="Arial" w:hAnsi="Arial"/>
          <w:sz w:val="24"/>
          <w:szCs w:val="24"/>
          <w:color w:val="auto"/>
        </w:rPr>
        <w:t>ou seja</w:t>
      </w:r>
      <w:r>
        <w:rPr>
          <w:rFonts w:ascii="Arial" w:cs="Arial" w:eastAsia="Arial" w:hAnsi="Arial"/>
          <w:sz w:val="24"/>
          <w:szCs w:val="24"/>
          <w:i w:val="1"/>
          <w:iCs w:val="1"/>
          <w:color w:val="auto"/>
        </w:rPr>
        <w:t xml:space="preserve">, </w:t>
      </w:r>
      <w:r>
        <w:rPr>
          <w:rFonts w:ascii="Arial" w:cs="Arial" w:eastAsia="Arial" w:hAnsi="Arial"/>
          <w:sz w:val="24"/>
          <w:szCs w:val="24"/>
          <w:color w:val="auto"/>
        </w:rPr>
        <w:t>a indústria de fécula do Estado do Paraná pode ser caracterizada como</w:t>
      </w:r>
      <w:r>
        <w:rPr>
          <w:rFonts w:ascii="Arial" w:cs="Arial" w:eastAsia="Arial" w:hAnsi="Arial"/>
          <w:sz w:val="24"/>
          <w:szCs w:val="24"/>
          <w:i w:val="1"/>
          <w:iCs w:val="1"/>
          <w:color w:val="auto"/>
        </w:rPr>
        <w:t xml:space="preserve"> </w:t>
      </w:r>
      <w:r>
        <w:rPr>
          <w:rFonts w:ascii="Arial" w:cs="Arial" w:eastAsia="Arial" w:hAnsi="Arial"/>
          <w:sz w:val="24"/>
          <w:szCs w:val="24"/>
          <w:color w:val="auto"/>
        </w:rPr>
        <w:t>moderadamente concentrada. O próximo tópico traz as considerações finais do presente estudo.</w:t>
      </w:r>
    </w:p>
    <w:p>
      <w:pPr>
        <w:sectPr>
          <w:pgSz w:w="11900" w:h="16838" w:orient="portrait"/>
          <w:cols w:equalWidth="0" w:num="1">
            <w:col w:w="9640"/>
          </w:cols>
          <w:pgMar w:left="1140" w:top="649" w:right="1120" w:bottom="1440" w:gutter="0" w:footer="0" w:header="0"/>
        </w:sectPr>
      </w:pPr>
    </w:p>
    <w:bookmarkStart w:id="11" w:name="page12"/>
    <w:bookmarkEnd w:id="11"/>
    <w:p>
      <w:pPr>
        <w:ind w:left="9400"/>
        <w:spacing w:after="0" w:line="239" w:lineRule="auto"/>
        <w:rPr>
          <w:sz w:val="20"/>
          <w:szCs w:val="20"/>
          <w:color w:val="auto"/>
        </w:rPr>
      </w:pPr>
      <w:r>
        <w:rPr>
          <w:rFonts w:ascii="Calibri" w:cs="Calibri" w:eastAsia="Calibri" w:hAnsi="Calibri"/>
          <w:sz w:val="22"/>
          <w:szCs w:val="22"/>
          <w:color w:val="auto"/>
        </w:rPr>
        <w:t>12</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5. CONSIDERAÇÕES FINAIS</w:t>
      </w: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jc w:val="both"/>
        <w:ind w:firstLine="708"/>
        <w:spacing w:after="0" w:line="351" w:lineRule="auto"/>
        <w:rPr>
          <w:sz w:val="20"/>
          <w:szCs w:val="20"/>
          <w:color w:val="auto"/>
        </w:rPr>
      </w:pPr>
      <w:r>
        <w:rPr>
          <w:rFonts w:ascii="Arial" w:cs="Arial" w:eastAsia="Arial" w:hAnsi="Arial"/>
          <w:sz w:val="24"/>
          <w:szCs w:val="24"/>
          <w:color w:val="auto"/>
        </w:rPr>
        <w:t>Observou-se que o Brasil é o segundo maior produtor mundial de mandioca, e sua produção representa 15% da produção mundial. A fécula é um dos produtos mais importantes feitos a partir da mandioca, e sua produção concentra-se no Centro-Sul do país, sendo o Paraná o maior produtor. Assim, verificou-se a necessidade deste estudo com o objetivo de identificar a estrutura de mercado da indústria de fécula no Estado do Paraná.</w:t>
      </w:r>
    </w:p>
    <w:p>
      <w:pPr>
        <w:spacing w:after="0" w:line="62" w:lineRule="exact"/>
        <w:rPr>
          <w:sz w:val="20"/>
          <w:szCs w:val="20"/>
          <w:color w:val="auto"/>
        </w:rPr>
      </w:pPr>
    </w:p>
    <w:p>
      <w:pPr>
        <w:jc w:val="both"/>
        <w:ind w:firstLine="708"/>
        <w:spacing w:after="0" w:line="345" w:lineRule="auto"/>
        <w:rPr>
          <w:sz w:val="20"/>
          <w:szCs w:val="20"/>
          <w:color w:val="auto"/>
        </w:rPr>
      </w:pPr>
      <w:r>
        <w:rPr>
          <w:rFonts w:ascii="Arial" w:cs="Arial" w:eastAsia="Arial" w:hAnsi="Arial"/>
          <w:sz w:val="24"/>
          <w:szCs w:val="24"/>
          <w:color w:val="auto"/>
        </w:rPr>
        <w:t>Partindo do modelo econômico Estrutura-Conduta-Desempenho, constatou-se que quanto maior a concentração de mercado, menor é a concorrência e mais concentrado ficará o poder de mercado da indústria, pois existe uma relação direta entre a estrutura de mercado, a conduta das firmas e o desempenho delas.</w:t>
      </w:r>
    </w:p>
    <w:p>
      <w:pPr>
        <w:spacing w:after="0" w:line="69" w:lineRule="exact"/>
        <w:rPr>
          <w:sz w:val="20"/>
          <w:szCs w:val="20"/>
          <w:color w:val="auto"/>
        </w:rPr>
      </w:pPr>
    </w:p>
    <w:p>
      <w:pPr>
        <w:jc w:val="both"/>
        <w:ind w:firstLine="708"/>
        <w:spacing w:after="0" w:line="352" w:lineRule="auto"/>
        <w:rPr>
          <w:sz w:val="20"/>
          <w:szCs w:val="20"/>
          <w:color w:val="auto"/>
        </w:rPr>
      </w:pPr>
      <w:r>
        <w:rPr>
          <w:rFonts w:ascii="Arial" w:cs="Arial" w:eastAsia="Arial" w:hAnsi="Arial"/>
          <w:sz w:val="24"/>
          <w:szCs w:val="24"/>
          <w:color w:val="auto"/>
        </w:rPr>
        <w:t>Foi possível perceber que a participação no mercado da indústria de fécula no Paraná se faz de forma equitativa e, segundo o IHH de 1.033,70 encontrado, verificou-se que existe moderada concentração, o que caracteriza uma estrutura de mercado oligopolista muito próxima de um mercado de concorrência perfeita. Portanto, segundo esse índice e juntamente com o CR4 encontrado de 50,6, percebe-se que a conduta das empresas está coerente com o tipo de mercado apresentado, pois as mesmas procuram diferenciar seus produtos para conseguir obter fidelização dos clientes.</w:t>
      </w:r>
    </w:p>
    <w:p>
      <w:pPr>
        <w:spacing w:after="0" w:line="66" w:lineRule="exact"/>
        <w:rPr>
          <w:sz w:val="20"/>
          <w:szCs w:val="20"/>
          <w:color w:val="auto"/>
        </w:rPr>
      </w:pPr>
    </w:p>
    <w:p>
      <w:pPr>
        <w:jc w:val="both"/>
        <w:ind w:firstLine="708"/>
        <w:spacing w:after="0" w:line="350" w:lineRule="auto"/>
        <w:rPr>
          <w:sz w:val="20"/>
          <w:szCs w:val="20"/>
          <w:color w:val="auto"/>
        </w:rPr>
      </w:pPr>
      <w:r>
        <w:rPr>
          <w:rFonts w:ascii="Arial" w:cs="Arial" w:eastAsia="Arial" w:hAnsi="Arial"/>
          <w:sz w:val="24"/>
          <w:szCs w:val="24"/>
          <w:color w:val="auto"/>
        </w:rPr>
        <w:t>O presente estudo traz contribuições para todo o seguimento industrial, podendo servir como base para uma melhor postura em meio ao mercado oligopolista no qual as indústrias de fécula se encontram, e também para as demais indústrias que utilizam da fécula como matéria prima, podendo analisar qual a concentração das fornecedoras de sua matéria prima para melhor negociação dos produtos, além de comparar a qualidade dos mesmos.</w:t>
      </w:r>
    </w:p>
    <w:p>
      <w:pPr>
        <w:spacing w:after="0" w:line="69" w:lineRule="exact"/>
        <w:rPr>
          <w:sz w:val="20"/>
          <w:szCs w:val="20"/>
          <w:color w:val="auto"/>
        </w:rPr>
      </w:pPr>
    </w:p>
    <w:p>
      <w:pPr>
        <w:jc w:val="both"/>
        <w:ind w:firstLine="708"/>
        <w:spacing w:after="0" w:line="344" w:lineRule="auto"/>
        <w:rPr>
          <w:sz w:val="20"/>
          <w:szCs w:val="20"/>
          <w:color w:val="auto"/>
        </w:rPr>
      </w:pPr>
      <w:r>
        <w:rPr>
          <w:rFonts w:ascii="Arial" w:cs="Arial" w:eastAsia="Arial" w:hAnsi="Arial"/>
          <w:sz w:val="24"/>
          <w:szCs w:val="24"/>
          <w:color w:val="auto"/>
        </w:rPr>
        <w:t>Para um próximo estudo, seria de grande valia uma análise da estrutura do mercado das indústrias de fécula nos últimos anos, com inferência dos motivos que levaram ao tipo de mercado em que se encontram atualmente, mostrando também a tendência para os próximos anos.</w:t>
      </w:r>
    </w:p>
    <w:p>
      <w:pPr>
        <w:sectPr>
          <w:pgSz w:w="11900" w:h="16838" w:orient="portrait"/>
          <w:cols w:equalWidth="0" w:num="1">
            <w:col w:w="9640"/>
          </w:cols>
          <w:pgMar w:left="1140" w:top="649" w:right="1120" w:bottom="1440" w:gutter="0" w:footer="0" w:header="0"/>
        </w:sectPr>
      </w:pPr>
    </w:p>
    <w:bookmarkStart w:id="12" w:name="page13"/>
    <w:bookmarkEnd w:id="12"/>
    <w:p>
      <w:pPr>
        <w:ind w:left="9400"/>
        <w:spacing w:after="0" w:line="239" w:lineRule="auto"/>
        <w:rPr>
          <w:sz w:val="20"/>
          <w:szCs w:val="20"/>
          <w:color w:val="auto"/>
        </w:rPr>
      </w:pPr>
      <w:r>
        <w:rPr>
          <w:rFonts w:ascii="Calibri" w:cs="Calibri" w:eastAsia="Calibri" w:hAnsi="Calibri"/>
          <w:sz w:val="22"/>
          <w:szCs w:val="22"/>
          <w:color w:val="auto"/>
        </w:rPr>
        <w:t>13</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REFERÊNCIAS BIBLIOGRÁFICAS</w:t>
      </w:r>
    </w:p>
    <w:p>
      <w:pPr>
        <w:spacing w:after="0" w:line="200" w:lineRule="exact"/>
        <w:rPr>
          <w:sz w:val="20"/>
          <w:szCs w:val="20"/>
          <w:color w:val="auto"/>
        </w:rPr>
      </w:pPr>
    </w:p>
    <w:p>
      <w:pPr>
        <w:spacing w:after="0" w:line="360" w:lineRule="exact"/>
        <w:rPr>
          <w:sz w:val="20"/>
          <w:szCs w:val="20"/>
          <w:color w:val="auto"/>
        </w:rPr>
      </w:pPr>
    </w:p>
    <w:p>
      <w:pPr>
        <w:jc w:val="both"/>
        <w:ind w:right="20"/>
        <w:spacing w:after="0" w:line="235" w:lineRule="auto"/>
        <w:rPr>
          <w:sz w:val="20"/>
          <w:szCs w:val="20"/>
          <w:color w:val="auto"/>
        </w:rPr>
      </w:pPr>
      <w:r>
        <w:rPr>
          <w:rFonts w:ascii="Arial" w:cs="Arial" w:eastAsia="Arial" w:hAnsi="Arial"/>
          <w:sz w:val="24"/>
          <w:szCs w:val="24"/>
          <w:color w:val="auto"/>
        </w:rPr>
        <w:t xml:space="preserve">CEPEA. </w:t>
      </w:r>
      <w:r>
        <w:rPr>
          <w:rFonts w:ascii="Arial" w:cs="Arial" w:eastAsia="Arial" w:hAnsi="Arial"/>
          <w:sz w:val="24"/>
          <w:szCs w:val="24"/>
          <w:b w:val="1"/>
          <w:bCs w:val="1"/>
          <w:color w:val="auto"/>
        </w:rPr>
        <w:t>Mandioca: Indústria de fécula atinge R$ 1 bilhão.</w:t>
      </w:r>
      <w:r>
        <w:rPr>
          <w:rFonts w:ascii="Arial" w:cs="Arial" w:eastAsia="Arial" w:hAnsi="Arial"/>
          <w:sz w:val="24"/>
          <w:szCs w:val="24"/>
          <w:color w:val="auto"/>
        </w:rPr>
        <w:t xml:space="preserve"> São Paulo, 2014. Disponível em: &lt;</w:t>
      </w:r>
      <w:r>
        <w:rPr>
          <w:rFonts w:ascii="Arial" w:cs="Arial" w:eastAsia="Arial" w:hAnsi="Arial"/>
          <w:sz w:val="24"/>
          <w:szCs w:val="24"/>
          <w:color w:val="222222"/>
        </w:rPr>
        <w:t>http://www.cepea.esalq.usp.br&gt;. Acesso em: 28 mar. 2015.</w:t>
      </w:r>
    </w:p>
    <w:p>
      <w:pPr>
        <w:spacing w:after="0" w:line="288" w:lineRule="exact"/>
        <w:rPr>
          <w:sz w:val="20"/>
          <w:szCs w:val="20"/>
          <w:color w:val="auto"/>
        </w:rPr>
      </w:pPr>
    </w:p>
    <w:p>
      <w:pPr>
        <w:jc w:val="both"/>
        <w:spacing w:after="0" w:line="238" w:lineRule="auto"/>
        <w:rPr>
          <w:sz w:val="20"/>
          <w:szCs w:val="20"/>
          <w:color w:val="auto"/>
        </w:rPr>
      </w:pPr>
      <w:r>
        <w:rPr>
          <w:rFonts w:ascii="Arial" w:cs="Arial" w:eastAsia="Arial" w:hAnsi="Arial"/>
          <w:sz w:val="24"/>
          <w:szCs w:val="24"/>
          <w:color w:val="231F20"/>
        </w:rPr>
        <w:t xml:space="preserve">FELIPE, F. I.; PAULILLO, L. F. O. </w:t>
      </w:r>
      <w:r>
        <w:rPr>
          <w:rFonts w:ascii="Arial" w:cs="Arial" w:eastAsia="Arial" w:hAnsi="Arial"/>
          <w:sz w:val="24"/>
          <w:szCs w:val="24"/>
          <w:b w:val="1"/>
          <w:bCs w:val="1"/>
          <w:color w:val="000000"/>
        </w:rPr>
        <w:t>Estudo multicaso das formas plurais de</w:t>
      </w:r>
      <w:r>
        <w:rPr>
          <w:rFonts w:ascii="Arial" w:cs="Arial" w:eastAsia="Arial" w:hAnsi="Arial"/>
          <w:sz w:val="24"/>
          <w:szCs w:val="24"/>
          <w:color w:val="231F20"/>
        </w:rPr>
        <w:t xml:space="preserve"> </w:t>
      </w:r>
      <w:r>
        <w:rPr>
          <w:rFonts w:ascii="Arial" w:cs="Arial" w:eastAsia="Arial" w:hAnsi="Arial"/>
          <w:sz w:val="24"/>
          <w:szCs w:val="24"/>
          <w:b w:val="1"/>
          <w:bCs w:val="1"/>
          <w:color w:val="000000"/>
        </w:rPr>
        <w:t xml:space="preserve">coordenação das fecularias na compra de mandioca no Estado do Paraná. </w:t>
      </w:r>
      <w:r>
        <w:rPr>
          <w:rFonts w:ascii="Arial" w:cs="Arial" w:eastAsia="Arial" w:hAnsi="Arial"/>
          <w:sz w:val="24"/>
          <w:szCs w:val="24"/>
          <w:color w:val="000000"/>
        </w:rPr>
        <w:t>SOBER –</w:t>
      </w:r>
      <w:r>
        <w:rPr>
          <w:rFonts w:ascii="Arial" w:cs="Arial" w:eastAsia="Arial" w:hAnsi="Arial"/>
          <w:sz w:val="24"/>
          <w:szCs w:val="24"/>
          <w:b w:val="1"/>
          <w:bCs w:val="1"/>
          <w:color w:val="000000"/>
        </w:rPr>
        <w:t xml:space="preserve"> </w:t>
      </w:r>
      <w:r>
        <w:rPr>
          <w:rFonts w:ascii="Arial" w:cs="Arial" w:eastAsia="Arial" w:hAnsi="Arial"/>
          <w:sz w:val="24"/>
          <w:szCs w:val="24"/>
          <w:color w:val="000000"/>
        </w:rPr>
        <w:t>Sociedade Brasileira de Economia, Administração e Sociologia Rural. Paraíba, 26 a 29 de jul 2015. Disponível em: &lt; http://www.cepea.org.br/pdf/Sober_governanca.pdf &gt;. Acesso em 24 ago. 2015.</w:t>
      </w:r>
    </w:p>
    <w:p>
      <w:pPr>
        <w:spacing w:after="0" w:line="288"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GAMEIRO, A.H. et al. </w:t>
      </w:r>
      <w:r>
        <w:rPr>
          <w:rFonts w:ascii="Arial" w:cs="Arial" w:eastAsia="Arial" w:hAnsi="Arial"/>
          <w:sz w:val="24"/>
          <w:szCs w:val="24"/>
          <w:b w:val="1"/>
          <w:bCs w:val="1"/>
          <w:color w:val="auto"/>
        </w:rPr>
        <w:t>A indústria do amido de mandioca</w:t>
      </w:r>
      <w:r>
        <w:rPr>
          <w:rFonts w:ascii="Arial" w:cs="Arial" w:eastAsia="Arial" w:hAnsi="Arial"/>
          <w:sz w:val="24"/>
          <w:szCs w:val="24"/>
          <w:color w:val="auto"/>
        </w:rPr>
        <w:t>. Brasília, DF: Embrapa Informação Tecnológica, 2003. 201p.</w:t>
      </w:r>
    </w:p>
    <w:p>
      <w:pPr>
        <w:spacing w:after="0" w:line="288" w:lineRule="exact"/>
        <w:rPr>
          <w:sz w:val="20"/>
          <w:szCs w:val="20"/>
          <w:color w:val="auto"/>
        </w:rPr>
      </w:pPr>
    </w:p>
    <w:p>
      <w:pPr>
        <w:jc w:val="both"/>
        <w:spacing w:after="0" w:line="237" w:lineRule="auto"/>
        <w:rPr>
          <w:sz w:val="20"/>
          <w:szCs w:val="20"/>
          <w:color w:val="auto"/>
        </w:rPr>
      </w:pPr>
      <w:r>
        <w:rPr>
          <w:rFonts w:ascii="Arial" w:cs="Arial" w:eastAsia="Arial" w:hAnsi="Arial"/>
          <w:sz w:val="24"/>
          <w:szCs w:val="24"/>
          <w:color w:val="auto"/>
        </w:rPr>
        <w:t xml:space="preserve">GROXKO, M. </w:t>
      </w:r>
      <w:r>
        <w:rPr>
          <w:rFonts w:ascii="Arial" w:cs="Arial" w:eastAsia="Arial" w:hAnsi="Arial"/>
          <w:sz w:val="24"/>
          <w:szCs w:val="24"/>
          <w:b w:val="1"/>
          <w:bCs w:val="1"/>
          <w:color w:val="auto"/>
        </w:rPr>
        <w:t>Análise da Conjuntura Agropecuária - Mandioca</w:t>
      </w:r>
      <w:r>
        <w:rPr>
          <w:rFonts w:ascii="Arial" w:cs="Arial" w:eastAsia="Arial" w:hAnsi="Arial"/>
          <w:sz w:val="24"/>
          <w:szCs w:val="24"/>
          <w:color w:val="auto"/>
        </w:rPr>
        <w:t>. SEAB - Secretaria de Estado da Agricultura e do Abastecimento do Paraná. Disponível em: &lt;http://www.agricultura.pr.gov.br/arquivos/File/deral/Prognosticos/mandioca_2014_15.pdf &gt;. Acesso em 23 jun. 2015.</w:t>
      </w:r>
    </w:p>
    <w:p>
      <w:pPr>
        <w:spacing w:after="0" w:line="290" w:lineRule="exact"/>
        <w:rPr>
          <w:sz w:val="20"/>
          <w:szCs w:val="20"/>
          <w:color w:val="auto"/>
        </w:rPr>
      </w:pPr>
    </w:p>
    <w:p>
      <w:pPr>
        <w:spacing w:after="0" w:line="237" w:lineRule="auto"/>
        <w:rPr>
          <w:sz w:val="20"/>
          <w:szCs w:val="20"/>
          <w:color w:val="auto"/>
        </w:rPr>
      </w:pPr>
      <w:r>
        <w:rPr>
          <w:rFonts w:ascii="Arial" w:cs="Arial" w:eastAsia="Arial" w:hAnsi="Arial"/>
          <w:sz w:val="24"/>
          <w:szCs w:val="24"/>
          <w:color w:val="auto"/>
        </w:rPr>
        <w:t xml:space="preserve">HERMOGENES, R. </w:t>
      </w:r>
      <w:r>
        <w:rPr>
          <w:rFonts w:ascii="Arial" w:cs="Arial" w:eastAsia="Arial" w:hAnsi="Arial"/>
          <w:sz w:val="24"/>
          <w:szCs w:val="24"/>
          <w:b w:val="1"/>
          <w:bCs w:val="1"/>
          <w:color w:val="auto"/>
        </w:rPr>
        <w:t>Maniocultura – Oportunidade de Pequenos Negócios</w:t>
      </w:r>
      <w:r>
        <w:rPr>
          <w:rFonts w:ascii="Arial" w:cs="Arial" w:eastAsia="Arial" w:hAnsi="Arial"/>
          <w:sz w:val="24"/>
          <w:szCs w:val="24"/>
          <w:color w:val="auto"/>
        </w:rPr>
        <w:t>. SBM – Sociedade Brasileira de Mandioca. Botucatu – SP, 2015. Diponível em: &lt; http://www.agricultura.pr.gov.br/arquivos/File/deral/Prognosticos/mandioca_2014_15.pdf &gt;. Acesso em 20 jun. 2015.</w:t>
      </w:r>
    </w:p>
    <w:p>
      <w:pPr>
        <w:spacing w:after="0" w:line="290" w:lineRule="exact"/>
        <w:rPr>
          <w:sz w:val="20"/>
          <w:szCs w:val="20"/>
          <w:color w:val="auto"/>
        </w:rPr>
      </w:pPr>
    </w:p>
    <w:p>
      <w:pPr>
        <w:jc w:val="both"/>
        <w:spacing w:after="0" w:line="236" w:lineRule="auto"/>
        <w:rPr>
          <w:sz w:val="20"/>
          <w:szCs w:val="20"/>
          <w:color w:val="auto"/>
        </w:rPr>
      </w:pPr>
      <w:r>
        <w:rPr>
          <w:rFonts w:ascii="Arial" w:cs="Arial" w:eastAsia="Arial" w:hAnsi="Arial"/>
          <w:sz w:val="24"/>
          <w:szCs w:val="24"/>
          <w:color w:val="auto"/>
        </w:rPr>
        <w:t>IBGE – Instituto Brasileiro de Geografia e Estatística</w:t>
      </w:r>
      <w:r>
        <w:rPr>
          <w:rFonts w:ascii="Arial" w:cs="Arial" w:eastAsia="Arial" w:hAnsi="Arial"/>
          <w:sz w:val="24"/>
          <w:szCs w:val="24"/>
          <w:b w:val="1"/>
          <w:bCs w:val="1"/>
          <w:color w:val="auto"/>
        </w:rPr>
        <w:t>. Levantamento sistemático da</w:t>
      </w:r>
      <w:r>
        <w:rPr>
          <w:rFonts w:ascii="Arial" w:cs="Arial" w:eastAsia="Arial" w:hAnsi="Arial"/>
          <w:sz w:val="24"/>
          <w:szCs w:val="24"/>
          <w:color w:val="auto"/>
        </w:rPr>
        <w:t xml:space="preserve"> </w:t>
      </w:r>
      <w:r>
        <w:rPr>
          <w:rFonts w:ascii="Arial" w:cs="Arial" w:eastAsia="Arial" w:hAnsi="Arial"/>
          <w:sz w:val="24"/>
          <w:szCs w:val="24"/>
          <w:b w:val="1"/>
          <w:bCs w:val="1"/>
          <w:color w:val="auto"/>
        </w:rPr>
        <w:t>produção agrícola. 2014</w:t>
      </w:r>
      <w:r>
        <w:rPr>
          <w:rFonts w:ascii="Arial" w:cs="Arial" w:eastAsia="Arial" w:hAnsi="Arial"/>
          <w:sz w:val="24"/>
          <w:szCs w:val="24"/>
          <w:color w:val="auto"/>
        </w:rPr>
        <w:t>. Disponível em: &lt;http://www.ibge.gov.br&gt;. Acesso em 23 jun.</w:t>
      </w:r>
      <w:r>
        <w:rPr>
          <w:rFonts w:ascii="Arial" w:cs="Arial" w:eastAsia="Arial" w:hAnsi="Arial"/>
          <w:sz w:val="24"/>
          <w:szCs w:val="24"/>
          <w:b w:val="1"/>
          <w:bCs w:val="1"/>
          <w:color w:val="auto"/>
        </w:rPr>
        <w:t xml:space="preserve"> </w:t>
      </w:r>
      <w:r>
        <w:rPr>
          <w:rFonts w:ascii="Arial" w:cs="Arial" w:eastAsia="Arial" w:hAnsi="Arial"/>
          <w:sz w:val="24"/>
          <w:szCs w:val="24"/>
          <w:color w:val="auto"/>
        </w:rPr>
        <w:t>2015.</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KUPFER, D. Padrões de concorrência e competitividade. </w:t>
      </w:r>
      <w:r>
        <w:rPr>
          <w:rFonts w:ascii="Arial" w:cs="Arial" w:eastAsia="Arial" w:hAnsi="Arial"/>
          <w:sz w:val="24"/>
          <w:szCs w:val="24"/>
          <w:b w:val="1"/>
          <w:bCs w:val="1"/>
          <w:color w:val="auto"/>
        </w:rPr>
        <w:t>Anais da Anpec</w:t>
      </w:r>
      <w:r>
        <w:rPr>
          <w:rFonts w:ascii="Arial" w:cs="Arial" w:eastAsia="Arial" w:hAnsi="Arial"/>
          <w:sz w:val="24"/>
          <w:szCs w:val="24"/>
          <w:color w:val="auto"/>
        </w:rPr>
        <w:t>, 1992.</w:t>
      </w:r>
    </w:p>
    <w:p>
      <w:pPr>
        <w:spacing w:after="0" w:line="327" w:lineRule="exact"/>
        <w:rPr>
          <w:sz w:val="20"/>
          <w:szCs w:val="20"/>
          <w:color w:val="auto"/>
        </w:rPr>
      </w:pPr>
    </w:p>
    <w:p>
      <w:pPr>
        <w:jc w:val="both"/>
        <w:spacing w:after="0" w:line="217" w:lineRule="auto"/>
        <w:rPr>
          <w:sz w:val="20"/>
          <w:szCs w:val="20"/>
          <w:color w:val="auto"/>
        </w:rPr>
      </w:pPr>
      <w:r>
        <w:rPr>
          <w:rFonts w:ascii="Arial" w:cs="Arial" w:eastAsia="Arial" w:hAnsi="Arial"/>
          <w:sz w:val="24"/>
          <w:szCs w:val="24"/>
          <w:color w:val="auto"/>
        </w:rPr>
        <w:t>KUPFER, D.; HANSENCLEVER, L. (ORGS) Economia Industrial, Fundamentos Teóricos e Práticos no Brasil. Rio de Janeiro: Campus, 2002.</w:t>
      </w:r>
    </w:p>
    <w:p>
      <w:pPr>
        <w:spacing w:after="0" w:line="288" w:lineRule="exact"/>
        <w:rPr>
          <w:sz w:val="20"/>
          <w:szCs w:val="20"/>
          <w:color w:val="auto"/>
        </w:rPr>
      </w:pPr>
    </w:p>
    <w:p>
      <w:pPr>
        <w:ind w:right="640"/>
        <w:spacing w:after="0" w:line="235" w:lineRule="auto"/>
        <w:rPr>
          <w:sz w:val="20"/>
          <w:szCs w:val="20"/>
          <w:color w:val="auto"/>
        </w:rPr>
      </w:pPr>
      <w:r>
        <w:rPr>
          <w:rFonts w:ascii="Arial" w:cs="Arial" w:eastAsia="Arial" w:hAnsi="Arial"/>
          <w:sz w:val="24"/>
          <w:szCs w:val="24"/>
          <w:color w:val="231F20"/>
        </w:rPr>
        <w:t xml:space="preserve">MARQUES, P. V.; AGUIAR, D. R. D. </w:t>
      </w:r>
      <w:r>
        <w:rPr>
          <w:rFonts w:ascii="Arial" w:cs="Arial" w:eastAsia="Arial" w:hAnsi="Arial"/>
          <w:sz w:val="24"/>
          <w:szCs w:val="24"/>
          <w:b w:val="1"/>
          <w:bCs w:val="1"/>
          <w:color w:val="231F20"/>
        </w:rPr>
        <w:t>Comercialização de produtos agrícolas.</w:t>
      </w:r>
      <w:r>
        <w:rPr>
          <w:rFonts w:ascii="Arial" w:cs="Arial" w:eastAsia="Arial" w:hAnsi="Arial"/>
          <w:sz w:val="24"/>
          <w:szCs w:val="24"/>
          <w:color w:val="231F20"/>
        </w:rPr>
        <w:t xml:space="preserve"> São Paulo: Edusp, 1993. 299 p.</w:t>
      </w:r>
    </w:p>
    <w:p>
      <w:pPr>
        <w:spacing w:after="0" w:line="288"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231F20"/>
        </w:rPr>
        <w:t xml:space="preserve">MENDES, J. T. G; PADILHA JR, J. B. </w:t>
      </w:r>
      <w:r>
        <w:rPr>
          <w:rFonts w:ascii="Arial" w:cs="Arial" w:eastAsia="Arial" w:hAnsi="Arial"/>
          <w:sz w:val="24"/>
          <w:szCs w:val="24"/>
          <w:b w:val="1"/>
          <w:bCs w:val="1"/>
          <w:color w:val="231F20"/>
        </w:rPr>
        <w:t>Agronegócio uma abordagem econômica</w:t>
      </w:r>
      <w:r>
        <w:rPr>
          <w:rFonts w:ascii="Arial" w:cs="Arial" w:eastAsia="Arial" w:hAnsi="Arial"/>
          <w:sz w:val="24"/>
          <w:szCs w:val="24"/>
          <w:color w:val="231F20"/>
        </w:rPr>
        <w:t>. São Paulo: Pearson, 2007. 369 p.</w:t>
      </w:r>
    </w:p>
    <w:p>
      <w:pPr>
        <w:spacing w:after="0" w:line="288" w:lineRule="exact"/>
        <w:rPr>
          <w:sz w:val="20"/>
          <w:szCs w:val="20"/>
          <w:color w:val="auto"/>
        </w:rPr>
      </w:pPr>
    </w:p>
    <w:p>
      <w:pPr>
        <w:jc w:val="both"/>
        <w:spacing w:after="0" w:line="235" w:lineRule="auto"/>
        <w:rPr>
          <w:sz w:val="20"/>
          <w:szCs w:val="20"/>
          <w:color w:val="auto"/>
        </w:rPr>
      </w:pPr>
      <w:r>
        <w:rPr>
          <w:rFonts w:ascii="Arial" w:cs="Arial" w:eastAsia="Arial" w:hAnsi="Arial"/>
          <w:sz w:val="24"/>
          <w:szCs w:val="24"/>
          <w:color w:val="auto"/>
        </w:rPr>
        <w:t xml:space="preserve">SCHERER, F.M.; ROSS, D. </w:t>
      </w:r>
      <w:r>
        <w:rPr>
          <w:rFonts w:ascii="Arial" w:cs="Arial" w:eastAsia="Arial" w:hAnsi="Arial"/>
          <w:sz w:val="24"/>
          <w:szCs w:val="24"/>
          <w:b w:val="1"/>
          <w:bCs w:val="1"/>
          <w:color w:val="auto"/>
        </w:rPr>
        <w:t>Industrial market structure and economic performance.</w:t>
      </w:r>
      <w:r>
        <w:rPr>
          <w:rFonts w:ascii="Arial" w:cs="Arial" w:eastAsia="Arial" w:hAnsi="Arial"/>
          <w:sz w:val="24"/>
          <w:szCs w:val="24"/>
          <w:color w:val="auto"/>
        </w:rPr>
        <w:t xml:space="preserve"> 3 Ed. Chicago: Raud Mc Nally &amp; Co, 1990.</w:t>
      </w:r>
    </w:p>
    <w:p>
      <w:pPr>
        <w:spacing w:after="0" w:line="288" w:lineRule="exact"/>
        <w:rPr>
          <w:sz w:val="20"/>
          <w:szCs w:val="20"/>
          <w:color w:val="auto"/>
        </w:rPr>
      </w:pPr>
    </w:p>
    <w:p>
      <w:pPr>
        <w:jc w:val="both"/>
        <w:spacing w:after="0" w:line="237" w:lineRule="auto"/>
        <w:rPr>
          <w:sz w:val="20"/>
          <w:szCs w:val="20"/>
          <w:color w:val="auto"/>
        </w:rPr>
      </w:pPr>
      <w:r>
        <w:rPr>
          <w:rFonts w:ascii="Arial" w:cs="Arial" w:eastAsia="Arial" w:hAnsi="Arial"/>
          <w:sz w:val="24"/>
          <w:szCs w:val="24"/>
          <w:color w:val="auto"/>
        </w:rPr>
        <w:t xml:space="preserve">SEBRAE – Serviço Brasileiro de Apoio às Micro e Pequenas Empresas. </w:t>
      </w:r>
      <w:r>
        <w:rPr>
          <w:rFonts w:ascii="Arial" w:cs="Arial" w:eastAsia="Arial" w:hAnsi="Arial"/>
          <w:sz w:val="24"/>
          <w:szCs w:val="24"/>
          <w:b w:val="1"/>
          <w:bCs w:val="1"/>
          <w:color w:val="auto"/>
        </w:rPr>
        <w:t>Panorama do</w:t>
      </w:r>
      <w:r>
        <w:rPr>
          <w:rFonts w:ascii="Arial" w:cs="Arial" w:eastAsia="Arial" w:hAnsi="Arial"/>
          <w:sz w:val="24"/>
          <w:szCs w:val="24"/>
          <w:color w:val="auto"/>
        </w:rPr>
        <w:t xml:space="preserve"> </w:t>
      </w:r>
      <w:r>
        <w:rPr>
          <w:rFonts w:ascii="Arial" w:cs="Arial" w:eastAsia="Arial" w:hAnsi="Arial"/>
          <w:sz w:val="24"/>
          <w:szCs w:val="24"/>
          <w:b w:val="1"/>
          <w:bCs w:val="1"/>
          <w:color w:val="auto"/>
        </w:rPr>
        <w:t>Mercado da Mandioca</w:t>
      </w:r>
      <w:r>
        <w:rPr>
          <w:rFonts w:ascii="Arial" w:cs="Arial" w:eastAsia="Arial" w:hAnsi="Arial"/>
          <w:sz w:val="24"/>
          <w:szCs w:val="24"/>
          <w:color w:val="auto"/>
        </w:rPr>
        <w:t>. Boletim 2014. Disponível em: &lt;</w:t>
      </w:r>
      <w:r>
        <w:rPr>
          <w:rFonts w:ascii="Arial" w:cs="Arial" w:eastAsia="Arial" w:hAnsi="Arial"/>
          <w:sz w:val="24"/>
          <w:szCs w:val="24"/>
          <w:b w:val="1"/>
          <w:bCs w:val="1"/>
          <w:color w:val="auto"/>
        </w:rPr>
        <w:t xml:space="preserve"> </w:t>
      </w:r>
      <w:r>
        <w:rPr>
          <w:rFonts w:ascii="Arial" w:cs="Arial" w:eastAsia="Arial" w:hAnsi="Arial"/>
          <w:sz w:val="24"/>
          <w:szCs w:val="24"/>
          <w:color w:val="auto"/>
        </w:rPr>
        <w:t>http://www.sebrae2014.com.br/Sebrae/Sebrae%202014/Boletins/2014_07_14_BO_Agron eg%C3%B3cio_Panorama_do_mercado_da_mandioca.pdf &gt;.Acesso em 15 mai. 2015.</w:t>
      </w:r>
    </w:p>
    <w:p>
      <w:pPr>
        <w:sectPr>
          <w:pgSz w:w="11900" w:h="16838" w:orient="portrait"/>
          <w:cols w:equalWidth="0" w:num="1">
            <w:col w:w="9640"/>
          </w:cols>
          <w:pgMar w:left="1140" w:top="649" w:right="1120" w:bottom="1440" w:gutter="0" w:footer="0" w:header="0"/>
        </w:sectPr>
      </w:pPr>
    </w:p>
    <w:bookmarkStart w:id="13" w:name="page14"/>
    <w:bookmarkEnd w:id="13"/>
    <w:p>
      <w:pPr>
        <w:ind w:left="9400"/>
        <w:spacing w:after="0" w:line="239" w:lineRule="auto"/>
        <w:rPr>
          <w:sz w:val="20"/>
          <w:szCs w:val="20"/>
          <w:color w:val="auto"/>
        </w:rPr>
      </w:pPr>
      <w:r>
        <w:rPr>
          <w:rFonts w:ascii="Calibri" w:cs="Calibri" w:eastAsia="Calibri" w:hAnsi="Calibri"/>
          <w:sz w:val="22"/>
          <w:szCs w:val="22"/>
          <w:color w:val="auto"/>
        </w:rPr>
        <w:t>14</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5" w:lineRule="exact"/>
        <w:rPr>
          <w:sz w:val="20"/>
          <w:szCs w:val="20"/>
          <w:color w:val="auto"/>
        </w:rPr>
      </w:pPr>
    </w:p>
    <w:p>
      <w:pPr>
        <w:jc w:val="both"/>
        <w:spacing w:after="0" w:line="236" w:lineRule="auto"/>
        <w:rPr>
          <w:sz w:val="20"/>
          <w:szCs w:val="20"/>
          <w:color w:val="auto"/>
        </w:rPr>
      </w:pPr>
      <w:r>
        <w:rPr>
          <w:rFonts w:ascii="Arial" w:cs="Arial" w:eastAsia="Arial" w:hAnsi="Arial"/>
          <w:sz w:val="24"/>
          <w:szCs w:val="24"/>
          <w:color w:val="auto"/>
        </w:rPr>
        <w:t xml:space="preserve">SEBRAE – Serviço Brasileiro de Apoio às Micro e Pequenas Empresas. </w:t>
      </w:r>
      <w:r>
        <w:rPr>
          <w:rFonts w:ascii="Arial" w:cs="Arial" w:eastAsia="Arial" w:hAnsi="Arial"/>
          <w:sz w:val="24"/>
          <w:szCs w:val="24"/>
          <w:b w:val="1"/>
          <w:bCs w:val="1"/>
          <w:color w:val="auto"/>
        </w:rPr>
        <w:t>Estudo de</w:t>
      </w:r>
      <w:r>
        <w:rPr>
          <w:rFonts w:ascii="Arial" w:cs="Arial" w:eastAsia="Arial" w:hAnsi="Arial"/>
          <w:sz w:val="24"/>
          <w:szCs w:val="24"/>
          <w:color w:val="auto"/>
        </w:rPr>
        <w:t xml:space="preserve"> </w:t>
      </w:r>
      <w:r>
        <w:rPr>
          <w:rFonts w:ascii="Arial" w:cs="Arial" w:eastAsia="Arial" w:hAnsi="Arial"/>
          <w:sz w:val="24"/>
          <w:szCs w:val="24"/>
          <w:b w:val="1"/>
          <w:bCs w:val="1"/>
          <w:color w:val="auto"/>
        </w:rPr>
        <w:t>mercado sobre a mandioca</w:t>
      </w:r>
      <w:r>
        <w:rPr>
          <w:rFonts w:ascii="Arial" w:cs="Arial" w:eastAsia="Arial" w:hAnsi="Arial"/>
          <w:sz w:val="24"/>
          <w:szCs w:val="24"/>
          <w:color w:val="auto"/>
        </w:rPr>
        <w:t>. 2008. Disponível em:</w:t>
      </w:r>
      <w:r>
        <w:rPr>
          <w:rFonts w:ascii="Arial" w:cs="Arial" w:eastAsia="Arial" w:hAnsi="Arial"/>
          <w:sz w:val="24"/>
          <w:szCs w:val="24"/>
          <w:b w:val="1"/>
          <w:bCs w:val="1"/>
          <w:color w:val="auto"/>
        </w:rPr>
        <w:t xml:space="preserve"> </w:t>
      </w:r>
      <w:r>
        <w:rPr>
          <w:rFonts w:ascii="Arial" w:cs="Arial" w:eastAsia="Arial" w:hAnsi="Arial"/>
          <w:sz w:val="24"/>
          <w:szCs w:val="24"/>
          <w:color w:val="auto"/>
        </w:rPr>
        <w:t>&lt;http://docslide.com.br/documents/01relatorio-mandioca.html&gt;. Acesso em 15 mai. 2015.</w:t>
      </w:r>
    </w:p>
    <w:p>
      <w:pPr>
        <w:spacing w:after="0" w:line="290" w:lineRule="exact"/>
        <w:rPr>
          <w:sz w:val="20"/>
          <w:szCs w:val="20"/>
          <w:color w:val="auto"/>
        </w:rPr>
      </w:pPr>
    </w:p>
    <w:p>
      <w:pPr>
        <w:jc w:val="both"/>
        <w:spacing w:after="0" w:line="237" w:lineRule="auto"/>
        <w:rPr>
          <w:sz w:val="20"/>
          <w:szCs w:val="20"/>
          <w:color w:val="auto"/>
        </w:rPr>
      </w:pPr>
      <w:r>
        <w:rPr>
          <w:rFonts w:ascii="Arial" w:cs="Arial" w:eastAsia="Arial" w:hAnsi="Arial"/>
          <w:sz w:val="24"/>
          <w:szCs w:val="24"/>
          <w:color w:val="auto"/>
        </w:rPr>
        <w:t xml:space="preserve">SEDIYAMA, A.L. et al. </w:t>
      </w:r>
      <w:r>
        <w:rPr>
          <w:rFonts w:ascii="Arial" w:cs="Arial" w:eastAsia="Arial" w:hAnsi="Arial"/>
          <w:sz w:val="24"/>
          <w:szCs w:val="24"/>
          <w:b w:val="1"/>
          <w:bCs w:val="1"/>
          <w:color w:val="auto"/>
        </w:rPr>
        <w:t>Análise da Estrutura, Conduta e Desempenho da Indústria</w:t>
      </w:r>
      <w:r>
        <w:rPr>
          <w:rFonts w:ascii="Arial" w:cs="Arial" w:eastAsia="Arial" w:hAnsi="Arial"/>
          <w:sz w:val="24"/>
          <w:szCs w:val="24"/>
          <w:color w:val="auto"/>
        </w:rPr>
        <w:t xml:space="preserve"> </w:t>
      </w:r>
      <w:r>
        <w:rPr>
          <w:rFonts w:ascii="Arial" w:cs="Arial" w:eastAsia="Arial" w:hAnsi="Arial"/>
          <w:sz w:val="24"/>
          <w:szCs w:val="24"/>
          <w:b w:val="1"/>
          <w:bCs w:val="1"/>
          <w:color w:val="auto"/>
        </w:rPr>
        <w:t>Processadora de Soja no Brasil no Período de 2003 a 2010</w:t>
      </w:r>
      <w:r>
        <w:rPr>
          <w:rFonts w:ascii="Arial" w:cs="Arial" w:eastAsia="Arial" w:hAnsi="Arial"/>
          <w:sz w:val="24"/>
          <w:szCs w:val="24"/>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color w:val="231F20"/>
        </w:rPr>
        <w:t>RESR</w:t>
      </w:r>
      <w:r>
        <w:rPr>
          <w:rFonts w:ascii="Arial" w:cs="Arial" w:eastAsia="Arial" w:hAnsi="Arial"/>
          <w:sz w:val="24"/>
          <w:szCs w:val="24"/>
          <w:color w:val="231F20"/>
        </w:rPr>
        <w:t>, Piracicaba-SP,</w:t>
      </w:r>
      <w:r>
        <w:rPr>
          <w:rFonts w:ascii="Arial" w:cs="Arial" w:eastAsia="Arial" w:hAnsi="Arial"/>
          <w:sz w:val="24"/>
          <w:szCs w:val="24"/>
          <w:b w:val="1"/>
          <w:bCs w:val="1"/>
          <w:color w:val="auto"/>
        </w:rPr>
        <w:t xml:space="preserve"> </w:t>
      </w:r>
      <w:r>
        <w:rPr>
          <w:rFonts w:ascii="Arial" w:cs="Arial" w:eastAsia="Arial" w:hAnsi="Arial"/>
          <w:sz w:val="24"/>
          <w:szCs w:val="24"/>
          <w:color w:val="231F20"/>
        </w:rPr>
        <w:t>Vol. 51, Nº 1, p. 161-182, Jan/Mar 2013. Disponível em: &lt; http://www.scielo.br/pdf/resr/v51n1/09.pdf &gt;. Acesso em 17 jul. 2015.</w:t>
      </w:r>
    </w:p>
    <w:sectPr>
      <w:pgSz w:w="11900" w:h="16838" w:orient="portrait"/>
      <w:cols w:equalWidth="0" w:num="1">
        <w:col w:w="9640"/>
      </w:cols>
      <w:pgMar w:left="1140" w:top="649" w:right="112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327B23C6"/>
    <w:multiLevelType w:val="hybridMultilevel"/>
    <w:lvl w:ilvl="0">
      <w:lvlJc w:val="left"/>
      <w:lvlText w:val="%1)"/>
      <w:numFmt w:val="lowerRoman"/>
      <w:start w:val="1"/>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2016-06-28T14:44:05Z</dcterms:created>
  <dcterms:modified xsi:type="dcterms:W3CDTF">2016-06-28T14:44:05Z</dcterms:modified>
</cp:coreProperties>
</file>