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2026년 상반기 사업 리포트</w:t>
      </w:r>
    </w:p>
    <w:p>
      <w:r>
        <w:t xml:space="preserve">본 문서는 rdoc 편집기의 종합 샘플입니다. 제목 스타일, 리스트, 표, 하이퍼링크, 문자 서식이 모두 실제 DOCX 조각으로 들어 있습니다.</w:t>
      </w:r>
    </w:p>
    <w:p>
      <w:pPr>
        <w:pStyle w:val="Heading2"/>
      </w:pPr>
      <w:r>
        <w:t xml:space="preserve">1. 요약</w:t>
      </w:r>
    </w:p>
    <w:p>
      <w:r>
        <w:t xml:space="preserve">핵심 지표는 </w:t>
      </w:r>
      <w:r>
        <w:rPr>
          <w:b/>
        </w:rPr>
        <w:t>전년 대비 12% 성장</w:t>
      </w:r>
      <w:r>
        <w:t xml:space="preserve">이며, 위험 요인은 </w:t>
      </w:r>
      <w:r>
        <w:rPr>
          <w:color w:val="C00000"/>
        </w:rPr>
        <w:t>환율 변동성</w:t>
      </w:r>
      <w:r>
        <w:t xml:space="preserve">입니다. 상세 데이터는 </w:t>
      </w:r>
      <w:hyperlink r:id="rIdLink">
        <w:r>
          <w:rPr>
            <w:color w:val="0563C1"/>
            <w:u w:val="single"/>
          </w:rPr>
          <w:t>대시보드</w:t>
        </w:r>
      </w:hyperlink>
      <w:r>
        <w:t xml:space="preserve">를 참고하세요.</w:t>
      </w:r>
    </w:p>
    <w:p>
      <w:pPr>
        <w:pStyle w:val="Heading2"/>
      </w:pPr>
      <w:r>
        <w:t xml:space="preserve">2. 주요 성과</w:t>
      </w:r>
    </w:p>
    <w:p>
      <w:pPr>
        <w:numPr>
          <w:ilvl w:val="0"/>
          <w:numId w:val="1"/>
        </w:numPr>
      </w:pPr>
      <w:r>
        <w:t xml:space="preserve">신규 고객 340개사 확보</w:t>
      </w:r>
    </w:p>
    <w:p>
      <w:pPr>
        <w:numPr>
          <w:ilvl w:val="0"/>
          <w:numId w:val="1"/>
        </w:numPr>
      </w:pPr>
      <w:r>
        <w:t xml:space="preserve">핵심 제품 재구매율 87%</w:t>
      </w:r>
    </w:p>
    <w:p>
      <w:pPr>
        <w:numPr>
          <w:ilvl w:val="1"/>
          <w:numId w:val="1"/>
        </w:numPr>
      </w:pPr>
      <w:r>
        <w:t xml:space="preserve">엔터프라이즈 부문 122%</w:t>
      </w:r>
    </w:p>
    <w:p>
      <w:pPr>
        <w:numPr>
          <w:ilvl w:val="1"/>
          <w:numId w:val="1"/>
        </w:numPr>
      </w:pPr>
      <w:r>
        <w:t xml:space="preserve">중소기업 부문 74%</w:t>
      </w:r>
    </w:p>
    <w:p>
      <w:pPr>
        <w:pStyle w:val="Heading2"/>
      </w:pPr>
      <w:r>
        <w:t xml:space="preserve">3. 분기별 실적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CE6F1"/>
          </w:tcPr>
          <w:p>
            <w:r>
              <w:rPr>
                <w:b/>
              </w:rPr>
              <w:t xml:space="preserve">분기</w:t>
            </w:r>
          </w:p>
        </w:tc>
        <w:tc>
          <w:tcPr>
            <w:tcW w:w="3000" w:type="dxa"/>
            <w:shd w:val="clear" w:fill="DCE6F1"/>
          </w:tcPr>
          <w:p>
            <w:r>
              <w:rPr>
                <w:b/>
              </w:rPr>
              <w:t xml:space="preserve">매출(억)</w:t>
            </w:r>
          </w:p>
        </w:tc>
        <w:tc>
          <w:tcPr>
            <w:tcW w:w="3000" w:type="dxa"/>
            <w:shd w:val="clear" w:fill="DCE6F1"/>
          </w:tcPr>
          <w:p>
            <w:r>
              <w:rPr>
                <w:b/>
              </w:rPr>
              <w:t xml:space="preserve">전년 대비</w:t>
            </w:r>
          </w:p>
        </w:tc>
      </w:tr>
      <w:tr>
        <w:tc>
          <w:tcPr>
            <w:tcW w:w="3000" w:type="dxa"/>
          </w:tcPr>
          <w:p>
            <w:r>
              <w:t xml:space="preserve">1분기</w:t>
            </w:r>
          </w:p>
        </w:tc>
        <w:tc>
          <w:tcPr>
            <w:tcW w:w="3000" w:type="dxa"/>
          </w:tcPr>
          <w:p>
            <w:r>
              <w:t xml:space="preserve">128</w:t>
            </w:r>
          </w:p>
        </w:tc>
        <w:tc>
          <w:tcPr>
            <w:tcW w:w="3000" w:type="dxa"/>
          </w:tcPr>
          <w:p>
            <w:r>
              <w:t xml:space="preserve">+8%</w:t>
            </w:r>
          </w:p>
        </w:tc>
      </w:tr>
      <w:tr>
        <w:tc>
          <w:tcPr>
            <w:tcW w:w="3000" w:type="dxa"/>
          </w:tcPr>
          <w:p>
            <w:r>
              <w:t xml:space="preserve">2분기</w:t>
            </w:r>
          </w:p>
        </w:tc>
        <w:tc>
          <w:tcPr>
            <w:tcW w:w="3000" w:type="dxa"/>
          </w:tcPr>
          <w:p>
            <w:r>
              <w:t xml:space="preserve">143</w:t>
            </w:r>
          </w:p>
        </w:tc>
        <w:tc>
          <w:tcPr>
            <w:tcW w:w="3000" w:type="dxa"/>
          </w:tcPr>
          <w:p>
            <w:r>
              <w:t xml:space="preserve">+12%</w:t>
            </w:r>
          </w:p>
        </w:tc>
      </w:tr>
      <w:tr>
        <w:tc>
          <w:tcPr>
            <w:tcW w:w="3000" w:type="dxa"/>
          </w:tcPr>
          <w:p>
            <w:r>
              <w:t xml:space="preserve">3분기(전망)</w:t>
            </w:r>
          </w:p>
        </w:tc>
        <w:tc>
          <w:tcPr>
            <w:tcW w:w="3000" w:type="dxa"/>
          </w:tcPr>
          <w:p>
            <w:r>
              <w:t xml:space="preserve">155</w:t>
            </w:r>
          </w:p>
        </w:tc>
        <w:tc>
          <w:tcPr>
            <w:tcW w:w="3000" w:type="dxa"/>
          </w:tcPr>
          <w:p>
            <w:r>
              <w:t xml:space="preserve">+15%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다음 분기 계획</w:t>
      </w:r>
    </w:p>
    <w:p>
      <w:pPr>
        <w:numPr>
          <w:ilvl w:val="0"/>
          <w:numId w:val="2"/>
        </w:numPr>
      </w:pPr>
      <w:r>
        <w:t xml:space="preserve">신규 시장 진출 타당성 검토</w:t>
      </w:r>
    </w:p>
    <w:p>
      <w:pPr>
        <w:numPr>
          <w:ilvl w:val="0"/>
          <w:numId w:val="2"/>
        </w:numPr>
      </w:pPr>
      <w:r>
        <w:t xml:space="preserve">고객 피드백 기반 제품 개선</w:t>
      </w:r>
    </w:p>
    <w:p>
      <w:pPr>
        <w:numPr>
          <w:ilvl w:val="0"/>
          <w:numId w:val="2"/>
        </w:numPr>
      </w:pPr>
      <w:r>
        <w:t xml:space="preserve">파트너 프로그램 확대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  <w:lvl w:ilvl="2">
      <w:start w:val="1"/>
      <w:numFmt w:val="bullet"/>
      <w:lvlText w:val="▪"/>
      <w:pPr>
        <w:ind w:left="216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color w:val="2E5B9F"/>
      <w:sz w:val="32"/>
    </w:rPr>
  </w:style>
  <w:style w:type="paragraph" w:styleId="Heading2">
    <w:name w:val="heading 2"/>
    <w:pPr>
      <w:spacing w:before="200" w:after="100"/>
    </w:pPr>
    <w:rPr>
      <w:b/>
      <w:color w:val="2E5B9F"/>
      <w:sz w:val="2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Link" Type="http://schemas.openxmlformats.org/officeDocument/2006/relationships/hyperlink" Target="https://emptinessform.github.io/rdoc/" TargetMode="External"/></Relationships>
</file>