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C1AB3">
      <w:pPr>
        <w:snapToGrid w:val="0"/>
        <w:spacing w:line="360" w:lineRule="auto"/>
        <w:jc w:val="right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198880" cy="821055"/>
            <wp:effectExtent l="0" t="0" r="7620" b="4445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68FF65">
      <w:pPr>
        <w:snapToGrid w:val="0"/>
        <w:spacing w:line="360" w:lineRule="auto"/>
        <w:jc w:val="right"/>
        <w:rPr>
          <w:rFonts w:ascii="Times New Roman" w:hAnsi="Times New Roman" w:eastAsia="仿宋_GB2312" w:cs="Times New Roman"/>
          <w:sz w:val="32"/>
          <w:szCs w:val="32"/>
        </w:rPr>
      </w:pPr>
    </w:p>
    <w:p w14:paraId="7E1AB2A2">
      <w:pPr>
        <w:pStyle w:val="10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6143F519">
      <w:pPr>
        <w:pStyle w:val="10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071EB0DA">
      <w:pPr>
        <w:pStyle w:val="10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  </w:t>
      </w:r>
    </w:p>
    <w:p w14:paraId="3F735CD5">
      <w:pPr>
        <w:pStyle w:val="10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47BD35B7">
      <w:pPr>
        <w:pStyle w:val="10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40C27B42">
      <w:pPr>
        <w:pStyle w:val="10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025DBDDD">
      <w:pPr>
        <w:pStyle w:val="10"/>
        <w:adjustRightInd w:val="0"/>
        <w:snapToGrid w:val="0"/>
        <w:spacing w:before="0" w:line="240" w:lineRule="auto"/>
        <w:jc w:val="center"/>
        <w:rPr>
          <w:rFonts w:hint="default" w:eastAsia="宋体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</w:rPr>
        <w:t>导管架过渡段、剪力键有限元疲劳损伤及疲劳改善</w:t>
      </w:r>
      <w:r>
        <w:rPr>
          <w:rFonts w:hint="eastAsia"/>
          <w:b/>
          <w:sz w:val="44"/>
          <w:szCs w:val="44"/>
          <w:lang w:val="en-US" w:eastAsia="zh-CN"/>
        </w:rPr>
        <w:t>计算书</w:t>
      </w:r>
    </w:p>
    <w:p w14:paraId="61497F8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AF543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3F76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C47EA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63CD10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62B97A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5D3AE9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56A9CE9D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4B68524C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7C2A11B6">
      <w:pPr>
        <w:snapToGrid w:val="0"/>
        <w:spacing w:line="360" w:lineRule="auto"/>
        <w:ind w:left="420"/>
        <w:rPr>
          <w:rFonts w:ascii="Times New Roman" w:hAnsi="Times New Roman" w:eastAsia="仿宋_GB2312" w:cs="Times New Roman"/>
          <w:sz w:val="32"/>
          <w:szCs w:val="32"/>
        </w:rPr>
      </w:pPr>
    </w:p>
    <w:p w14:paraId="74F666BB">
      <w:pPr>
        <w:snapToGrid w:val="0"/>
        <w:spacing w:line="360" w:lineRule="auto"/>
        <w:ind w:left="420"/>
        <w:jc w:val="center"/>
        <w:rPr>
          <w:rFonts w:ascii="Times New Roman" w:hAnsi="Times New Roman" w:eastAsia="仿宋_GB2312" w:cs="Times New Roman"/>
          <w:sz w:val="28"/>
          <w:szCs w:val="32"/>
        </w:rPr>
      </w:pPr>
      <w:r>
        <w:rPr>
          <w:rFonts w:ascii="Times New Roman" w:hAnsi="Times New Roman" w:eastAsia="黑体" w:cs="Times New Roman"/>
          <w:sz w:val="28"/>
          <w:szCs w:val="32"/>
        </w:rPr>
        <w:t>中国能源建设集团山西省电力勘测设计院有限公司</w:t>
      </w:r>
    </w:p>
    <w:p w14:paraId="2BCFF844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  <w:r>
        <w:rPr>
          <w:rFonts w:ascii="Times New Roman" w:hAnsi="Times New Roman" w:eastAsia="黑体" w:cs="Times New Roman"/>
          <w:sz w:val="28"/>
          <w:szCs w:val="32"/>
        </w:rPr>
        <w:t xml:space="preserve">   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{year} </w:t>
      </w:r>
      <w:r>
        <w:rPr>
          <w:rFonts w:ascii="Times New Roman" w:hAnsi="Times New Roman" w:eastAsia="黑体" w:cs="Times New Roman"/>
          <w:sz w:val="28"/>
          <w:szCs w:val="32"/>
        </w:rPr>
        <w:t>年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 {month} </w:t>
      </w:r>
      <w:r>
        <w:rPr>
          <w:rFonts w:ascii="Times New Roman" w:hAnsi="Times New Roman" w:eastAsia="黑体" w:cs="Times New Roman"/>
          <w:sz w:val="28"/>
          <w:szCs w:val="32"/>
        </w:rPr>
        <w:t>月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 {day} </w:t>
      </w:r>
      <w:r>
        <w:rPr>
          <w:rFonts w:ascii="Times New Roman" w:hAnsi="Times New Roman" w:eastAsia="黑体" w:cs="Times New Roman"/>
          <w:sz w:val="28"/>
          <w:szCs w:val="32"/>
        </w:rPr>
        <w:t>日</w:t>
      </w:r>
    </w:p>
    <w:p w14:paraId="6F7E143E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0A126DA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78221A30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76CFD733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1D3ECC3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Times New Roman" w:hAnsi="Times New Roman" w:eastAsiaTheme="minorEastAsia" w:cstheme="minorBidi"/>
          <w:kern w:val="2"/>
          <w:sz w:val="32"/>
          <w:szCs w:val="32"/>
          <w:lang w:val="en-US" w:eastAsia="zh-CN" w:bidi="ar-SA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sdt>
      <w:sdtPr>
        <w:rPr>
          <w:rFonts w:ascii="Times New Roman" w:hAnsi="Times New Roman" w:eastAsiaTheme="minorEastAsia" w:cstheme="minorBidi"/>
          <w:kern w:val="2"/>
          <w:sz w:val="32"/>
          <w:szCs w:val="32"/>
          <w:lang w:val="en-US" w:eastAsia="zh-CN" w:bidi="ar-SA"/>
        </w:rPr>
        <w:id w:val="147467896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sdtEndPr>
      <w:sdtContent>
        <w:p w14:paraId="5E1D21E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Times New Roman" w:hAnsi="Times New Roman" w:eastAsiaTheme="minorEastAsia"/>
              <w:sz w:val="32"/>
              <w:szCs w:val="32"/>
            </w:rPr>
          </w:pPr>
          <w:r>
            <w:rPr>
              <w:rFonts w:ascii="Times New Roman" w:hAnsi="Times New Roman" w:eastAsiaTheme="minorEastAsia"/>
              <w:sz w:val="32"/>
              <w:szCs w:val="32"/>
            </w:rPr>
            <w:t>目录</w:t>
          </w:r>
        </w:p>
        <w:p w14:paraId="288EAC71">
          <w:pPr>
            <w:pStyle w:val="7"/>
            <w:tabs>
              <w:tab w:val="right" w:leader="dot" w:pos="8306"/>
            </w:tabs>
            <w:rPr>
              <w:rFonts w:ascii="Times New Roman" w:hAnsi="Times New Roman" w:eastAsiaTheme="minorEastAsia"/>
              <w:sz w:val="32"/>
              <w:szCs w:val="32"/>
            </w:rPr>
          </w:pP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instrText xml:space="preserve">TOC \o "1-3" \h \u </w:instrText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instrText xml:space="preserve"> HYPERLINK \l _Toc25916 </w:instrText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Theme="minorEastAsia"/>
              <w:sz w:val="32"/>
              <w:szCs w:val="32"/>
              <w:lang w:val="en-US" w:eastAsia="zh-CN"/>
            </w:rPr>
            <w:t>1.疲劳计算和焊缝改善原理</w:t>
          </w:r>
          <w:r>
            <w:rPr>
              <w:rFonts w:ascii="Times New Roman" w:hAnsi="Times New Roman" w:eastAsiaTheme="minorEastAsia"/>
              <w:sz w:val="32"/>
              <w:szCs w:val="32"/>
            </w:rPr>
            <w:tab/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begin"/>
          </w:r>
          <w:r>
            <w:rPr>
              <w:rFonts w:ascii="Times New Roman" w:hAnsi="Times New Roman" w:eastAsiaTheme="minorEastAsia"/>
              <w:sz w:val="32"/>
              <w:szCs w:val="32"/>
            </w:rPr>
            <w:instrText xml:space="preserve"> PAGEREF _Toc25916 \h </w:instrText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Theme="minorEastAsia"/>
              <w:sz w:val="32"/>
              <w:szCs w:val="32"/>
            </w:rPr>
            <w:t>1</w:t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end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18B4C637">
          <w:pPr>
            <w:pStyle w:val="4"/>
            <w:tabs>
              <w:tab w:val="right" w:leader="dot" w:pos="8306"/>
            </w:tabs>
            <w:rPr>
              <w:rFonts w:ascii="Times New Roman" w:hAnsi="Times New Roman" w:eastAsiaTheme="minorEastAsia"/>
              <w:sz w:val="32"/>
              <w:szCs w:val="32"/>
            </w:rPr>
          </w:pP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instrText xml:space="preserve"> HYPERLINK \l _Toc28158 </w:instrText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Theme="minorEastAsia"/>
              <w:sz w:val="32"/>
              <w:szCs w:val="32"/>
              <w:lang w:val="en-US" w:eastAsia="zh-CN"/>
            </w:rPr>
            <w:t>1.1疲劳计算方法</w:t>
          </w:r>
          <w:r>
            <w:rPr>
              <w:rFonts w:ascii="Times New Roman" w:hAnsi="Times New Roman" w:eastAsiaTheme="minorEastAsia"/>
              <w:sz w:val="32"/>
              <w:szCs w:val="32"/>
            </w:rPr>
            <w:tab/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begin"/>
          </w:r>
          <w:r>
            <w:rPr>
              <w:rFonts w:ascii="Times New Roman" w:hAnsi="Times New Roman" w:eastAsiaTheme="minorEastAsia"/>
              <w:sz w:val="32"/>
              <w:szCs w:val="32"/>
            </w:rPr>
            <w:instrText xml:space="preserve"> PAGEREF _Toc28158 \h </w:instrText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Theme="minorEastAsia"/>
              <w:sz w:val="32"/>
              <w:szCs w:val="32"/>
            </w:rPr>
            <w:t>1</w:t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end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5DE36D50">
          <w:pPr>
            <w:pStyle w:val="4"/>
            <w:tabs>
              <w:tab w:val="right" w:leader="dot" w:pos="8306"/>
            </w:tabs>
            <w:rPr>
              <w:rFonts w:ascii="Times New Roman" w:hAnsi="Times New Roman" w:eastAsiaTheme="minorEastAsia"/>
              <w:sz w:val="32"/>
              <w:szCs w:val="32"/>
            </w:rPr>
          </w:pP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instrText xml:space="preserve"> HYPERLINK \l _Toc24648 </w:instrText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Theme="minorEastAsia"/>
              <w:sz w:val="32"/>
              <w:szCs w:val="32"/>
              <w:lang w:val="en-US" w:eastAsia="zh-CN"/>
            </w:rPr>
            <w:t>1.2 焊缝改善原理</w:t>
          </w:r>
          <w:r>
            <w:rPr>
              <w:rFonts w:ascii="Times New Roman" w:hAnsi="Times New Roman" w:eastAsiaTheme="minorEastAsia"/>
              <w:sz w:val="32"/>
              <w:szCs w:val="32"/>
            </w:rPr>
            <w:tab/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begin"/>
          </w:r>
          <w:r>
            <w:rPr>
              <w:rFonts w:ascii="Times New Roman" w:hAnsi="Times New Roman" w:eastAsiaTheme="minorEastAsia"/>
              <w:sz w:val="32"/>
              <w:szCs w:val="32"/>
            </w:rPr>
            <w:instrText xml:space="preserve"> PAGEREF _Toc24648 \h </w:instrText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Theme="minorEastAsia"/>
              <w:sz w:val="32"/>
              <w:szCs w:val="32"/>
            </w:rPr>
            <w:t>2</w:t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end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2EC155D7">
          <w:pPr>
            <w:pStyle w:val="4"/>
            <w:tabs>
              <w:tab w:val="right" w:leader="dot" w:pos="8306"/>
            </w:tabs>
            <w:rPr>
              <w:rFonts w:ascii="Times New Roman" w:hAnsi="Times New Roman" w:eastAsiaTheme="minorEastAsia"/>
              <w:sz w:val="32"/>
              <w:szCs w:val="32"/>
            </w:rPr>
          </w:pP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instrText xml:space="preserve"> HYPERLINK \l _Toc31911 </w:instrText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Theme="minorEastAsia"/>
              <w:sz w:val="32"/>
              <w:szCs w:val="32"/>
              <w:lang w:val="en-US" w:eastAsia="zh-CN"/>
            </w:rPr>
            <w:t>1.3 设计疲劳系数与材料侧安全系数</w:t>
          </w:r>
          <w:r>
            <w:rPr>
              <w:rFonts w:ascii="Times New Roman" w:hAnsi="Times New Roman" w:eastAsiaTheme="minorEastAsia"/>
              <w:sz w:val="32"/>
              <w:szCs w:val="32"/>
            </w:rPr>
            <w:tab/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begin"/>
          </w:r>
          <w:r>
            <w:rPr>
              <w:rFonts w:ascii="Times New Roman" w:hAnsi="Times New Roman" w:eastAsiaTheme="minorEastAsia"/>
              <w:sz w:val="32"/>
              <w:szCs w:val="32"/>
            </w:rPr>
            <w:instrText xml:space="preserve"> PAGEREF _Toc31911 \h </w:instrText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Theme="minorEastAsia"/>
              <w:sz w:val="32"/>
              <w:szCs w:val="32"/>
            </w:rPr>
            <w:t>4</w:t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end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61BF4916">
          <w:pPr>
            <w:pStyle w:val="7"/>
            <w:tabs>
              <w:tab w:val="right" w:leader="dot" w:pos="8306"/>
            </w:tabs>
            <w:rPr>
              <w:rFonts w:ascii="Times New Roman" w:hAnsi="Times New Roman" w:eastAsiaTheme="minorEastAsia"/>
              <w:sz w:val="32"/>
              <w:szCs w:val="32"/>
            </w:rPr>
          </w:pP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instrText xml:space="preserve"> HYPERLINK \l _Toc17160 </w:instrText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Theme="minorEastAsia"/>
              <w:sz w:val="32"/>
              <w:szCs w:val="32"/>
              <w:lang w:val="en-US" w:eastAsia="zh-CN"/>
            </w:rPr>
            <w:t>2.计算过程</w:t>
          </w:r>
          <w:r>
            <w:rPr>
              <w:rFonts w:ascii="Times New Roman" w:hAnsi="Times New Roman" w:eastAsiaTheme="minorEastAsia"/>
              <w:sz w:val="32"/>
              <w:szCs w:val="32"/>
            </w:rPr>
            <w:tab/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begin"/>
          </w:r>
          <w:r>
            <w:rPr>
              <w:rFonts w:ascii="Times New Roman" w:hAnsi="Times New Roman" w:eastAsiaTheme="minorEastAsia"/>
              <w:sz w:val="32"/>
              <w:szCs w:val="32"/>
            </w:rPr>
            <w:instrText xml:space="preserve"> PAGEREF _Toc17160 \h </w:instrText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Theme="minorEastAsia"/>
              <w:sz w:val="32"/>
              <w:szCs w:val="32"/>
            </w:rPr>
            <w:t>5</w:t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end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56D8E7C4">
          <w:pPr>
            <w:pStyle w:val="4"/>
            <w:tabs>
              <w:tab w:val="right" w:leader="dot" w:pos="8306"/>
            </w:tabs>
            <w:rPr>
              <w:rFonts w:ascii="Times New Roman" w:hAnsi="Times New Roman" w:eastAsiaTheme="minorEastAsia"/>
              <w:sz w:val="32"/>
              <w:szCs w:val="32"/>
            </w:rPr>
          </w:pP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instrText xml:space="preserve"> HYPERLINK \l _Toc32220 </w:instrText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Theme="minorEastAsia"/>
              <w:sz w:val="32"/>
              <w:szCs w:val="32"/>
              <w:lang w:val="en-US" w:eastAsia="zh-CN"/>
            </w:rPr>
            <w:t>2.1 参数取值与累计疲劳损伤计算</w:t>
          </w:r>
          <w:r>
            <w:rPr>
              <w:rFonts w:ascii="Times New Roman" w:hAnsi="Times New Roman" w:eastAsiaTheme="minorEastAsia"/>
              <w:sz w:val="32"/>
              <w:szCs w:val="32"/>
            </w:rPr>
            <w:tab/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begin"/>
          </w:r>
          <w:r>
            <w:rPr>
              <w:rFonts w:ascii="Times New Roman" w:hAnsi="Times New Roman" w:eastAsiaTheme="minorEastAsia"/>
              <w:sz w:val="32"/>
              <w:szCs w:val="32"/>
            </w:rPr>
            <w:instrText xml:space="preserve"> PAGEREF _Toc32220 \h </w:instrText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Theme="minorEastAsia"/>
              <w:sz w:val="32"/>
              <w:szCs w:val="32"/>
            </w:rPr>
            <w:t>5</w:t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end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67398FCD">
          <w:pPr>
            <w:pStyle w:val="4"/>
            <w:tabs>
              <w:tab w:val="right" w:leader="dot" w:pos="8306"/>
            </w:tabs>
            <w:rPr>
              <w:rFonts w:ascii="Times New Roman" w:hAnsi="Times New Roman" w:eastAsiaTheme="minorEastAsia"/>
              <w:sz w:val="32"/>
              <w:szCs w:val="32"/>
            </w:rPr>
          </w:pP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instrText xml:space="preserve"> HYPERLINK \l _Toc16937 </w:instrText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Theme="minorEastAsia"/>
              <w:sz w:val="32"/>
              <w:szCs w:val="32"/>
              <w:lang w:val="en-US" w:eastAsia="zh-CN"/>
            </w:rPr>
            <w:t>2.1 T型对接焊缝的焊缝疲劳改善</w:t>
          </w:r>
          <w:r>
            <w:rPr>
              <w:rFonts w:ascii="Times New Roman" w:hAnsi="Times New Roman" w:eastAsiaTheme="minorEastAsia"/>
              <w:sz w:val="32"/>
              <w:szCs w:val="32"/>
            </w:rPr>
            <w:tab/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begin"/>
          </w:r>
          <w:r>
            <w:rPr>
              <w:rFonts w:ascii="Times New Roman" w:hAnsi="Times New Roman" w:eastAsiaTheme="minorEastAsia"/>
              <w:sz w:val="32"/>
              <w:szCs w:val="32"/>
            </w:rPr>
            <w:instrText xml:space="preserve"> PAGEREF _Toc16937 \h </w:instrText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Theme="minorEastAsia"/>
              <w:sz w:val="32"/>
              <w:szCs w:val="32"/>
            </w:rPr>
            <w:t>6</w:t>
          </w:r>
          <w:r>
            <w:rPr>
              <w:rFonts w:ascii="Times New Roman" w:hAnsi="Times New Roman" w:eastAsiaTheme="minorEastAsia"/>
              <w:sz w:val="32"/>
              <w:szCs w:val="32"/>
            </w:rPr>
            <w:fldChar w:fldCharType="end"/>
          </w: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18EAD02D">
          <w:pPr>
            <w:snapToGrid w:val="0"/>
            <w:spacing w:line="360" w:lineRule="auto"/>
            <w:jc w:val="center"/>
            <w:rPr>
              <w:rFonts w:ascii="Times New Roman" w:hAnsi="Times New Roman" w:eastAsia="黑体" w:cs="Times New Roman"/>
              <w:kern w:val="2"/>
              <w:sz w:val="21"/>
              <w:szCs w:val="32"/>
              <w:lang w:val="en-US" w:eastAsia="zh-CN" w:bidi="ar-SA"/>
            </w:rPr>
          </w:pPr>
          <w:r>
            <w:rPr>
              <w:rFonts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</w:sdtContent>
    </w:sdt>
    <w:p w14:paraId="4C5BE0E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CAA37F3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22E1D398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9381DBF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3E944D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402F1ACC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4AF3C18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8AC6014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D6AFBD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F320E87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28F5C71D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627A305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6824F2BB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99BB5DA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4C02BB4A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7986992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AEE3BF0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6C183D20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7E7DB133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6609C2AA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7CC2B198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21FD298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678C150A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241D9480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268A7FCC">
      <w:pPr>
        <w:pStyle w:val="2"/>
        <w:bidi w:val="0"/>
        <w:rPr>
          <w:rFonts w:hint="eastAsia"/>
          <w:lang w:val="en-US" w:eastAsia="zh-CN"/>
        </w:rPr>
      </w:pPr>
      <w:bookmarkStart w:id="0" w:name="_Toc25916"/>
      <w:r>
        <w:rPr>
          <w:rFonts w:hint="eastAsia"/>
          <w:lang w:val="en-US" w:eastAsia="zh-CN"/>
        </w:rPr>
        <w:t>1.疲劳计算和焊缝改善原理</w:t>
      </w:r>
      <w:bookmarkEnd w:id="0"/>
    </w:p>
    <w:p w14:paraId="6C17BE71">
      <w:pPr>
        <w:pStyle w:val="3"/>
        <w:bidi w:val="0"/>
        <w:rPr>
          <w:rFonts w:hint="default"/>
          <w:lang w:val="en-US" w:eastAsia="zh-CN"/>
        </w:rPr>
      </w:pPr>
      <w:bookmarkStart w:id="1" w:name="_Toc28158"/>
      <w:r>
        <w:rPr>
          <w:rFonts w:hint="eastAsia"/>
          <w:lang w:val="en-US" w:eastAsia="zh-CN"/>
        </w:rPr>
        <w:t>1.1疲劳计算方法</w:t>
      </w:r>
      <w:bookmarkEnd w:id="1"/>
    </w:p>
    <w:p w14:paraId="04B78877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480" w:firstLineChars="200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依据DNVGL-RP-C203中2.4.3节，疲劳强度根据下式计算：</w:t>
      </w:r>
    </w:p>
    <w:p w14:paraId="38B3ACBE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jc w:val="center"/>
        <w:rPr>
          <w:rFonts w:hint="default" w:ascii="Times New Roman" w:hAnsi="Times New Roman" w:cs="Times New Roman" w:eastAsiaTheme="minorEastAsia"/>
          <w:b w:val="0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log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N=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log</m:t>
          </m:r>
          <m:acc>
            <m:accPr>
              <m:chr m:val="̅"/>
              <m:ctrlPr>
                <w:rPr>
                  <w:rFonts w:hint="eastAsia"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accPr>
            <m:e>
              <m:r>
                <m:rPr>
                  <m:sty m:val="p"/>
                </m:rPr>
                <w:rPr>
                  <w:rFonts w:hint="eastAsia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</m:t>
              </m:r>
              <m:ctrlPr>
                <w:rPr>
                  <w:rFonts w:hint="eastAsia"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</m:acc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−mlog(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bidi="ar-SA"/>
            </w:rPr>
            <m:t>∆σ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(</m:t>
          </m:r>
          <m:sSup>
            <m:sSupPr>
              <m:ctrlPr>
                <w:rPr>
                  <w:rFonts w:hint="default"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sSupPr>
            <m:e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Times New Roman" w:hAnsi="Times New Roman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Times New Roman" w:hAnsi="Times New Roman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Times New Roman" w:hAnsi="Times New Roman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ref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)</m:t>
          </m:r>
        </m:oMath>
      </m:oMathPara>
    </w:p>
    <w:p w14:paraId="3201ADBB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jc w:val="center"/>
        <w:rPr>
          <w:rFonts w:hint="default" w:ascii="Times New Roman" w:hAnsi="Times New Roman" w:cs="Times New Roman" w:eastAsiaTheme="minorEastAsia"/>
          <w:b w:val="0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log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N=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log</m:t>
          </m:r>
          <m:acc>
            <m:accPr>
              <m:chr m:val="̅"/>
              <m:ctrlPr>
                <w:rPr>
                  <w:rFonts w:hint="eastAsia"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accPr>
            <m:e>
              <m:r>
                <m:rPr>
                  <m:sty m:val="p"/>
                </m:rPr>
                <w:rPr>
                  <w:rFonts w:hint="eastAsia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</m:t>
              </m:r>
              <m:ctrlPr>
                <w:rPr>
                  <w:rFonts w:hint="eastAsia"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</m:acc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−mlog(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（</m:t>
          </m:r>
          <m:sSub>
            <m:sSubPr>
              <m:ctrlPr>
                <w:rPr>
                  <w:rFonts w:hint="eastAsia" w:ascii="Cambria Math" w:hAnsi="Cambria Math" w:cs="Times New Roman" w:eastAsiaTheme="minorEastAsia"/>
                  <w:b w:val="0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  <m:t>γ</m:t>
              </m:r>
              <m:ctrlPr>
                <w:rPr>
                  <w:rFonts w:hint="eastAsia" w:ascii="Cambria Math" w:hAnsi="Cambria Math" w:cs="Times New Roman" w:eastAsiaTheme="minorEastAsia"/>
                  <w:b w:val="0"/>
                  <w:i w:val="0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m</m:t>
              </m:r>
              <m:ctrlPr>
                <w:rPr>
                  <w:rFonts w:hint="eastAsia" w:ascii="Cambria Math" w:hAnsi="Cambria Math" w:cs="Times New Roman" w:eastAsiaTheme="minorEastAsia"/>
                  <w:b w:val="0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bidi="ar-SA"/>
            </w:rPr>
            <m:t>×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SCF</m:t>
          </m:r>
          <m:r>
            <m:rPr>
              <m:sty m:val="p"/>
            </m:rPr>
            <w:rPr>
              <w:rFonts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bidi="ar-SA"/>
            </w:rPr>
            <m:t>×σ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）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(</m:t>
          </m:r>
          <m:sSup>
            <m:sSupPr>
              <m:ctrlPr>
                <w:rPr>
                  <w:rFonts w:hint="default"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sSupPr>
            <m:e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Times New Roman" w:hAnsi="Times New Roman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Times New Roman" w:hAnsi="Times New Roman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Times New Roman" w:hAnsi="Times New Roman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ref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)</m:t>
          </m:r>
        </m:oMath>
      </m:oMathPara>
    </w:p>
    <w:p w14:paraId="15850764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其中：m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—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S-N曲线的负逆斜率，根据选择曲线，在表1-1中取值；</w:t>
      </w:r>
    </w:p>
    <w:p w14:paraId="2EDAD7E1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 xml:space="preserve">      loga —对数N轴的截距，根据选择曲线，在表1-1中取值；</w:t>
      </w:r>
    </w:p>
    <w:p w14:paraId="57ED0797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 xml:space="preserve">      t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vertAlign w:val="subscript"/>
          <w:lang w:val="en-US" w:eastAsia="zh-CN"/>
        </w:rPr>
        <w:t>ref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 xml:space="preserve"> —参考厚度，对于非管状焊接，焊接连接（管状接头除外）的参</w:t>
      </w:r>
    </w:p>
    <w:p w14:paraId="13BA2F0A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1200" w:firstLineChars="500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考厚度为25毫米。对于管状接头，参考厚度为16毫米。螺栓的参考</w:t>
      </w:r>
    </w:p>
    <w:p w14:paraId="50C86F3F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1200" w:firstLineChars="500"/>
        <w:jc w:val="left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厚度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为2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5毫米;</w:t>
      </w:r>
    </w:p>
    <w:tbl>
      <w:tblPr>
        <w:tblStyle w:val="8"/>
        <w:tblW w:w="430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960"/>
        <w:gridCol w:w="961"/>
        <w:gridCol w:w="963"/>
      </w:tblGrid>
      <w:tr w14:paraId="18410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DB1F9">
            <w:pPr>
              <w:rPr>
                <w:rFonts w:hint="eastAsia" w:ascii="Times New Roman" w:hAnsi="Times New Roman" w:cs="宋体" w:eastAsia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164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宋体" w:eastAsia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非管状节点mm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0CF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宋体" w:eastAsia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管状节点mm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E16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宋体" w:eastAsia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螺栓mm</w:t>
            </w:r>
          </w:p>
        </w:tc>
      </w:tr>
      <w:tr w14:paraId="1646B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011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宋体" w:eastAsia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参考厚度tref 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B91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宋体" w:eastAsia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4B9C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宋体" w:eastAsia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107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宋体" w:eastAsia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</w:tr>
    </w:tbl>
    <w:p w14:paraId="5BCBF4B9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rPr>
          <w:rFonts w:hint="default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</w:p>
    <w:p w14:paraId="3C04BBFA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1200" w:firstLineChars="500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t—裂缝最有可能增加的厚度，取板厚度；</w:t>
      </w:r>
    </w:p>
    <w:p w14:paraId="301D04F5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1200" w:firstLineChars="500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k—疲劳强度的厚度指数，根据选择曲线，在表1-1中取值；</w:t>
      </w:r>
    </w:p>
    <w:p w14:paraId="7D800AFC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1200" w:firstLineChars="500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m:oMath>
        <m:r>
          <m:rPr>
            <m:sty m:val="p"/>
          </m:rPr>
          <w:rPr>
            <w:rFonts w:ascii="Times New Roman" w:hAnsi="Times New Roman" w:cs="Times New Roman" w:eastAsiaTheme="minorEastAsia"/>
            <w:color w:val="000000"/>
            <w:sz w:val="24"/>
            <w:szCs w:val="24"/>
            <w:highlight w:val="none"/>
            <w:lang w:val="en-US"/>
          </w:rPr>
          <m:t>∆</m:t>
        </m:r>
        <m:r>
          <m:rPr>
            <m:sty m:val="p"/>
          </m:rPr>
          <w:rPr>
            <w:rFonts w:hint="default" w:ascii="Times New Roman" w:hAnsi="Times New Roman" w:cs="Cambria Math" w:eastAsiaTheme="minorEastAsia"/>
            <w:color w:val="000000"/>
            <w:sz w:val="24"/>
            <w:szCs w:val="24"/>
            <w:highlight w:val="none"/>
            <w:lang w:val="en-US"/>
          </w:rPr>
          <m:t>σ</m:t>
        </m:r>
      </m:oMath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—为应力幅值，取等效疲劳荷载下的有效应力值。</w:t>
      </w:r>
    </w:p>
    <w:p w14:paraId="0F6EF03B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960" w:firstLineChars="400"/>
        <w:rPr>
          <w:rFonts w:hint="default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对过渡段选用DNVGL-C203中的表1-1进行疲劳计算，如下表和下图所示。注：（由于过渡段处于空气中，所以取空气中的S-N曲线）</w:t>
      </w:r>
    </w:p>
    <w:p w14:paraId="4077A80C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</w:p>
    <w:p w14:paraId="2FAE5BA2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</w:p>
    <w:p w14:paraId="1622E2C4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</w:p>
    <w:p w14:paraId="5AE514FE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</w:p>
    <w:p w14:paraId="6E6FBCD9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</w:p>
    <w:p w14:paraId="6FD4506C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</w:p>
    <w:p w14:paraId="1C2CDD55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</w:p>
    <w:p w14:paraId="77B049D2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</w:p>
    <w:p w14:paraId="4E3D9195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表1-1 空气中S-N曲线参数表</w:t>
      </w:r>
    </w:p>
    <w:p w14:paraId="36F81E13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jc w:val="center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3997960" cy="2009775"/>
            <wp:effectExtent l="0" t="0" r="2540" b="9525"/>
            <wp:docPr id="6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8"/>
                    <pic:cNvPicPr>
                      <a:picLocks noChangeAspect="1"/>
                    </pic:cNvPicPr>
                  </pic:nvPicPr>
                  <pic:blipFill>
                    <a:blip r:embed="rId8"/>
                    <a:srcRect t="6244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EDD33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jc w:val="center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3960495" cy="2251075"/>
            <wp:effectExtent l="0" t="0" r="1905" b="9525"/>
            <wp:docPr id="6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9"/>
                    <pic:cNvPicPr>
                      <a:picLocks noChangeAspect="1"/>
                    </pic:cNvPicPr>
                  </pic:nvPicPr>
                  <pic:blipFill>
                    <a:blip r:embed="rId9"/>
                    <a:srcRect b="6131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3449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图1-1 空气中S-N曲线图</w:t>
      </w:r>
    </w:p>
    <w:p w14:paraId="0C3059D6">
      <w:pPr>
        <w:pStyle w:val="3"/>
        <w:bidi w:val="0"/>
        <w:rPr>
          <w:rFonts w:hint="default"/>
          <w:lang w:val="en-US" w:eastAsia="zh-CN"/>
        </w:rPr>
      </w:pPr>
      <w:bookmarkStart w:id="2" w:name="_Toc24648"/>
      <w:r>
        <w:rPr>
          <w:rFonts w:hint="eastAsia"/>
          <w:lang w:val="en-US" w:eastAsia="zh-CN"/>
        </w:rPr>
        <w:t>1.2 焊缝改善原理</w:t>
      </w:r>
      <w:bookmarkEnd w:id="2"/>
    </w:p>
    <w:p w14:paraId="242CBC15">
      <w:pPr>
        <w:keepNext w:val="0"/>
        <w:keepLines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0" w:afterAutospacing="0" w:line="360" w:lineRule="auto"/>
        <w:ind w:right="0" w:rightChars="0" w:firstLine="480" w:firstLineChars="200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依据DNVGL-C203中7.2章规定，焊缝改善规定内容如下：</w:t>
      </w:r>
    </w:p>
    <w:p w14:paraId="4919FC93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</w:rPr>
        <w:t>采用焊缝剖面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改善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</w:rPr>
        <w:t>，考虑局部应力集中系数降低，计算的疲劳寿命可以增加。通过以下方法可获得由于焊缝剖面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改善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</w:rPr>
        <w:t>而降低的局部应力。</w:t>
      </w:r>
    </w:p>
    <w:p w14:paraId="6C77549B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</w:rPr>
        <w:t>进行焊缝剖面分析时，可计算出降低的热点应力，如下所示：</w:t>
      </w:r>
    </w:p>
    <w:p w14:paraId="59BA3D21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Theme="minorEastAsia"/>
                  <w:i/>
                  <w:color w:val="000000"/>
                  <w:highlight w:val="none"/>
                </w:rPr>
              </m:ctrlPr>
            </m:sSubPr>
            <m:e>
              <m:r>
                <m:rPr/>
                <w:rPr>
                  <w:rFonts w:hint="default" w:ascii="Times New Roman" w:hAnsi="Times New Roman" w:eastAsiaTheme="minorEastAsia"/>
                  <w:color w:val="000000"/>
                  <w:highlight w:val="none"/>
                </w:rPr>
                <m:t>σ</m:t>
              </m:r>
              <m:ctrlPr>
                <w:rPr>
                  <w:rFonts w:hint="default" w:ascii="Cambria Math" w:hAnsi="Cambria Math" w:eastAsiaTheme="minorEastAsia"/>
                  <w:i/>
                  <w:color w:val="000000"/>
                  <w:highlight w:val="none"/>
                </w:rPr>
              </m:ctrlPr>
            </m:e>
            <m:sub>
              <m:r>
                <m:rPr/>
                <w:rPr>
                  <w:rFonts w:hint="default" w:ascii="Times New Roman" w:hAnsi="Times New Roman" w:eastAsiaTheme="minorEastAsia"/>
                  <w:color w:val="000000"/>
                  <w:highlight w:val="none"/>
                  <w:lang w:val="en-US" w:eastAsia="zh-CN"/>
                </w:rPr>
                <m:t>Local reduced</m:t>
              </m:r>
              <m:ctrlPr>
                <w:rPr>
                  <w:rFonts w:hint="default" w:ascii="Cambria Math" w:hAnsi="Cambria Math" w:eastAsiaTheme="minorEastAsia"/>
                  <w:i/>
                  <w:color w:val="000000"/>
                  <w:highlight w:val="none"/>
                </w:rPr>
              </m:ctrlPr>
            </m:sub>
          </m:sSub>
          <m:r>
            <m:rPr/>
            <w:rPr>
              <w:rFonts w:hint="default" w:ascii="Times New Roman" w:hAnsi="Times New Roman" w:eastAsiaTheme="minorEastAsia"/>
              <w:color w:val="000000"/>
              <w:highlight w:val="none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 w:eastAsiaTheme="minorEastAsia"/>
                  <w:i/>
                  <w:color w:val="000000"/>
                  <w:highlight w:val="none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Times New Roman" w:hAnsi="Times New Roman" w:eastAsiaTheme="minorEastAsia"/>
                  <w:color w:val="000000"/>
                  <w:highlight w:val="none"/>
                  <w:lang w:val="en-US"/>
                </w:rPr>
                <m:t>σ</m:t>
              </m:r>
              <m:ctrlPr>
                <w:rPr>
                  <w:rFonts w:hint="default" w:ascii="Cambria Math" w:hAnsi="Cambria Math" w:eastAsiaTheme="minorEastAsia"/>
                  <w:i/>
                  <w:color w:val="000000"/>
                  <w:highlight w:val="none"/>
                  <w:lang w:val="en-US" w:eastAsia="zh-CN"/>
                </w:rPr>
              </m:ctrlPr>
            </m:e>
            <m:sub>
              <m:r>
                <m:rPr/>
                <w:rPr>
                  <w:rFonts w:hint="default" w:ascii="Times New Roman" w:hAnsi="Times New Roman" w:eastAsiaTheme="minorEastAsia"/>
                  <w:color w:val="000000"/>
                  <w:highlight w:val="none"/>
                  <w:lang w:val="en-US" w:eastAsia="zh-CN"/>
                </w:rPr>
                <m:t>Membrane</m:t>
              </m:r>
              <m:ctrlPr>
                <w:rPr>
                  <w:rFonts w:hint="default" w:ascii="Cambria Math" w:hAnsi="Cambria Math" w:eastAsiaTheme="minorEastAsia"/>
                  <w:i/>
                  <w:color w:val="000000"/>
                  <w:highlight w:val="none"/>
                  <w:lang w:val="en-US" w:eastAsia="zh-CN"/>
                </w:rPr>
              </m:ctrlPr>
            </m:sub>
          </m:sSub>
          <m:r>
            <m:rPr/>
            <w:rPr>
              <w:rFonts w:hint="default" w:ascii="Times New Roman" w:hAnsi="Times New Roman" w:cs="Cambria Math" w:eastAsiaTheme="minorEastAsia"/>
              <w:color w:val="000000"/>
              <w:highlight w:val="none"/>
              <w:lang w:val="en-US" w:eastAsia="zh-CN"/>
            </w:rPr>
            <m:t>α</m:t>
          </m:r>
          <m:r>
            <m:rPr/>
            <w:rPr>
              <w:rFonts w:hint="default" w:ascii="Times New Roman" w:hAnsi="Times New Roman" w:eastAsiaTheme="minorEastAsia"/>
              <w:color w:val="000000"/>
              <w:highlight w:val="none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eastAsiaTheme="minorEastAsia"/>
                  <w:i/>
                  <w:color w:val="000000"/>
                  <w:highlight w:val="none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Times New Roman" w:hAnsi="Times New Roman" w:eastAsiaTheme="minorEastAsia"/>
                  <w:color w:val="000000"/>
                  <w:highlight w:val="none"/>
                  <w:lang w:val="en-US"/>
                </w:rPr>
                <m:t>σ</m:t>
              </m:r>
              <m:ctrlPr>
                <w:rPr>
                  <w:rFonts w:hint="default" w:ascii="Cambria Math" w:hAnsi="Cambria Math" w:eastAsiaTheme="minorEastAsia"/>
                  <w:i/>
                  <w:color w:val="000000"/>
                  <w:highlight w:val="none"/>
                  <w:lang w:val="en-US" w:eastAsia="zh-CN"/>
                </w:rPr>
              </m:ctrlPr>
            </m:e>
            <m:sub>
              <m:r>
                <m:rPr/>
                <w:rPr>
                  <w:rFonts w:hint="default" w:ascii="Times New Roman" w:hAnsi="Times New Roman" w:eastAsiaTheme="minorEastAsia"/>
                  <w:color w:val="000000"/>
                  <w:highlight w:val="none"/>
                  <w:lang w:val="en-US" w:eastAsia="zh-CN"/>
                </w:rPr>
                <m:t>Bending</m:t>
              </m:r>
              <m:ctrlPr>
                <w:rPr>
                  <w:rFonts w:hint="default" w:ascii="Cambria Math" w:hAnsi="Cambria Math" w:eastAsiaTheme="minorEastAsia"/>
                  <w:i/>
                  <w:color w:val="000000"/>
                  <w:highlight w:val="none"/>
                  <w:lang w:val="en-US" w:eastAsia="zh-CN"/>
                </w:rPr>
              </m:ctrlPr>
            </m:sub>
          </m:sSub>
          <m:r>
            <m:rPr/>
            <w:rPr>
              <w:rFonts w:hint="default" w:ascii="Times New Roman" w:hAnsi="Times New Roman" w:cs="Cambria Math" w:eastAsiaTheme="minorEastAsia"/>
              <w:color w:val="000000"/>
              <w:highlight w:val="none"/>
              <w:lang w:val="en-US" w:eastAsia="zh-CN"/>
            </w:rPr>
            <m:t>β</m:t>
          </m:r>
        </m:oMath>
      </m:oMathPara>
    </w:p>
    <w:p w14:paraId="197098F3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</w:rPr>
        <w:t>其中α和β分别由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下式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</w:rPr>
        <w:t>得出。</w:t>
      </w:r>
    </w:p>
    <w:p w14:paraId="6EEBB10F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840" w:firstLineChars="400"/>
        <w:rPr>
          <w:rFonts w:hint="eastAsia" w:ascii="Times New Roman" w:hAnsi="Times New Roman" w:cs="Cambria Math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Times New Roman" w:hAnsi="Times New Roman" w:eastAsiaTheme="minorEastAsia"/>
              <w:color w:val="000000"/>
              <w:highlight w:val="none"/>
            </w:rPr>
            <m:t>α</m:t>
          </m:r>
          <m:r>
            <m:rPr>
              <m:sty m:val="p"/>
            </m:rPr>
            <w:rPr>
              <w:rFonts w:hint="default" w:ascii="Times New Roman" w:hAnsi="Times New Roman" w:eastAsiaTheme="minorEastAsia"/>
              <w:color w:val="000000"/>
              <w:highlight w:val="none"/>
              <w:lang w:val="en-US" w:eastAsia="zh-CN"/>
            </w:rPr>
            <m:t>=0.47+0.17</m:t>
          </m:r>
          <m:r>
            <m:rPr>
              <m:sty m:val="p"/>
            </m:rPr>
            <w:rPr>
              <w:rFonts w:hint="default" w:ascii="Times New Roman" w:hAnsi="Times New Roman" w:cs="Cambria Math" w:eastAsiaTheme="minorEastAsia"/>
              <w:color w:val="000000"/>
              <w:highlight w:val="none"/>
              <w:lang w:val="en-US" w:eastAsia="zh-CN"/>
            </w:rPr>
            <m:t>×</m:t>
          </m:r>
          <m:sSup>
            <m:sSupPr>
              <m:ctrlPr>
                <w:rPr>
                  <w:rFonts w:hint="default" w:ascii="Cambria Math" w:hAnsi="Cambria Math" w:cs="Cambria Math" w:eastAsiaTheme="minorEastAsia"/>
                  <w:color w:val="000000"/>
                  <w:highlight w:val="none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 w:cs="Cambria Math" w:eastAsiaTheme="minorEastAsia"/>
                  <w:color w:val="000000"/>
                  <w:highlight w:val="none"/>
                  <w:lang w:val="en-US" w:eastAsia="zh-CN"/>
                </w:rPr>
                <m:t>(tan</m:t>
              </m:r>
              <m:r>
                <m:rPr>
                  <m:sty m:val="p"/>
                </m:rPr>
                <w:rPr>
                  <w:rFonts w:hint="default" w:ascii="Times New Roman" w:hAnsi="Times New Roman" w:cs="Cambria Math" w:eastAsiaTheme="minorEastAsia"/>
                  <w:color w:val="000000"/>
                  <w:highlight w:val="none"/>
                  <w:lang w:val="en-US"/>
                </w:rPr>
                <m:t>φ</m:t>
              </m:r>
              <m:r>
                <m:rPr>
                  <m:sty m:val="p"/>
                </m:rPr>
                <w:rPr>
                  <w:rFonts w:hint="default" w:ascii="Times New Roman" w:hAnsi="Times New Roman" w:cs="Cambria Math" w:eastAsiaTheme="minorEastAsia"/>
                  <w:color w:val="000000"/>
                  <w:highlight w:val="none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Cambria Math" w:eastAsiaTheme="minorEastAsia"/>
                  <w:color w:val="000000"/>
                  <w:highlight w:val="none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 w:cs="Cambria Math" w:eastAsiaTheme="minorEastAsia"/>
                  <w:color w:val="000000"/>
                  <w:highlight w:val="none"/>
                  <w:lang w:val="en-US" w:eastAsia="zh-CN"/>
                </w:rPr>
                <m:t>0.25</m:t>
              </m:r>
              <m:ctrlPr>
                <w:rPr>
                  <w:rFonts w:hint="default" w:ascii="Cambria Math" w:hAnsi="Cambria Math" w:cs="Cambria Math" w:eastAsiaTheme="minorEastAsia"/>
                  <w:color w:val="000000"/>
                  <w:highlight w:val="none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 w:cs="Cambria Math" w:eastAsiaTheme="minorEastAsia"/>
              <w:color w:val="000000"/>
              <w:highlight w:val="none"/>
              <w:lang w:val="en-US" w:eastAsia="zh-CN"/>
            </w:rPr>
            <m:t>×</m:t>
          </m:r>
          <m:sSup>
            <m:sSupPr>
              <m:ctrlPr>
                <w:rPr>
                  <w:rFonts w:hint="default" w:ascii="Cambria Math" w:hAnsi="Cambria Math" w:cs="Cambria Math" w:eastAsiaTheme="minorEastAsia"/>
                  <w:color w:val="000000"/>
                  <w:highlight w:val="none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 w:cs="Cambria Math" w:eastAsiaTheme="minorEastAsia"/>
                  <w:color w:val="000000"/>
                  <w:highlight w:val="none"/>
                  <w:lang w:val="en-US" w:eastAsia="zh-CN"/>
                </w:rPr>
                <m:t>(T/R)</m:t>
              </m:r>
              <m:ctrlPr>
                <w:rPr>
                  <w:rFonts w:hint="default" w:ascii="Cambria Math" w:hAnsi="Cambria Math" w:cs="Cambria Math" w:eastAsiaTheme="minorEastAsia"/>
                  <w:color w:val="000000"/>
                  <w:highlight w:val="none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 w:cs="Cambria Math" w:eastAsiaTheme="minorEastAsia"/>
                  <w:color w:val="000000"/>
                  <w:highlight w:val="none"/>
                  <w:lang w:val="en-US" w:eastAsia="zh-CN"/>
                </w:rPr>
                <m:t>0.5</m:t>
              </m:r>
              <m:ctrlPr>
                <w:rPr>
                  <w:rFonts w:hint="default" w:ascii="Cambria Math" w:hAnsi="Cambria Math" w:cs="Cambria Math" w:eastAsiaTheme="minorEastAsia"/>
                  <w:color w:val="000000"/>
                  <w:highlight w:val="none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 w:cs="Cambria Math" w:eastAsiaTheme="minorEastAsia"/>
              <w:color w:val="000000"/>
              <w:highlight w:val="none"/>
              <w:lang w:val="en-US" w:eastAsia="zh-CN"/>
            </w:rPr>
            <m:t xml:space="preserve"> </m:t>
          </m:r>
        </m:oMath>
      </m:oMathPara>
    </w:p>
    <w:p w14:paraId="149856D3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840" w:firstLineChars="400"/>
        <w:rPr>
          <w:rFonts w:hint="eastAsia" w:ascii="Times New Roman" w:hAnsi="Times New Roman" w:cs="Cambria Math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Times New Roman" w:hAnsi="Times New Roman" w:eastAsiaTheme="minorEastAsia"/>
              <w:color w:val="000000"/>
              <w:highlight w:val="none"/>
              <w:lang w:val="en-US"/>
            </w:rPr>
            <m:t>β</m:t>
          </m:r>
          <m:r>
            <m:rPr>
              <m:sty m:val="p"/>
            </m:rPr>
            <w:rPr>
              <w:rFonts w:hint="default" w:ascii="Times New Roman" w:hAnsi="Times New Roman" w:eastAsiaTheme="minorEastAsia"/>
              <w:color w:val="000000"/>
              <w:highlight w:val="none"/>
              <w:lang w:val="en-US" w:eastAsia="zh-CN"/>
            </w:rPr>
            <m:t>=0.60+0.13</m:t>
          </m:r>
          <m:r>
            <m:rPr>
              <m:sty m:val="p"/>
            </m:rPr>
            <w:rPr>
              <w:rFonts w:hint="default" w:ascii="Times New Roman" w:hAnsi="Times New Roman" w:cs="Cambria Math" w:eastAsiaTheme="minorEastAsia"/>
              <w:color w:val="000000"/>
              <w:highlight w:val="none"/>
              <w:lang w:val="en-US" w:eastAsia="zh-CN"/>
            </w:rPr>
            <m:t>×</m:t>
          </m:r>
          <m:sSup>
            <m:sSupPr>
              <m:ctrlPr>
                <w:rPr>
                  <w:rFonts w:hint="default" w:ascii="Cambria Math" w:hAnsi="Cambria Math" w:cs="Cambria Math" w:eastAsiaTheme="minorEastAsia"/>
                  <w:color w:val="000000"/>
                  <w:highlight w:val="none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 w:cs="Cambria Math" w:eastAsiaTheme="minorEastAsia"/>
                  <w:color w:val="000000"/>
                  <w:highlight w:val="none"/>
                  <w:lang w:val="en-US" w:eastAsia="zh-CN"/>
                </w:rPr>
                <m:t>(tan</m:t>
              </m:r>
              <m:r>
                <m:rPr>
                  <m:sty m:val="p"/>
                </m:rPr>
                <w:rPr>
                  <w:rFonts w:hint="default" w:ascii="Times New Roman" w:hAnsi="Times New Roman" w:cs="Cambria Math" w:eastAsiaTheme="minorEastAsia"/>
                  <w:color w:val="000000"/>
                  <w:highlight w:val="none"/>
                  <w:lang w:val="en-US"/>
                </w:rPr>
                <m:t>φ</m:t>
              </m:r>
              <m:r>
                <m:rPr>
                  <m:sty m:val="p"/>
                </m:rPr>
                <w:rPr>
                  <w:rFonts w:hint="default" w:ascii="Times New Roman" w:hAnsi="Times New Roman" w:cs="Cambria Math" w:eastAsiaTheme="minorEastAsia"/>
                  <w:color w:val="000000"/>
                  <w:highlight w:val="none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Cambria Math" w:eastAsiaTheme="minorEastAsia"/>
                  <w:color w:val="000000"/>
                  <w:highlight w:val="none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 w:cs="Cambria Math" w:eastAsiaTheme="minorEastAsia"/>
                  <w:color w:val="000000"/>
                  <w:highlight w:val="none"/>
                  <w:lang w:val="en-US" w:eastAsia="zh-CN"/>
                </w:rPr>
                <m:t>0.25</m:t>
              </m:r>
              <m:ctrlPr>
                <w:rPr>
                  <w:rFonts w:hint="default" w:ascii="Cambria Math" w:hAnsi="Cambria Math" w:cs="Cambria Math" w:eastAsiaTheme="minorEastAsia"/>
                  <w:color w:val="000000"/>
                  <w:highlight w:val="none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 w:cs="Cambria Math" w:eastAsiaTheme="minorEastAsia"/>
              <w:color w:val="000000"/>
              <w:highlight w:val="none"/>
              <w:lang w:val="en-US" w:eastAsia="zh-CN"/>
            </w:rPr>
            <m:t>×</m:t>
          </m:r>
          <m:sSup>
            <m:sSupPr>
              <m:ctrlPr>
                <w:rPr>
                  <w:rFonts w:hint="default" w:ascii="Cambria Math" w:hAnsi="Cambria Math" w:cs="Cambria Math" w:eastAsiaTheme="minorEastAsia"/>
                  <w:color w:val="000000"/>
                  <w:highlight w:val="none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 w:cs="Cambria Math" w:eastAsiaTheme="minorEastAsia"/>
                  <w:color w:val="000000"/>
                  <w:highlight w:val="none"/>
                  <w:lang w:val="en-US" w:eastAsia="zh-CN"/>
                </w:rPr>
                <m:t>(T/R)</m:t>
              </m:r>
              <m:ctrlPr>
                <w:rPr>
                  <w:rFonts w:hint="default" w:ascii="Cambria Math" w:hAnsi="Cambria Math" w:cs="Cambria Math" w:eastAsiaTheme="minorEastAsia"/>
                  <w:color w:val="000000"/>
                  <w:highlight w:val="none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 w:cs="Cambria Math" w:eastAsiaTheme="minorEastAsia"/>
                  <w:color w:val="000000"/>
                  <w:highlight w:val="none"/>
                  <w:lang w:val="en-US" w:eastAsia="zh-CN"/>
                </w:rPr>
                <m:t>0.5</m:t>
              </m:r>
              <m:ctrlPr>
                <w:rPr>
                  <w:rFonts w:hint="default" w:ascii="Cambria Math" w:hAnsi="Cambria Math" w:cs="Cambria Math" w:eastAsiaTheme="minorEastAsia"/>
                  <w:color w:val="000000"/>
                  <w:highlight w:val="none"/>
                  <w:lang w:val="en-US" w:eastAsia="zh-CN"/>
                </w:rPr>
              </m:ctrlPr>
            </m:sup>
          </m:sSup>
        </m:oMath>
      </m:oMathPara>
    </w:p>
    <w:p w14:paraId="6F952906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rPr>
          <w:rFonts w:hint="default" w:ascii="Times New Roman" w:hAnsi="Times New Roman" w:cs="Cambria Math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Cambria Math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几何参数描述见图</w:t>
      </w:r>
      <w:r>
        <w:rPr>
          <w:rFonts w:hint="eastAsia" w:ascii="Times New Roman" w:hAnsi="Times New Roman" w:cs="Cambria Math"/>
          <w:i w:val="0"/>
          <w:color w:val="000000"/>
          <w:sz w:val="24"/>
          <w:szCs w:val="24"/>
          <w:highlight w:val="none"/>
          <w:lang w:val="en-US" w:eastAsia="zh-CN"/>
        </w:rPr>
        <w:t>1-2</w:t>
      </w:r>
      <w:r>
        <w:rPr>
          <w:rFonts w:hint="default" w:ascii="Times New Roman" w:hAnsi="Times New Roman" w:cs="Cambria Math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。</w:t>
      </w:r>
    </w:p>
    <w:p w14:paraId="11B04887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 w:ascii="Times New Roman" w:hAnsi="Times New Roman" w:cs="Times New Roman" w:eastAsiaTheme="minorEastAsia"/>
          <w:color w:val="000000"/>
          <w:sz w:val="24"/>
          <w:szCs w:val="24"/>
          <w:highlight w:val="non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highlight w:val="none"/>
        </w:rPr>
        <w:drawing>
          <wp:inline distT="0" distB="0" distL="114300" distR="114300">
            <wp:extent cx="3028315" cy="2177415"/>
            <wp:effectExtent l="0" t="0" r="6985" b="6985"/>
            <wp:docPr id="7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433F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图1-2 十字形接头的焊接剖面</w:t>
      </w:r>
    </w:p>
    <w:p w14:paraId="3173F1C3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480" w:firstLineChars="200"/>
        <w:jc w:val="both"/>
        <w:rPr>
          <w:rFonts w:hint="default" w:ascii="Times New Roman" w:hAnsi="Times New Roman" w:cs="Cambria Math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Cambria Math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对于十字形接头和重型加强管状接头，假设热点应力主要由膜应力引起。</w:t>
      </w:r>
    </w:p>
    <w:p w14:paraId="04A8C481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480" w:firstLineChars="200"/>
        <w:jc w:val="both"/>
        <w:rPr>
          <w:rFonts w:hint="default" w:ascii="Times New Roman" w:hAnsi="Times New Roman" w:cs="Cambria Math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Cambria Math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对于简单的管状接头，假设弦中的热点应力仅由弯曲引起。然而，对于β</w:t>
      </w:r>
      <w:r>
        <w:rPr>
          <w:rFonts w:hint="eastAsia" w:ascii="Times New Roman" w:hAnsi="Times New Roman" w:cs="Cambria Math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比率大</w:t>
      </w:r>
      <w:r>
        <w:rPr>
          <w:rFonts w:hint="default" w:ascii="Times New Roman" w:hAnsi="Times New Roman" w:cs="Cambria Math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的X型接头，热点处主要存在膜应力。</w:t>
      </w:r>
    </w:p>
    <w:p w14:paraId="68258145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480" w:firstLineChars="200"/>
        <w:jc w:val="both"/>
        <w:rPr>
          <w:rFonts w:hint="default" w:ascii="Times New Roman" w:hAnsi="Times New Roman" w:cs="Times New Roman" w:eastAsiaTheme="minorEastAsia"/>
          <w:color w:val="000000"/>
          <w:sz w:val="24"/>
          <w:szCs w:val="24"/>
          <w:highlight w:val="none"/>
        </w:rPr>
      </w:pPr>
      <w:r>
        <w:rPr>
          <w:rFonts w:hint="default" w:ascii="Times New Roman" w:hAnsi="Times New Roman" w:cs="Cambria Math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此外，考虑到局部趾部磨蚀，疲劳寿命可以增加。但是，仅通过磨蚀所能带来的最大改善系数应限制在疲劳寿命的2倍以内。</w:t>
      </w:r>
    </w:p>
    <w:p w14:paraId="050E79EA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rPr>
          <w:rFonts w:hint="default" w:ascii="Times New Roman" w:hAnsi="Times New Roman" w:cs="Times New Roman" w:eastAsiaTheme="minorEastAsia"/>
          <w:color w:val="000000"/>
          <w:sz w:val="24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</w:rPr>
        <w:t>当对可见切口下方的焊头进行局部研磨时，对于k=0.20的S-N曲线D和E，厚度效应可以降低为指数k = 0.15。</w:t>
      </w:r>
    </w:p>
    <w:p w14:paraId="319340A4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rPr>
          <w:rFonts w:hint="default" w:ascii="Times New Roman" w:hAnsi="Times New Roman" w:cs="Cambria" w:eastAsiaTheme="minorEastAsia"/>
          <w:iCs/>
          <w:color w:val="000000"/>
          <w:kern w:val="0"/>
          <w:sz w:val="24"/>
          <w:szCs w:val="20"/>
          <w:highlight w:val="none"/>
        </w:rPr>
      </w:pPr>
      <w:r>
        <w:rPr>
          <w:rFonts w:hint="eastAsia" w:ascii="Times New Roman" w:hAnsi="Times New Roman" w:cs="Cambria" w:eastAsiaTheme="minorEastAsia"/>
          <w:iCs/>
          <w:color w:val="000000"/>
          <w:kern w:val="0"/>
          <w:sz w:val="24"/>
          <w:szCs w:val="20"/>
          <w:highlight w:val="none"/>
        </w:rPr>
        <w:t>热点应力可以根据</w:t>
      </w:r>
      <w:r>
        <w:rPr>
          <w:rFonts w:hint="eastAsia" w:ascii="Times New Roman" w:hAnsi="Times New Roman" w:cs="Cambria" w:eastAsiaTheme="minorEastAsia"/>
          <w:iCs/>
          <w:color w:val="000000"/>
          <w:kern w:val="0"/>
          <w:sz w:val="24"/>
          <w:szCs w:val="20"/>
          <w:highlight w:val="none"/>
          <w:lang w:val="en-US" w:eastAsia="zh-CN"/>
        </w:rPr>
        <w:t>上述</w:t>
      </w:r>
      <w:r>
        <w:rPr>
          <w:rFonts w:hint="eastAsia" w:ascii="Times New Roman" w:hAnsi="Times New Roman" w:cs="Cambria" w:eastAsiaTheme="minorEastAsia"/>
          <w:iCs/>
          <w:color w:val="000000"/>
          <w:kern w:val="0"/>
          <w:sz w:val="24"/>
          <w:szCs w:val="20"/>
          <w:highlight w:val="none"/>
        </w:rPr>
        <w:t>进行折减。此时焊缝需要进行修正，需要特别强调T型焊缝处的做法。</w:t>
      </w:r>
    </w:p>
    <w:p w14:paraId="5F18FF86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</w:rPr>
      </w:pPr>
      <w:r>
        <w:rPr>
          <w:rFonts w:hint="eastAsia" w:ascii="Times New Roman" w:hAnsi="Times New Roman" w:cs="Cambria" w:eastAsiaTheme="minorEastAsia"/>
          <w:iCs/>
          <w:color w:val="000000"/>
          <w:kern w:val="0"/>
          <w:sz w:val="24"/>
          <w:szCs w:val="20"/>
          <w:highlight w:val="none"/>
        </w:rPr>
        <w:t>T型接头的做法参考下图：</w:t>
      </w:r>
    </w:p>
    <w:p w14:paraId="152448F4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4519930" cy="2970530"/>
            <wp:effectExtent l="0" t="0" r="127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0B568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eastAsia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图1-3 T型接头做法参考</w:t>
      </w:r>
    </w:p>
    <w:p w14:paraId="02B8C32D">
      <w:pPr>
        <w:pStyle w:val="3"/>
        <w:bidi w:val="0"/>
        <w:rPr>
          <w:rFonts w:hint="eastAsia"/>
          <w:b/>
          <w:lang w:val="en-US" w:eastAsia="zh-CN"/>
        </w:rPr>
      </w:pPr>
      <w:bookmarkStart w:id="3" w:name="_Toc31911"/>
      <w:r>
        <w:rPr>
          <w:rFonts w:hint="eastAsia"/>
          <w:b/>
          <w:lang w:val="en-US" w:eastAsia="zh-CN"/>
        </w:rPr>
        <w:t>1.3 设计疲劳系数与材料侧安全系数</w:t>
      </w:r>
      <w:bookmarkEnd w:id="3"/>
    </w:p>
    <w:p w14:paraId="4ABD6A08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480" w:firstLineChars="200"/>
        <w:jc w:val="both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在疲劳设计计算时，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需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考虑设计疲劳系数。</w:t>
      </w:r>
    </w:p>
    <w:p w14:paraId="23320BDA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480" w:firstLineChars="200"/>
        <w:jc w:val="both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设计疲劳系数DFF的取值如表1-2所示：</w:t>
      </w:r>
    </w:p>
    <w:p w14:paraId="2261DA9C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center"/>
        <w:rPr>
          <w:rFonts w:hint="default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表1-2 设计疲劳系数DFF</w:t>
      </w:r>
    </w:p>
    <w:tbl>
      <w:tblPr>
        <w:tblStyle w:val="8"/>
        <w:tblW w:w="57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963"/>
        <w:gridCol w:w="963"/>
        <w:gridCol w:w="2137"/>
      </w:tblGrid>
      <w:tr w14:paraId="78AD8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17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A85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宋体" w:eastAsiaTheme="minorEastAsia"/>
                <w:b/>
                <w:bCs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宋体" w:eastAsiaTheme="minorEastAsia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位置</w:t>
            </w:r>
          </w:p>
        </w:tc>
        <w:tc>
          <w:tcPr>
            <w:tcW w:w="9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445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宋体" w:eastAsiaTheme="minorEastAsia"/>
                <w:b/>
                <w:bCs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宋体" w:eastAsiaTheme="minorEastAsia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是否便于检查或维修</w:t>
            </w:r>
          </w:p>
        </w:tc>
        <w:tc>
          <w:tcPr>
            <w:tcW w:w="9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815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cs="Arial" w:eastAsiaTheme="minorEastAsia"/>
                <w:b/>
                <w:bCs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ascii="Times New Roman" w:hAnsi="Times New Roman" w:eastAsiaTheme="minorEastAsia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S-N </w:t>
            </w:r>
            <w:r>
              <w:rPr>
                <w:rStyle w:val="12"/>
                <w:rFonts w:ascii="Times New Roman" w:hAnsi="Times New Roman" w:eastAsiaTheme="minorEastAsia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曲线</w:t>
            </w:r>
          </w:p>
        </w:tc>
        <w:tc>
          <w:tcPr>
            <w:tcW w:w="21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FA7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b/>
                <w:bCs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ascii="Times New Roman" w:hAnsi="Times New Roman" w:eastAsiaTheme="minorEastAsia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DFF</w:t>
            </w:r>
          </w:p>
        </w:tc>
      </w:tr>
      <w:tr w14:paraId="0E80D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717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C90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大气区</w:t>
            </w:r>
          </w:p>
        </w:tc>
        <w:tc>
          <w:tcPr>
            <w:tcW w:w="96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70F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ascii="Times New Roman" w:hAnsi="Times New Roman" w:eastAsiaTheme="minorEastAsia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963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696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空气中</w:t>
            </w:r>
          </w:p>
        </w:tc>
        <w:tc>
          <w:tcPr>
            <w:tcW w:w="213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D8D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209EE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717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CB3C2D1">
            <w:pPr>
              <w:jc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895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ascii="Times New Roman" w:hAnsi="Times New Roman" w:eastAsiaTheme="minorEastAsia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963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1AAED9">
            <w:pPr>
              <w:jc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7BB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ascii="Times New Roman" w:hAnsi="Times New Roman" w:eastAsiaTheme="minorEastAsia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 or 1</w:t>
            </w:r>
          </w:p>
        </w:tc>
      </w:tr>
      <w:tr w14:paraId="696D7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717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150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浪溅区</w:t>
            </w:r>
          </w:p>
        </w:tc>
        <w:tc>
          <w:tcPr>
            <w:tcW w:w="963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2C5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ascii="Times New Roman" w:hAnsi="Times New Roman" w:eastAsiaTheme="minorEastAsia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963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BDF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ascii="Times New Roman" w:hAnsi="Times New Roman" w:eastAsiaTheme="minorEastAsia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在空气中和自由腐蚀的结合</w:t>
            </w:r>
          </w:p>
        </w:tc>
        <w:tc>
          <w:tcPr>
            <w:tcW w:w="2137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AAB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47C57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717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722CC8">
            <w:pPr>
              <w:jc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3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110D17">
            <w:pPr>
              <w:jc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3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A98158">
            <w:pPr>
              <w:jc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7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7CF840">
            <w:pPr>
              <w:jc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3E3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717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5FA010">
            <w:pPr>
              <w:jc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BB1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ascii="Times New Roman" w:hAnsi="Times New Roman" w:eastAsiaTheme="minorEastAsia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963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222333">
            <w:pPr>
              <w:jc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599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72E40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717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1DE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浸没区</w:t>
            </w:r>
          </w:p>
        </w:tc>
        <w:tc>
          <w:tcPr>
            <w:tcW w:w="96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57F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ascii="Times New Roman" w:hAnsi="Times New Roman" w:eastAsiaTheme="minorEastAsia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963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9A5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海水中</w:t>
            </w:r>
          </w:p>
        </w:tc>
        <w:tc>
          <w:tcPr>
            <w:tcW w:w="213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CC3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1A30B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717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952B37">
            <w:pPr>
              <w:jc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504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ascii="Times New Roman" w:hAnsi="Times New Roman" w:eastAsiaTheme="minorEastAsia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963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7665F5">
            <w:pPr>
              <w:jc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967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0B0E6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71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A57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冲刷区</w:t>
            </w:r>
          </w:p>
        </w:tc>
        <w:tc>
          <w:tcPr>
            <w:tcW w:w="96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5FD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ascii="Times New Roman" w:hAnsi="Times New Roman" w:eastAsiaTheme="minorEastAsia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963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B41B15">
            <w:pPr>
              <w:jc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FB7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2B7D1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71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648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冲刷区以下</w:t>
            </w:r>
          </w:p>
        </w:tc>
        <w:tc>
          <w:tcPr>
            <w:tcW w:w="96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96A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ascii="Times New Roman" w:hAnsi="Times New Roman" w:eastAsiaTheme="minorEastAsia"/>
                <w:color w:val="000000" w:themeColor="text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963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A99BA0">
            <w:pPr>
              <w:jc w:val="center"/>
              <w:rPr>
                <w:rFonts w:hint="eastAsia" w:ascii="Times New Roman" w:hAnsi="Times New Roman" w:cs="宋体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160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</w:tbl>
    <w:p w14:paraId="3C05C7B9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依据DNV-0126中4.7.1.3节，结构钢材料安全系数可按表1-3取值：</w:t>
      </w:r>
    </w:p>
    <w:p w14:paraId="19E35E55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480" w:firstLineChars="200"/>
        <w:jc w:val="center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de-DE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 xml:space="preserve">表1-3 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de-DE" w:eastAsia="zh-CN"/>
        </w:rPr>
        <w:t>结构钢材料安全系数（依据DNV-0126 4.7.1.3）</w:t>
      </w:r>
    </w:p>
    <w:tbl>
      <w:tblPr>
        <w:tblStyle w:val="1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 w:themeFill="background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993"/>
        <w:gridCol w:w="1139"/>
        <w:gridCol w:w="1134"/>
      </w:tblGrid>
      <w:tr w14:paraId="7373D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  <w:jc w:val="center"/>
        </w:trPr>
        <w:tc>
          <w:tcPr>
            <w:tcW w:w="2263" w:type="dxa"/>
            <w:shd w:val="clear" w:color="auto" w:fill="FFFFFF" w:themeFill="background1"/>
            <w:vAlign w:val="center"/>
          </w:tcPr>
          <w:p w14:paraId="3D87E307">
            <w:pPr>
              <w:pStyle w:val="15"/>
              <w:rPr>
                <w:sz w:val="21"/>
                <w:szCs w:val="32"/>
              </w:rPr>
            </w:pPr>
            <w:r>
              <w:rPr>
                <w:rFonts w:hint="eastAsia" w:ascii="宋体" w:hAnsi="宋体" w:eastAsia="宋体" w:cs="宋体"/>
                <w:sz w:val="21"/>
                <w:szCs w:val="32"/>
                <w:lang w:eastAsia="zh-CN"/>
              </w:rPr>
              <w:t>材料</w:t>
            </w:r>
            <w:r>
              <w:rPr>
                <w:rFonts w:hint="eastAsia" w:ascii="宋体" w:hAnsi="宋体" w:eastAsia="宋体" w:cs="宋体"/>
                <w:sz w:val="21"/>
                <w:szCs w:val="32"/>
              </w:rPr>
              <w:t>系数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050A239">
            <w:pPr>
              <w:pStyle w:val="15"/>
              <w:rPr>
                <w:rFonts w:ascii="Times New Roman" w:hAnsi="Times New Roman"/>
                <w:sz w:val="21"/>
                <w:szCs w:val="32"/>
              </w:rPr>
            </w:pPr>
            <w:r>
              <w:rPr>
                <w:rFonts w:ascii="Times New Roman" w:hAnsi="Times New Roman"/>
                <w:sz w:val="21"/>
                <w:szCs w:val="32"/>
              </w:rPr>
              <w:t>ULS</w:t>
            </w: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0EB50AD8">
            <w:pPr>
              <w:pStyle w:val="15"/>
              <w:rPr>
                <w:rFonts w:ascii="Times New Roman" w:hAnsi="Times New Roman"/>
                <w:sz w:val="21"/>
                <w:szCs w:val="32"/>
              </w:rPr>
            </w:pPr>
            <w:r>
              <w:rPr>
                <w:rFonts w:ascii="Times New Roman" w:hAnsi="Times New Roman"/>
                <w:sz w:val="21"/>
                <w:szCs w:val="32"/>
              </w:rPr>
              <w:t>ALS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8418BE8">
            <w:pPr>
              <w:pStyle w:val="15"/>
              <w:rPr>
                <w:rFonts w:ascii="Times New Roman" w:hAnsi="Times New Roman"/>
                <w:sz w:val="21"/>
                <w:szCs w:val="32"/>
              </w:rPr>
            </w:pPr>
            <w:r>
              <w:rPr>
                <w:rFonts w:ascii="Times New Roman" w:hAnsi="Times New Roman"/>
                <w:sz w:val="21"/>
                <w:szCs w:val="32"/>
              </w:rPr>
              <w:t>SLS</w:t>
            </w:r>
          </w:p>
        </w:tc>
      </w:tr>
      <w:tr w14:paraId="034FD4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  <w:jc w:val="center"/>
        </w:trPr>
        <w:tc>
          <w:tcPr>
            <w:tcW w:w="2263" w:type="dxa"/>
            <w:shd w:val="clear" w:color="auto" w:fill="FFFFFF" w:themeFill="background1"/>
            <w:vAlign w:val="center"/>
          </w:tcPr>
          <w:p w14:paraId="5C09C4F4">
            <w:pPr>
              <w:pStyle w:val="15"/>
              <w:rPr>
                <w:sz w:val="21"/>
                <w:szCs w:val="32"/>
              </w:rPr>
            </w:pPr>
            <w:r>
              <w:rPr>
                <w:rFonts w:ascii="Cambria Math" w:hAnsi="Cambria Math" w:cs="Cambria Math"/>
                <w:position w:val="4"/>
                <w:sz w:val="22"/>
                <w:szCs w:val="32"/>
              </w:rPr>
              <w:t>𝛾</w:t>
            </w:r>
            <w:r>
              <w:rPr>
                <w:rFonts w:ascii="Cambria Math" w:hAnsi="Cambria Math" w:cs="Cambria Math"/>
                <w:sz w:val="21"/>
                <w:szCs w:val="32"/>
                <w:vertAlign w:val="subscript"/>
              </w:rPr>
              <w:t>𝑀</w:t>
            </w:r>
            <w:r>
              <w:rPr>
                <w:sz w:val="21"/>
                <w:szCs w:val="32"/>
                <w:vertAlign w:val="subscript"/>
              </w:rPr>
              <w:t>0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FBE3F93">
            <w:pPr>
              <w:pStyle w:val="15"/>
              <w:rPr>
                <w:rFonts w:ascii="Times New Roman" w:hAnsi="Times New Roman"/>
                <w:sz w:val="21"/>
                <w:szCs w:val="32"/>
              </w:rPr>
            </w:pPr>
            <w:r>
              <w:rPr>
                <w:rFonts w:ascii="Times New Roman" w:hAnsi="Times New Roman"/>
                <w:sz w:val="21"/>
                <w:szCs w:val="32"/>
              </w:rPr>
              <w:t>1.10</w:t>
            </w: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33A9B210">
            <w:pPr>
              <w:pStyle w:val="15"/>
              <w:rPr>
                <w:rFonts w:ascii="Times New Roman" w:hAnsi="Times New Roman"/>
                <w:sz w:val="21"/>
                <w:szCs w:val="32"/>
              </w:rPr>
            </w:pPr>
            <w:r>
              <w:rPr>
                <w:rFonts w:ascii="Times New Roman" w:hAnsi="Times New Roman"/>
                <w:sz w:val="21"/>
                <w:szCs w:val="32"/>
              </w:rPr>
              <w:t>1.00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F9BE749">
            <w:pPr>
              <w:pStyle w:val="15"/>
              <w:rPr>
                <w:rFonts w:ascii="Times New Roman" w:hAnsi="Times New Roman"/>
                <w:sz w:val="21"/>
                <w:szCs w:val="32"/>
              </w:rPr>
            </w:pPr>
            <w:r>
              <w:rPr>
                <w:rFonts w:ascii="Times New Roman" w:hAnsi="Times New Roman"/>
                <w:sz w:val="21"/>
                <w:szCs w:val="32"/>
              </w:rPr>
              <w:t>1.00</w:t>
            </w:r>
          </w:p>
        </w:tc>
      </w:tr>
      <w:tr w14:paraId="02655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  <w:jc w:val="center"/>
        </w:trPr>
        <w:tc>
          <w:tcPr>
            <w:tcW w:w="2263" w:type="dxa"/>
            <w:shd w:val="clear" w:color="auto" w:fill="FFFFFF" w:themeFill="background1"/>
            <w:vAlign w:val="center"/>
          </w:tcPr>
          <w:p w14:paraId="6071DAAC">
            <w:pPr>
              <w:pStyle w:val="15"/>
              <w:rPr>
                <w:sz w:val="21"/>
                <w:szCs w:val="32"/>
              </w:rPr>
            </w:pPr>
            <w:r>
              <w:rPr>
                <w:rFonts w:ascii="Cambria Math" w:hAnsi="Cambria Math" w:cs="Cambria Math"/>
                <w:position w:val="4"/>
                <w:sz w:val="22"/>
                <w:szCs w:val="32"/>
              </w:rPr>
              <w:t>𝛾</w:t>
            </w:r>
            <w:r>
              <w:rPr>
                <w:rFonts w:ascii="Cambria Math" w:hAnsi="Cambria Math" w:cs="Cambria Math"/>
                <w:sz w:val="21"/>
                <w:szCs w:val="32"/>
                <w:vertAlign w:val="subscript"/>
              </w:rPr>
              <w:t>𝑀</w:t>
            </w:r>
            <w:r>
              <w:rPr>
                <w:sz w:val="21"/>
                <w:szCs w:val="32"/>
                <w:vertAlign w:val="subscript"/>
              </w:rPr>
              <w:t>1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1481AA1">
            <w:pPr>
              <w:pStyle w:val="15"/>
              <w:rPr>
                <w:rFonts w:ascii="Times New Roman" w:hAnsi="Times New Roman"/>
                <w:sz w:val="21"/>
                <w:szCs w:val="32"/>
              </w:rPr>
            </w:pPr>
            <w:r>
              <w:rPr>
                <w:rFonts w:ascii="Times New Roman" w:hAnsi="Times New Roman"/>
                <w:sz w:val="21"/>
                <w:szCs w:val="32"/>
              </w:rPr>
              <w:t>1.10</w:t>
            </w: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7429EF0D">
            <w:pPr>
              <w:pStyle w:val="15"/>
              <w:rPr>
                <w:rFonts w:ascii="Times New Roman" w:hAnsi="Times New Roman"/>
                <w:sz w:val="21"/>
                <w:szCs w:val="32"/>
              </w:rPr>
            </w:pPr>
            <w:r>
              <w:rPr>
                <w:rFonts w:ascii="Times New Roman" w:hAnsi="Times New Roman"/>
                <w:sz w:val="21"/>
                <w:szCs w:val="32"/>
              </w:rPr>
              <w:t>1.00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52CD56F">
            <w:pPr>
              <w:pStyle w:val="15"/>
              <w:rPr>
                <w:rFonts w:ascii="Times New Roman" w:hAnsi="Times New Roman"/>
                <w:sz w:val="21"/>
                <w:szCs w:val="32"/>
              </w:rPr>
            </w:pPr>
            <w:r>
              <w:rPr>
                <w:rFonts w:ascii="Times New Roman" w:hAnsi="Times New Roman"/>
                <w:sz w:val="21"/>
                <w:szCs w:val="32"/>
              </w:rPr>
              <w:t>1.00</w:t>
            </w:r>
          </w:p>
        </w:tc>
      </w:tr>
      <w:tr w14:paraId="4A734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  <w:jc w:val="center"/>
        </w:trPr>
        <w:tc>
          <w:tcPr>
            <w:tcW w:w="2263" w:type="dxa"/>
            <w:shd w:val="clear" w:color="auto" w:fill="FFFFFF" w:themeFill="background1"/>
            <w:vAlign w:val="center"/>
          </w:tcPr>
          <w:p w14:paraId="2D9EF354">
            <w:pPr>
              <w:pStyle w:val="15"/>
              <w:rPr>
                <w:rFonts w:hint="eastAsia" w:eastAsia="宋体"/>
                <w:sz w:val="21"/>
                <w:szCs w:val="32"/>
                <w:lang w:eastAsia="zh-CN"/>
              </w:rPr>
            </w:pPr>
            <w:r>
              <w:rPr>
                <w:rFonts w:ascii="Cambria Math" w:hAnsi="Cambria Math" w:cs="Cambria Math"/>
                <w:position w:val="4"/>
                <w:sz w:val="22"/>
                <w:szCs w:val="32"/>
              </w:rPr>
              <w:t>𝛾</w:t>
            </w:r>
            <w:r>
              <w:rPr>
                <w:rFonts w:ascii="Cambria Math" w:hAnsi="Cambria Math" w:cs="Cambria Math"/>
                <w:sz w:val="21"/>
                <w:szCs w:val="32"/>
                <w:vertAlign w:val="subscript"/>
              </w:rPr>
              <w:t>𝑀</w:t>
            </w:r>
            <w:r>
              <w:rPr>
                <w:sz w:val="21"/>
                <w:szCs w:val="32"/>
                <w:vertAlign w:val="subscript"/>
              </w:rPr>
              <w:t>2</w:t>
            </w:r>
            <w:r>
              <w:rPr>
                <w:rFonts w:hint="eastAsia" w:ascii="Cambria Math" w:hAnsi="Cambria Math" w:cs="Cambria Math"/>
                <w:position w:val="4"/>
                <w:sz w:val="22"/>
                <w:szCs w:val="32"/>
                <w:lang w:eastAsia="zh-CN"/>
              </w:rPr>
              <w:t>（</w:t>
            </w:r>
            <w:r>
              <w:rPr>
                <w:rFonts w:hint="eastAsia" w:ascii="Cambria Math" w:hAnsi="Cambria Math" w:cs="Cambria Math"/>
                <w:position w:val="4"/>
                <w:sz w:val="22"/>
                <w:szCs w:val="32"/>
                <w:lang w:val="en-US" w:eastAsia="zh-CN"/>
              </w:rPr>
              <w:t>螺栓</w:t>
            </w:r>
            <w:r>
              <w:rPr>
                <w:rFonts w:hint="eastAsia" w:ascii="Cambria Math" w:hAnsi="Cambria Math" w:cs="Cambria Math"/>
                <w:position w:val="4"/>
                <w:sz w:val="22"/>
                <w:szCs w:val="32"/>
                <w:lang w:eastAsia="zh-CN"/>
              </w:rPr>
              <w:t>）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FA2F0A0">
            <w:pPr>
              <w:pStyle w:val="15"/>
              <w:rPr>
                <w:rFonts w:ascii="Times New Roman" w:hAnsi="Times New Roman"/>
                <w:sz w:val="21"/>
                <w:szCs w:val="32"/>
              </w:rPr>
            </w:pPr>
            <w:r>
              <w:rPr>
                <w:rFonts w:ascii="Times New Roman" w:hAnsi="Times New Roman"/>
                <w:sz w:val="21"/>
                <w:szCs w:val="32"/>
              </w:rPr>
              <w:t>1.25</w:t>
            </w: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19BEEA6B">
            <w:pPr>
              <w:pStyle w:val="15"/>
              <w:rPr>
                <w:rFonts w:ascii="Times New Roman" w:hAnsi="Times New Roman"/>
                <w:sz w:val="21"/>
                <w:szCs w:val="32"/>
              </w:rPr>
            </w:pPr>
            <w:r>
              <w:rPr>
                <w:rFonts w:ascii="Times New Roman" w:hAnsi="Times New Roman"/>
                <w:sz w:val="21"/>
                <w:szCs w:val="32"/>
              </w:rPr>
              <w:t>1.00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463F254">
            <w:pPr>
              <w:pStyle w:val="15"/>
              <w:jc w:val="both"/>
              <w:rPr>
                <w:rFonts w:hint="default" w:ascii="Times New Roman" w:hAnsi="Times New Roman" w:eastAsia="宋体"/>
                <w:sz w:val="21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32"/>
                <w:lang w:val="en-US" w:eastAsia="zh-CN"/>
              </w:rPr>
              <w:t xml:space="preserve">    1.00</w:t>
            </w:r>
          </w:p>
        </w:tc>
      </w:tr>
    </w:tbl>
    <w:p w14:paraId="24A9EEE6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材料侧安全系数和疲劳损伤系数DFF的相关性如表1-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所示：</w:t>
      </w:r>
    </w:p>
    <w:p w14:paraId="4352DA9B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center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表1-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 xml:space="preserve"> 设计疲劳系数DFF和材料侧安全系数的相关性</w:t>
      </w:r>
    </w:p>
    <w:tbl>
      <w:tblPr>
        <w:tblStyle w:val="8"/>
        <w:tblW w:w="304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3"/>
        <w:gridCol w:w="1858"/>
      </w:tblGrid>
      <w:tr w14:paraId="09DCB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0B0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cs="Arial" w:eastAsiaTheme="minorEastAsia"/>
                <w:b/>
                <w:bCs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Arial" w:eastAsiaTheme="minorEastAsia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DFF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306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Arial" w:eastAsiaTheme="minorEastAsia"/>
                <w:b/>
                <w:bCs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Arial" w:eastAsiaTheme="minorEastAsia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γM</w:t>
            </w:r>
          </w:p>
        </w:tc>
      </w:tr>
      <w:tr w14:paraId="7643C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2A927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8DC0B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15310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0D1C0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EBB54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1.15</w:t>
            </w:r>
          </w:p>
        </w:tc>
      </w:tr>
      <w:tr w14:paraId="42230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9C90A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7FE9A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Arial" w:eastAsiaTheme="minorEastAsia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1.25</w:t>
            </w:r>
          </w:p>
        </w:tc>
      </w:tr>
    </w:tbl>
    <w:p w14:paraId="437E0629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</w:p>
    <w:p w14:paraId="17ABAB9B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过渡段焊缝的设计疲劳系数除加劲肋DFF=2外，其余均为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DFF=3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。</w:t>
      </w:r>
    </w:p>
    <w:p w14:paraId="64740492">
      <w:pPr>
        <w:pStyle w:val="2"/>
        <w:bidi w:val="0"/>
        <w:rPr>
          <w:rFonts w:hint="eastAsia"/>
          <w:lang w:val="en-US" w:eastAsia="zh-CN"/>
        </w:rPr>
      </w:pPr>
      <w:bookmarkStart w:id="4" w:name="_Toc17160"/>
      <w:r>
        <w:rPr>
          <w:rFonts w:hint="eastAsia"/>
          <w:lang w:val="en-US" w:eastAsia="zh-CN"/>
        </w:rPr>
        <w:t>2.计算过程</w:t>
      </w:r>
      <w:bookmarkEnd w:id="4"/>
    </w:p>
    <w:p w14:paraId="46461688">
      <w:pPr>
        <w:pStyle w:val="3"/>
        <w:bidi w:val="0"/>
        <w:rPr>
          <w:rFonts w:hint="default"/>
          <w:lang w:val="en-US" w:eastAsia="zh-CN"/>
        </w:rPr>
      </w:pPr>
      <w:bookmarkStart w:id="5" w:name="_Toc32220"/>
      <w:r>
        <w:rPr>
          <w:rFonts w:hint="eastAsia"/>
          <w:lang w:val="en-US" w:eastAsia="zh-CN"/>
        </w:rPr>
        <w:t>2.1 参数取值与累计疲劳损伤计算</w:t>
      </w:r>
      <w:bookmarkEnd w:id="5"/>
    </w:p>
    <w:p w14:paraId="630C6EC3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480" w:firstLineChars="200"/>
        <w:jc w:val="both"/>
        <w:rPr>
          <w:rFonts w:hint="default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根据ABAQUS有限元计算，等效疲劳荷载得到的疲劳应力为：</w:t>
      </w:r>
    </w:p>
    <w:p w14:paraId="34F9552B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/>
            </w:rPr>
            <m:t>σ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{D5}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 xml:space="preserve"> M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pa</m:t>
          </m:r>
        </m:oMath>
      </m:oMathPara>
    </w:p>
    <w:p w14:paraId="1B328407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（对应表格“3.导管架过渡段、剪力键有限元疲劳损伤及疲劳改善”的第5行“Stresses 或者Stresses (corr.)”）</w:t>
      </w:r>
    </w:p>
    <w:p w14:paraId="5065A8E1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材料侧安全系数为：</w:t>
      </w:r>
    </w:p>
    <w:p w14:paraId="677219DE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color w:val="000000"/>
                  <w:sz w:val="24"/>
                  <w:szCs w:val="24"/>
                  <w:highlight w:val="none"/>
                  <w:lang w:val="en-US"/>
                </w:rPr>
              </m:ctrlPr>
            </m:sSubPr>
            <m:e>
              <m:r>
                <m:rPr/>
                <w:rPr>
                  <w:rFonts w:ascii="Times New Roman" w:hAnsi="Times New Roman" w:cs="Times New Roman" w:eastAsiaTheme="minorEastAsia"/>
                  <w:color w:val="000000"/>
                  <w:sz w:val="24"/>
                  <w:szCs w:val="24"/>
                  <w:highlight w:val="none"/>
                  <w:lang w:val="en-US"/>
                </w:rPr>
                <m:t>γ</m:t>
              </m:r>
              <m:ctrlPr>
                <w:rPr>
                  <w:rFonts w:ascii="Cambria Math" w:hAnsi="Cambria Math" w:cs="Times New Roman" w:eastAsiaTheme="minorEastAsia"/>
                  <w:i/>
                  <w:color w:val="000000"/>
                  <w:sz w:val="24"/>
                  <w:szCs w:val="24"/>
                  <w:highlight w:val="none"/>
                  <w:lang w:val="en-US"/>
                </w:rPr>
              </m:ctrlPr>
            </m:e>
            <m:sub>
              <m:r>
                <m:rPr/>
                <w:rPr>
                  <w:rFonts w:hint="default" w:ascii="Times New Roman" w:hAnsi="Times New Roman" w:cs="Times New Roman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  <m:t>m</m:t>
              </m:r>
              <m:ctrlPr>
                <w:rPr>
                  <w:rFonts w:ascii="Cambria Math" w:hAnsi="Cambria Math" w:cs="Times New Roman" w:eastAsiaTheme="minorEastAsia"/>
                  <w:i/>
                  <w:color w:val="000000"/>
                  <w:sz w:val="24"/>
                  <w:szCs w:val="24"/>
                  <w:highlight w:val="none"/>
                  <w:lang w:val="en-US"/>
                </w:rPr>
              </m:ctrlPr>
            </m:sub>
          </m:sSub>
          <m:r>
            <m:rPr/>
            <w:rPr>
              <w:rFonts w:hint="default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D6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</m:oMath>
      </m:oMathPara>
    </w:p>
    <w:p w14:paraId="770E2B78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注：该部分计算均考虑设计疲劳系数DFF，因此材料侧安全系数取</w:t>
      </w:r>
      <m:oMath>
        <m:r>
          <m:rPr/>
          <w:rPr>
            <w:rFonts w:hint="eastAsia" w:ascii="Cambria Math" w:hAnsi="Cambria Math" w:cs="Times New Roman"/>
            <w:color w:val="000000"/>
            <w:sz w:val="24"/>
            <w:szCs w:val="24"/>
            <w:highlight w:val="none"/>
            <w:lang w:val="en-US" w:eastAsia="zh-CN"/>
          </w:rPr>
          <m:t>{</m:t>
        </m:r>
        <m:r>
          <m:rPr/>
          <w:rPr>
            <w:rFonts w:hint="default" w:ascii="Cambria Math" w:hAnsi="Cambria Math" w:cs="Times New Roman"/>
            <w:color w:val="000000"/>
            <w:sz w:val="24"/>
            <w:szCs w:val="24"/>
            <w:highlight w:val="none"/>
            <w:lang w:val="en-US" w:eastAsia="zh-CN"/>
          </w:rPr>
          <m:t>D6</m:t>
        </m:r>
        <m:r>
          <m:rPr/>
          <w:rPr>
            <w:rFonts w:hint="eastAsia" w:ascii="Cambria Math" w:hAnsi="Cambria Math" w:cs="Times New Roman"/>
            <w:color w:val="000000"/>
            <w:sz w:val="24"/>
            <w:szCs w:val="24"/>
            <w:highlight w:val="none"/>
            <w:lang w:val="en-US" w:eastAsia="zh-CN"/>
          </w:rPr>
          <m:t>}</m:t>
        </m:r>
      </m:oMath>
    </w:p>
    <w:p w14:paraId="37370811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（对应表格“3.导管架过渡段、剪力键有限元疲劳损伤及疲劳改善”的第6行“材料系数”）</w:t>
      </w:r>
    </w:p>
    <w:p w14:paraId="008C9CD9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应力集中系数SCF为：</w:t>
      </w:r>
    </w:p>
    <w:p w14:paraId="4E6EEE7D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SCF=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D7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</m:oMath>
      </m:oMathPara>
    </w:p>
    <w:p w14:paraId="54824C4A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（对应表格“3.导管架过渡段、剪力键有限元疲劳损伤及疲劳改善”的第7行“应力集中系数”）</w:t>
      </w:r>
    </w:p>
    <w:p w14:paraId="25BE25A5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Cambria Math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因此等效应力幅</w:t>
      </w:r>
      <m:oMath>
        <m:r>
          <m:rPr>
            <m:sty m:val="p"/>
          </m:rPr>
          <w:rPr>
            <w:rFonts w:ascii="Times New Roman" w:hAnsi="Times New Roman" w:cs="Times New Roman" w:eastAsiaTheme="minorEastAsia"/>
            <w:color w:val="000000"/>
            <w:sz w:val="24"/>
            <w:szCs w:val="24"/>
            <w:highlight w:val="none"/>
            <w:lang w:val="en-US"/>
          </w:rPr>
          <m:t>∆</m:t>
        </m:r>
        <m:r>
          <m:rPr>
            <m:sty m:val="p"/>
          </m:rPr>
          <w:rPr>
            <w:rFonts w:hint="default" w:ascii="Times New Roman" w:hAnsi="Times New Roman" w:cs="Cambria Math" w:eastAsiaTheme="minorEastAsia"/>
            <w:color w:val="000000"/>
            <w:sz w:val="24"/>
            <w:szCs w:val="24"/>
            <w:highlight w:val="none"/>
            <w:lang w:val="en-US"/>
          </w:rPr>
          <m:t>σ</m:t>
        </m:r>
      </m:oMath>
      <w:r>
        <w:rPr>
          <w:rFonts w:hint="eastAsia" w:ascii="Times New Roman" w:hAnsi="Times New Roman" w:cs="Cambria Math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为：</w:t>
      </w:r>
    </w:p>
    <w:p w14:paraId="16A58F5D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Cambria Math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/>
            </w:rPr>
            <m:t>∆</m:t>
          </m:r>
          <m:r>
            <m:rPr>
              <m:sty m:val="p"/>
            </m:rPr>
            <w:rPr>
              <w:rFonts w:hint="default" w:ascii="Times New Roman" w:hAnsi="Times New Roman" w:cs="Cambria Math" w:eastAsiaTheme="minorEastAsia"/>
              <w:color w:val="000000"/>
              <w:sz w:val="24"/>
              <w:szCs w:val="24"/>
              <w:highlight w:val="none"/>
              <w:lang w:val="en-US"/>
            </w:rPr>
            <m:t>σ</m:t>
          </m:r>
          <m:r>
            <m:rPr>
              <m:sty m:val="p"/>
            </m:rPr>
            <w:rPr>
              <w:rFonts w:hint="default" w:ascii="Times New Roman" w:hAnsi="Times New Roman" w:cs="Cambria Math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color w:val="000000"/>
                  <w:sz w:val="24"/>
                  <w:szCs w:val="24"/>
                  <w:highlight w:val="none"/>
                  <w:lang w:val="en-US"/>
                </w:rPr>
              </m:ctrlPr>
            </m:sSubPr>
            <m:e>
              <m:r>
                <m:rPr/>
                <w:rPr>
                  <w:rFonts w:ascii="Times New Roman" w:hAnsi="Times New Roman" w:cs="Times New Roman" w:eastAsiaTheme="minorEastAsia"/>
                  <w:color w:val="000000"/>
                  <w:sz w:val="24"/>
                  <w:szCs w:val="24"/>
                  <w:highlight w:val="none"/>
                  <w:lang w:val="en-US"/>
                </w:rPr>
                <m:t>γ</m:t>
              </m:r>
              <m:ctrlPr>
                <w:rPr>
                  <w:rFonts w:ascii="Cambria Math" w:hAnsi="Cambria Math" w:cs="Times New Roman" w:eastAsiaTheme="minorEastAsia"/>
                  <w:i/>
                  <w:color w:val="000000"/>
                  <w:sz w:val="24"/>
                  <w:szCs w:val="24"/>
                  <w:highlight w:val="none"/>
                  <w:lang w:val="en-US"/>
                </w:rPr>
              </m:ctrlPr>
            </m:e>
            <m:sub>
              <m:r>
                <m:rPr/>
                <w:rPr>
                  <w:rFonts w:hint="default" w:ascii="Times New Roman" w:hAnsi="Times New Roman" w:cs="Times New Roman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  <m:t>m</m:t>
              </m:r>
              <m:ctrlPr>
                <w:rPr>
                  <w:rFonts w:ascii="Cambria Math" w:hAnsi="Cambria Math" w:cs="Times New Roman" w:eastAsiaTheme="minorEastAsia"/>
                  <w:i/>
                  <w:color w:val="000000"/>
                  <w:sz w:val="24"/>
                  <w:szCs w:val="24"/>
                  <w:highlight w:val="none"/>
                  <w:lang w:val="en-US"/>
                </w:rPr>
              </m:ctrlPr>
            </m:sub>
          </m:sSub>
          <m:r>
            <m:rPr/>
            <w:rPr>
              <w:rFonts w:hint="default" w:ascii="Times New Roman" w:hAnsi="Times New Roman" w:cs="Cambria Math" w:eastAsiaTheme="minorEastAsia"/>
              <w:color w:val="000000"/>
              <w:sz w:val="24"/>
              <w:szCs w:val="24"/>
              <w:highlight w:val="none"/>
              <w:lang w:val="en-US"/>
            </w:rPr>
            <m:t>×</m:t>
          </m:r>
          <m:r>
            <m:rPr/>
            <w:rPr>
              <w:rFonts w:hint="default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SCF</m:t>
          </m:r>
          <m:r>
            <m:rPr/>
            <w:rPr>
              <w:rFonts w:hint="default" w:ascii="Times New Roman" w:hAnsi="Times New Roman" w:cs="Cambria Math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×σ=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D8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  <m:r>
            <m:rPr/>
            <w:rPr>
              <w:rFonts w:hint="default" w:ascii="Times New Roman" w:hAnsi="Times New Roman" w:cs="Cambria Math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MPa</m:t>
          </m:r>
        </m:oMath>
      </m:oMathPara>
    </w:p>
    <w:p w14:paraId="3F868194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（对应表格“3.导管架过渡段、剪力键有限元疲劳损伤及疲劳改善”的第8行“应力”）</w:t>
      </w:r>
    </w:p>
    <w:p w14:paraId="754D8623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239" w:leftChars="114" w:right="0" w:firstLine="240" w:firstLineChars="10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依据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highlight w:val="none"/>
          <w:lang w:val="en-US" w:eastAsia="zh-CN"/>
        </w:rPr>
        <w:t>DNVGL-C203中2.4.4节，查本文中表1-1，</w:t>
      </w: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S-N曲线斜率的负倒数m、S-N曲线在lgN轴上的截距取值loga及厚度指数k为：</w:t>
      </w:r>
    </w:p>
    <w:p w14:paraId="299247F9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m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D9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</m:oMath>
      </m:oMathPara>
    </w:p>
    <w:p w14:paraId="46AE6D00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b w:val="0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loga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D10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</m:oMath>
      </m:oMathPara>
    </w:p>
    <w:p w14:paraId="3E84D777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b w:val="0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k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D12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</m:oMath>
      </m:oMathPara>
    </w:p>
    <w:p w14:paraId="53C4C40E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（对应表格“3.导管架过渡段、剪力键有限元疲劳损伤及疲劳改善”的第9、10、12行“S-N曲线斜率的负倒数”、“设计S-N曲线在lgN轴上的截距”、“厚度指数”）</w:t>
      </w:r>
    </w:p>
    <w:p w14:paraId="210C9BD6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材料的板件厚度t为：</w:t>
      </w:r>
    </w:p>
    <w:p w14:paraId="3F5755A5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/>
            <w:rPr>
              <w:rFonts w:hint="default" w:ascii="Times New Roman" w:hAnsi="Times New Roman" w:eastAsiaTheme="minorEastAsia"/>
              <w:sz w:val="24"/>
            </w:rPr>
            <m:t>t=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D11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  <m:r>
            <m:rPr/>
            <w:rPr>
              <w:rFonts w:hint="default" w:ascii="Times New Roman" w:hAnsi="Times New Roman" w:eastAsiaTheme="minorEastAsia"/>
              <w:sz w:val="24"/>
            </w:rPr>
            <m:t>mm</m:t>
          </m:r>
        </m:oMath>
      </m:oMathPara>
    </w:p>
    <w:p w14:paraId="70CE692D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（对应表格“3.导管架过渡段、剪力键有限元疲劳损伤及疲劳改善”的第11行“裂缝最有可能增加的厚度”）</w:t>
      </w:r>
    </w:p>
    <w:p w14:paraId="2E6B8C18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依据1.1节，参考厚度为：</w:t>
      </w:r>
    </w:p>
    <w:p w14:paraId="76A16A4D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color w:val="000000"/>
                  <w:sz w:val="24"/>
                  <w:szCs w:val="24"/>
                  <w:highlight w:val="none"/>
                  <w:lang w:val="en-US"/>
                </w:rPr>
              </m:ctrlPr>
            </m:sSubPr>
            <m:e>
              <m:r>
                <m:rPr/>
                <w:rPr>
                  <w:rFonts w:hint="default" w:ascii="Times New Roman" w:hAnsi="Times New Roman" w:cs="Times New Roman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ascii="Cambria Math" w:hAnsi="Cambria Math" w:cs="Times New Roman" w:eastAsiaTheme="minorEastAsia"/>
                  <w:i/>
                  <w:color w:val="000000"/>
                  <w:sz w:val="24"/>
                  <w:szCs w:val="24"/>
                  <w:highlight w:val="none"/>
                  <w:lang w:val="en-US"/>
                </w:rPr>
              </m:ctrlPr>
            </m:e>
            <m:sub>
              <m:r>
                <m:rPr/>
                <w:rPr>
                  <w:rFonts w:hint="default" w:ascii="Times New Roman" w:hAnsi="Times New Roman" w:cs="Times New Roman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  <m:t>ref</m:t>
              </m:r>
              <m:ctrlPr>
                <w:rPr>
                  <w:rFonts w:ascii="Cambria Math" w:hAnsi="Cambria Math" w:cs="Times New Roman" w:eastAsiaTheme="minorEastAsia"/>
                  <w:i/>
                  <w:color w:val="000000"/>
                  <w:sz w:val="24"/>
                  <w:szCs w:val="24"/>
                  <w:highlight w:val="none"/>
                  <w:lang w:val="en-US"/>
                </w:rPr>
              </m:ctrlPr>
            </m:sub>
          </m:sSub>
          <m:r>
            <m:rPr/>
            <w:rPr>
              <w:rFonts w:hint="default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D13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  <m:r>
            <m:rPr/>
            <w:rPr>
              <w:rFonts w:hint="default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mm</m:t>
          </m:r>
        </m:oMath>
      </m:oMathPara>
    </w:p>
    <w:p w14:paraId="0F435211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（对应表格“3.导管架过渡段、剪力键有限元疲劳损伤及疲劳改善”的第13行“参考厚度”）</w:t>
      </w:r>
    </w:p>
    <w:p w14:paraId="76405E02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则应力范围内失效的预测循环次数logN可求为：</w:t>
      </w:r>
    </w:p>
    <w:p w14:paraId="44ED64B1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log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N=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log</m:t>
          </m:r>
          <m:acc>
            <m:accPr>
              <m:chr m:val="̅"/>
              <m:ctrlPr>
                <w:rPr>
                  <w:rFonts w:hint="eastAsia"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accPr>
            <m:e>
              <m:r>
                <m:rPr>
                  <m:sty m:val="p"/>
                </m:rPr>
                <w:rPr>
                  <w:rFonts w:hint="eastAsia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</m:t>
              </m:r>
              <m:ctrlPr>
                <w:rPr>
                  <w:rFonts w:hint="eastAsia"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</m:acc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−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m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log(</m:t>
          </m:r>
          <m:r>
            <m:rPr>
              <m:sty m:val="p"/>
            </m:rPr>
            <w:rPr>
              <w:rFonts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bidi="ar-SA"/>
            </w:rPr>
            <m:t>∆σ</m:t>
          </m:r>
          <m:sSup>
            <m:sSupPr>
              <m:ctrlPr>
                <w:rPr>
                  <w:rFonts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(</m:t>
              </m:r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Times New Roman" w:hAnsi="Times New Roman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Times New Roman" w:hAnsi="Times New Roman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Times New Roman" w:hAnsi="Times New Roman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ref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)</m:t>
              </m:r>
              <m:ctrlPr>
                <w:rPr>
                  <w:rFonts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)=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D14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</m:oMath>
      </m:oMathPara>
    </w:p>
    <w:p w14:paraId="2384FD17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（对应表格“3.导管架过渡段、剪力键有限元疲劳损伤及疲劳改善”的第14行“应力范围内失效的预测循环次数”）</w:t>
      </w:r>
    </w:p>
    <w:p w14:paraId="34AF3715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常应力幅作用下的疲劳失效循环次数Ni为：</w:t>
      </w:r>
    </w:p>
    <w:p w14:paraId="056B9D62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color w:val="000000"/>
                  <w:sz w:val="24"/>
                  <w:szCs w:val="24"/>
                  <w:highlight w:val="none"/>
                  <w:lang w:val="en-US"/>
                </w:rPr>
              </m:ctrlPr>
            </m:sSubPr>
            <m:e>
              <m:r>
                <m:rPr/>
                <w:rPr>
                  <w:rFonts w:hint="default" w:ascii="Times New Roman" w:hAnsi="Times New Roman" w:cs="Times New Roman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  <m:t>N</m:t>
              </m:r>
              <m:ctrlPr>
                <w:rPr>
                  <w:rFonts w:ascii="Cambria Math" w:hAnsi="Cambria Math" w:cs="Times New Roman" w:eastAsiaTheme="minorEastAsia"/>
                  <w:i/>
                  <w:color w:val="000000"/>
                  <w:sz w:val="24"/>
                  <w:szCs w:val="24"/>
                  <w:highlight w:val="none"/>
                  <w:lang w:val="en-US"/>
                </w:rPr>
              </m:ctrlPr>
            </m:e>
            <m:sub>
              <m:r>
                <m:rPr/>
                <w:rPr>
                  <w:rFonts w:hint="default" w:ascii="Times New Roman" w:hAnsi="Times New Roman" w:cs="Times New Roman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  <m:t>i</m:t>
              </m:r>
              <m:ctrlPr>
                <w:rPr>
                  <w:rFonts w:ascii="Cambria Math" w:hAnsi="Cambria Math" w:cs="Times New Roman" w:eastAsiaTheme="minorEastAsia"/>
                  <w:i/>
                  <w:color w:val="000000"/>
                  <w:sz w:val="24"/>
                  <w:szCs w:val="24"/>
                  <w:highlight w:val="none"/>
                  <w:lang w:val="en-US"/>
                </w:rPr>
              </m:ctrlPr>
            </m:sub>
          </m:sSub>
          <m:r>
            <m:rPr/>
            <w:rPr>
              <w:rFonts w:hint="default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D15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</m:oMath>
      </m:oMathPara>
    </w:p>
    <w:p w14:paraId="5E4ADCA4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（对应表格“3.导管架过渡段、剪力键有限元疲劳损伤及疲劳改善”的第15行“常应力幅作用下的疲劳失效循环次数”）</w:t>
      </w:r>
    </w:p>
    <w:p w14:paraId="4152F509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设计疲劳系数DFF为：</w:t>
      </w:r>
    </w:p>
    <w:p w14:paraId="61CE7DED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DFF=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D16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</m:oMath>
      </m:oMathPara>
    </w:p>
    <w:p w14:paraId="021C4E4C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（对应表格“3.导管架过渡段、剪力键有限元疲劳损伤及疲劳改善”的第16行“安全系数”）</w:t>
      </w:r>
    </w:p>
    <w:p w14:paraId="6B8F8887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则未改善的累计疲劳损伤D为：</w:t>
      </w:r>
    </w:p>
    <w:p w14:paraId="3A6986DA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D=</m:t>
          </m:r>
          <m:f>
            <m:fPr>
              <m:ctrlPr>
                <w:rPr>
                  <w:rFonts w:hint="default" w:ascii="Cambria Math" w:hAnsi="Cambria Math" w:cs="Times New Roman" w:eastAsiaTheme="minorEastAsia"/>
                  <w:i w:val="0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DFF</m:t>
              </m:r>
              <m:r>
                <m:rPr>
                  <m:sty m:val="p"/>
                </m:rPr>
                <w:rPr>
                  <w:rFonts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N</m:t>
                  </m:r>
                  <m:ctrlPr>
                    <w:rPr>
                      <w:rFonts w:ascii="Cambria Math" w:hAnsi="Cambria Math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Times New Roman" w:hAnsi="Times New Roman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i</m:t>
                  </m:r>
                  <m:ctrlPr>
                    <w:rPr>
                      <w:rFonts w:ascii="Cambria Math" w:hAnsi="Cambria Math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 w:eastAsiaTheme="minorEastAsia"/>
                  <w:i w:val="0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log</m:t>
              </m:r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Times New Roman" w:eastAsiaTheme="minorEastAsia"/>
                  <w:i w:val="0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D17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</m:oMath>
      </m:oMathPara>
    </w:p>
    <w:p w14:paraId="5B3D0E42">
      <w:pPr>
        <w:pStyle w:val="3"/>
        <w:bidi w:val="0"/>
        <w:rPr>
          <w:rFonts w:hint="eastAsia"/>
          <w:lang w:val="en-US" w:eastAsia="zh-CN"/>
        </w:rPr>
      </w:pPr>
      <w:bookmarkStart w:id="6" w:name="_Toc16937"/>
      <w:r>
        <w:rPr>
          <w:rFonts w:hint="eastAsia"/>
          <w:lang w:val="en-US" w:eastAsia="zh-CN"/>
        </w:rPr>
        <w:t>2.1 T型对接焊缝的焊缝疲劳改善</w:t>
      </w:r>
      <w:bookmarkEnd w:id="6"/>
    </w:p>
    <w:p w14:paraId="4982602E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T型对接焊缝改善的输入参数如下：</w:t>
      </w:r>
    </w:p>
    <w:p w14:paraId="139576E4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焊缝角度焊接的角度：</w:t>
      </w:r>
    </w:p>
    <w:p w14:paraId="5DC1C9A2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/>
            </w:rPr>
            <m:t>φ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{D20}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（°）</m:t>
          </m:r>
        </m:oMath>
      </m:oMathPara>
    </w:p>
    <w:p w14:paraId="2FF43F69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（对应表格“3.导管架过渡段、剪力键有限元疲劳损伤及疲劳改善”的第20行“焊缝角度焊接的角度”）</w:t>
      </w:r>
    </w:p>
    <w:p w14:paraId="52FD2D84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  <w:t>焊接的腹板厚度：</w:t>
      </w:r>
    </w:p>
    <w:p w14:paraId="3D3BF5DB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b w:val="0"/>
          <w:i w:val="0"/>
          <w:color w:val="00000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T=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D21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mm</m:t>
          </m:r>
        </m:oMath>
      </m:oMathPara>
    </w:p>
    <w:p w14:paraId="7B5997D8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b w:val="0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（对应表格“3.导管架过渡段、剪力键有限元疲劳损伤及疲劳改善”的第21行“腹板厚度”）</w:t>
      </w:r>
    </w:p>
    <w:p w14:paraId="33CA9C60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  <w:t>根据DNVGL-RP-C203的7.3节，厚度指数k</w:t>
      </w:r>
      <w:r>
        <w:rPr>
          <w:rFonts w:hint="default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  <w:t>’</w:t>
      </w:r>
      <w:r>
        <w:rPr>
          <w:rFonts w:hint="eastAsia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  <w:t>可降低为：</w:t>
      </w:r>
    </w:p>
    <w:p w14:paraId="5105BE01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b w:val="0"/>
          <w:i w:val="0"/>
          <w:color w:val="00000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k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'=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D22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</m:oMath>
      </m:oMathPara>
    </w:p>
    <w:p w14:paraId="33DC15D9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b w:val="0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（对应表格“3.导管架过渡段、剪力键有限元疲劳损伤及疲劳改善”的第22行“厚度指数”）</w:t>
      </w:r>
    </w:p>
    <w:p w14:paraId="381648AC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b w:val="0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000000"/>
          <w:sz w:val="24"/>
          <w:szCs w:val="24"/>
          <w:highlight w:val="none"/>
          <w:lang w:val="en-US" w:eastAsia="zh-CN"/>
        </w:rPr>
        <w:t>焊缝改善的半径R：</w:t>
      </w:r>
    </w:p>
    <w:p w14:paraId="3A8007FD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b w:val="0"/>
          <w:i w:val="0"/>
          <w:color w:val="00000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R=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D23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mm</m:t>
          </m:r>
        </m:oMath>
      </m:oMathPara>
    </w:p>
    <w:p w14:paraId="343C9FF4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b w:val="0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（对应表格“3.导管架过渡段、剪力键有限元疲劳损伤及疲劳改善”的第23行“焊缝改善的半径”）</w:t>
      </w:r>
    </w:p>
    <w:p w14:paraId="637533E1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b w:val="0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000000"/>
          <w:sz w:val="24"/>
          <w:szCs w:val="24"/>
          <w:highlight w:val="none"/>
          <w:lang w:val="en-US" w:eastAsia="zh-CN"/>
        </w:rPr>
        <w:t>膜应力折减系数α：</w:t>
      </w:r>
    </w:p>
    <w:p w14:paraId="4FA52BA0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/>
            </w:rPr>
            <m:t>α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=0.47+0.17</m:t>
          </m:r>
          <m:r>
            <m:rPr>
              <m:sty m:val="p"/>
            </m:rPr>
            <w:rPr>
              <w:rFonts w:hint="default" w:ascii="Times New Roman" w:hAnsi="Times New Roman" w:cs="Cambria Math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×</m:t>
          </m:r>
          <m:sSup>
            <m:sSupPr>
              <m:ctrlPr>
                <w:rPr>
                  <w:rFonts w:hint="default" w:ascii="Cambria Math" w:hAnsi="Cambria Math" w:cs="Cambria Math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Times New Roman" w:hAnsi="Times New Roman" w:cs="Cambria Math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  <m:t>（tan</m:t>
              </m:r>
              <m:r>
                <m:rPr>
                  <m:sty m:val="p"/>
                </m:rPr>
                <w:rPr>
                  <w:rFonts w:ascii="Times New Roman" w:hAnsi="Times New Roman" w:cs="Cambria Math" w:eastAsiaTheme="minorEastAsia"/>
                  <w:color w:val="000000"/>
                  <w:sz w:val="24"/>
                  <w:szCs w:val="24"/>
                  <w:highlight w:val="none"/>
                  <w:lang w:val="en-US"/>
                </w:rPr>
                <m:t>φ</m:t>
              </m:r>
              <m:r>
                <m:rPr>
                  <m:sty m:val="p"/>
                </m:rPr>
                <w:rPr>
                  <w:rFonts w:hint="eastAsia" w:ascii="Times New Roman" w:hAnsi="Times New Roman" w:cs="Cambria Math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  <m:t>）</m:t>
              </m:r>
              <m:ctrlPr>
                <w:rPr>
                  <w:rFonts w:hint="default" w:ascii="Cambria Math" w:hAnsi="Cambria Math" w:cs="Cambria Math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 w:cs="Cambria Math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  <m:t>0.25</m:t>
              </m:r>
              <m:ctrlPr>
                <w:rPr>
                  <w:rFonts w:hint="default" w:ascii="Cambria Math" w:hAnsi="Cambria Math" w:cs="Cambria Math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Cambria Math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 w:cs="Cambria Math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  <m:t>(T/R)</m:t>
              </m:r>
              <m:ctrlPr>
                <w:rPr>
                  <w:rFonts w:hint="default" w:ascii="Cambria Math" w:hAnsi="Cambria Math" w:cs="Cambria Math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 w:cs="Cambria Math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  <m:t>0.5</m:t>
              </m:r>
              <m:ctrlPr>
                <w:rPr>
                  <w:rFonts w:hint="default" w:ascii="Cambria Math" w:hAnsi="Cambria Math" w:cs="Cambria Math" w:eastAsiaTheme="minorEastAsia"/>
                  <w:color w:val="000000"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 w:cs="Cambria Math" w:eastAsiaTheme="minorEastAsia"/>
              <w:color w:val="000000"/>
              <w:sz w:val="24"/>
              <w:szCs w:val="24"/>
              <w:highlight w:val="none"/>
              <w:lang w:val="en-US" w:eastAsia="zh-CN"/>
            </w:rPr>
            <m:t>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D24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</m:oMath>
      </m:oMathPara>
    </w:p>
    <w:p w14:paraId="35F5AE17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（对应表格“3.导管架过渡段、剪力键有限元疲劳损伤及疲劳改善”的第24行“膜应力折减系数”）</w:t>
      </w:r>
    </w:p>
    <w:p w14:paraId="13B080B5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  <w:t>则折减后的局部应力为：</w:t>
      </w:r>
    </w:p>
    <w:p w14:paraId="4B4FC6BE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Cambria Math" w:eastAsiaTheme="minorEastAsia"/>
          <w:b w:val="0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sSubPr>
            <m:e>
              <m:r>
                <m:rPr/>
                <w:rPr>
                  <w:rFonts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  <m:t>σ</m:t>
              </m:r>
              <m:ctrlPr>
                <w:rPr>
                  <w:rFonts w:ascii="Cambria Math" w:hAnsi="Cambria Math" w:cs="Times New Roman" w:eastAsiaTheme="minorEastAsia"/>
                  <w:i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e>
            <m:sub>
              <m:r>
                <m:rPr/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Local reduced</m:t>
              </m:r>
              <m:ctrlPr>
                <w:rPr>
                  <w:rFonts w:ascii="Cambria Math" w:hAnsi="Cambria Math" w:cs="Times New Roman" w:eastAsiaTheme="minorEastAsia"/>
                  <w:i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sub>
          </m:sSub>
          <m:r>
            <m:rPr/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r>
            <m:rPr/>
            <w:rPr>
              <w:rFonts w:hint="default" w:ascii="Times New Roman" w:hAnsi="Times New Roman" w:cs="Cambria Math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α×</m:t>
          </m:r>
          <m:sSub>
            <m:sSubPr>
              <m:ctrlPr>
                <w:rPr>
                  <w:rFonts w:hint="default" w:ascii="Cambria Math" w:hAnsi="Cambria Math" w:cs="Cambria Math" w:eastAsiaTheme="minorEastAsia"/>
                  <w:b w:val="0"/>
                  <w:i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ascii="Times New Roman" w:hAnsi="Times New Roman" w:cs="Cambria Math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  <m:t>σ</m:t>
              </m:r>
              <m:ctrlPr>
                <w:rPr>
                  <w:rFonts w:hint="default" w:ascii="Cambria Math" w:hAnsi="Cambria Math" w:cs="Cambria Math" w:eastAsiaTheme="minorEastAsia"/>
                  <w:b w:val="0"/>
                  <w:i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Times New Roman" w:hAnsi="Times New Roman" w:cs="Cambria Math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Membrace</m:t>
              </m:r>
              <m:ctrlPr>
                <w:rPr>
                  <w:rFonts w:hint="default" w:ascii="Cambria Math" w:hAnsi="Cambria Math" w:cs="Cambria Math" w:eastAsiaTheme="minorEastAsia"/>
                  <w:b w:val="0"/>
                  <w:i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  <m:r>
            <m:rPr/>
            <w:rPr>
              <w:rFonts w:hint="default" w:ascii="Times New Roman" w:hAnsi="Times New Roman" w:cs="Cambria Math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D24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  <m:r>
            <m:rPr/>
            <w:rPr>
              <w:rFonts w:hint="default" w:ascii="Times New Roman" w:hAnsi="Times New Roman" w:cs="Cambria Math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×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D5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  <m:r>
            <m:rPr/>
            <w:rPr>
              <w:rFonts w:hint="default" w:ascii="Times New Roman" w:hAnsi="Times New Roman" w:cs="Cambria Math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D25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  <m:r>
            <m:rPr/>
            <w:rPr>
              <w:rFonts w:hint="default" w:ascii="Times New Roman" w:hAnsi="Times New Roman" w:cs="Cambria Math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 xml:space="preserve"> MPa</m:t>
          </m:r>
        </m:oMath>
      </m:oMathPara>
    </w:p>
    <w:p w14:paraId="6866FB3C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Cambria Math" w:eastAsiaTheme="minorEastAsia"/>
          <w:b w:val="0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Cambria Math" w:eastAsiaTheme="minorEastAsia"/>
          <w:b w:val="0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  <w:t>注：</w:t>
      </w:r>
      <w:r>
        <w:rPr>
          <w:rFonts w:hint="eastAsia" w:ascii="Times New Roman" w:hAnsi="Times New Roman" w:cs="Cambria Math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  <w:t>由于取的</w:t>
      </w:r>
      <m:oMath>
        <m:r>
          <m:rPr>
            <m:sty m:val="p"/>
          </m:rPr>
          <w:rPr>
            <w:rFonts w:ascii="Times New Roman" w:hAnsi="Times New Roman" w:cs="Cambria Math" w:eastAsiaTheme="minorEastAsia"/>
            <w:color w:val="000000"/>
            <w:kern w:val="2"/>
            <w:sz w:val="24"/>
            <w:szCs w:val="24"/>
            <w:highlight w:val="none"/>
            <w:lang w:val="en-US" w:bidi="ar-SA"/>
          </w:rPr>
          <m:t>∆</m:t>
        </m:r>
        <m:r>
          <m:rPr>
            <m:sty m:val="p"/>
          </m:rPr>
          <w:rPr>
            <w:rFonts w:hint="default" w:ascii="Times New Roman" w:hAnsi="Times New Roman" w:cs="Cambria Math" w:eastAsiaTheme="minorEastAsia"/>
            <w:color w:val="000000"/>
            <w:kern w:val="2"/>
            <w:sz w:val="24"/>
            <w:szCs w:val="24"/>
            <w:highlight w:val="none"/>
            <w:lang w:val="en-US" w:bidi="ar-SA"/>
          </w:rPr>
          <m:t>σ</m:t>
        </m:r>
      </m:oMath>
      <w:r>
        <w:rPr>
          <w:rFonts w:hint="eastAsia" w:ascii="Times New Roman" w:hAnsi="Times New Roman" w:cs="Cambria Math" w:eastAsiaTheme="minorEastAsia"/>
          <w:b w:val="0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  <w:t>为有限元应力计算得到的，因此</w:t>
      </w:r>
      <m:oMath>
        <m:sSub>
          <m:sSubPr>
            <m:ctrlPr>
              <w:rPr>
                <w:rFonts w:hint="default" w:ascii="Cambria Math" w:hAnsi="Cambria Math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bidi="ar-SA"/>
              </w:rPr>
              <m:t>σ</m:t>
            </m:r>
            <m:ctrlPr>
              <w:rPr>
                <w:rFonts w:hint="default" w:ascii="Cambria Math" w:hAnsi="Cambria Math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  <m:t>B</m:t>
            </m:r>
            <m:r>
              <m:rPr>
                <m:sty m:val="p"/>
              </m:rPr>
              <w:rPr>
                <w:rFonts w:hint="eastAsia" w:ascii="Times New Roman" w:hAnsi="Times New Roman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  <m:t>ending</m:t>
            </m:r>
            <m:ctrlPr>
              <w:rPr>
                <w:rFonts w:hint="default" w:ascii="Cambria Math" w:hAnsi="Cambria Math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cs="Cambria Math" w:eastAsiaTheme="minorEastAsia"/>
            <w:color w:val="000000"/>
            <w:kern w:val="2"/>
            <w:sz w:val="24"/>
            <w:szCs w:val="24"/>
            <w:highlight w:val="none"/>
            <w:lang w:val="en-US" w:eastAsia="zh-CN" w:bidi="ar-SA"/>
          </w:rPr>
          <m:t>=0</m:t>
        </m:r>
      </m:oMath>
      <w:r>
        <w:rPr>
          <w:rFonts w:hint="eastAsia" w:ascii="Times New Roman" w:hAnsi="Times New Roman" w:cs="Cambria Math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  <w:t>，可</w:t>
      </w:r>
      <w:r>
        <w:rPr>
          <w:rFonts w:hint="eastAsia" w:ascii="Times New Roman" w:hAnsi="Times New Roman" w:cs="Cambria Math" w:eastAsiaTheme="minorEastAsia"/>
          <w:b w:val="0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  <w:t>认为</w:t>
      </w:r>
      <m:oMath>
        <m:r>
          <m:rPr>
            <m:sty m:val="p"/>
          </m:rPr>
          <w:rPr>
            <w:rFonts w:ascii="Times New Roman" w:hAnsi="Times New Roman" w:cs="Cambria Math" w:eastAsiaTheme="minorEastAsia"/>
            <w:color w:val="000000"/>
            <w:kern w:val="2"/>
            <w:sz w:val="24"/>
            <w:szCs w:val="24"/>
            <w:highlight w:val="none"/>
            <w:lang w:val="en-US" w:bidi="ar-SA"/>
          </w:rPr>
          <m:t>∆</m:t>
        </m:r>
        <m:r>
          <m:rPr>
            <m:sty m:val="p"/>
          </m:rPr>
          <w:rPr>
            <w:rFonts w:hint="default" w:ascii="Times New Roman" w:hAnsi="Times New Roman" w:cs="Cambria Math" w:eastAsiaTheme="minorEastAsia"/>
            <w:color w:val="000000"/>
            <w:kern w:val="2"/>
            <w:sz w:val="24"/>
            <w:szCs w:val="24"/>
            <w:highlight w:val="none"/>
            <w:lang w:val="en-US" w:bidi="ar-SA"/>
          </w:rPr>
          <m:t>σ</m:t>
        </m:r>
        <m:r>
          <m:rPr>
            <m:sty m:val="p"/>
          </m:rPr>
          <w:rPr>
            <w:rFonts w:hint="default" w:ascii="Times New Roman" w:hAnsi="Times New Roman" w:cs="Cambria Math" w:eastAsiaTheme="minorEastAsia"/>
            <w:color w:val="000000"/>
            <w:kern w:val="2"/>
            <w:sz w:val="24"/>
            <w:szCs w:val="24"/>
            <w:highlight w:val="none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bidi="ar-SA"/>
              </w:rPr>
              <m:t>σ</m:t>
            </m:r>
            <m:ctrlPr>
              <w:rPr>
                <w:rFonts w:hint="default" w:ascii="Cambria Math" w:hAnsi="Cambria Math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  <m:t>M</m:t>
            </m:r>
            <m:r>
              <m:rPr>
                <m:sty m:val="p"/>
              </m:rPr>
              <w:rPr>
                <w:rFonts w:hint="eastAsia" w:ascii="Times New Roman" w:hAnsi="Times New Roman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  <m:t>embrace</m:t>
            </m:r>
            <m:ctrlPr>
              <w:rPr>
                <w:rFonts w:hint="default" w:ascii="Cambria Math" w:hAnsi="Cambria Math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cs="Cambria Math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  <w:t>，因此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color w:val="000000"/>
                <w:kern w:val="2"/>
                <w:sz w:val="24"/>
                <w:szCs w:val="24"/>
                <w:highlight w:val="none"/>
                <w:lang w:val="en-US" w:bidi="ar-SA"/>
              </w:rPr>
            </m:ctrlPr>
          </m:sSubPr>
          <m:e>
            <m:r>
              <m:rPr/>
              <w:rPr>
                <w:rFonts w:ascii="Times New Roman" w:hAnsi="Times New Roman" w:cs="Times New Roman" w:eastAsiaTheme="minorEastAsia"/>
                <w:color w:val="000000"/>
                <w:kern w:val="2"/>
                <w:sz w:val="24"/>
                <w:szCs w:val="24"/>
                <w:highlight w:val="none"/>
                <w:lang w:val="en-US" w:bidi="ar-SA"/>
              </w:rPr>
              <m:t>σ</m:t>
            </m:r>
            <m:ctrlPr>
              <w:rPr>
                <w:rFonts w:ascii="Cambria Math" w:hAnsi="Cambria Math" w:cs="Times New Roman" w:eastAsiaTheme="minorEastAsia"/>
                <w:i/>
                <w:color w:val="000000"/>
                <w:kern w:val="2"/>
                <w:sz w:val="24"/>
                <w:szCs w:val="24"/>
                <w:highlight w:val="none"/>
                <w:lang w:val="en-US" w:bidi="ar-SA"/>
              </w:rPr>
            </m:ctrlPr>
          </m:e>
          <m:sub>
            <m:r>
              <m:rPr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  <m:t>Local reduced</m:t>
            </m:r>
            <m:ctrlPr>
              <w:rPr>
                <w:rFonts w:ascii="Cambria Math" w:hAnsi="Cambria Math" w:cs="Times New Roman" w:eastAsiaTheme="minorEastAsia"/>
                <w:i/>
                <w:color w:val="000000"/>
                <w:kern w:val="2"/>
                <w:sz w:val="24"/>
                <w:szCs w:val="24"/>
                <w:highlight w:val="none"/>
                <w:lang w:val="en-US" w:bidi="ar-SA"/>
              </w:rPr>
            </m:ctrlPr>
          </m:sub>
        </m:sSub>
        <m:r>
          <m:rPr/>
          <w:rPr>
            <w:rFonts w:hint="default" w:ascii="Times New Roman" w:hAnsi="Times New Roman" w:cs="Times New Roman" w:eastAsiaTheme="minorEastAsia"/>
            <w:color w:val="000000"/>
            <w:kern w:val="2"/>
            <w:sz w:val="24"/>
            <w:szCs w:val="24"/>
            <w:highlight w:val="none"/>
            <w:lang w:val="en-US" w:eastAsia="zh-CN" w:bidi="ar-SA"/>
          </w:rPr>
          <m:t>=</m:t>
        </m:r>
        <m:r>
          <m:rPr/>
          <w:rPr>
            <w:rFonts w:hint="default" w:ascii="Times New Roman" w:hAnsi="Times New Roman" w:cs="Cambria Math" w:eastAsiaTheme="minorEastAsia"/>
            <w:color w:val="000000"/>
            <w:kern w:val="2"/>
            <w:sz w:val="24"/>
            <w:szCs w:val="24"/>
            <w:highlight w:val="none"/>
            <w:lang w:val="en-US" w:eastAsia="zh-CN" w:bidi="ar-SA"/>
          </w:rPr>
          <m:t>α×</m:t>
        </m:r>
        <m:sSub>
          <m:sSubPr>
            <m:ctrlPr>
              <w:rPr>
                <w:rFonts w:hint="default" w:ascii="Cambria Math" w:hAnsi="Cambria Math" w:cs="Cambria Math" w:eastAsiaTheme="minorEastAsia"/>
                <w:b w:val="0"/>
                <w:i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ascii="Times New Roman" w:hAnsi="Times New Roman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bidi="ar-SA"/>
              </w:rPr>
              <m:t>σ</m:t>
            </m:r>
            <m:ctrlPr>
              <w:rPr>
                <w:rFonts w:hint="default" w:ascii="Cambria Math" w:hAnsi="Cambria Math" w:cs="Cambria Math" w:eastAsiaTheme="minorEastAsia"/>
                <w:b w:val="0"/>
                <w:i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Times New Roman" w:hAnsi="Times New Roman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  <m:t>Membrace</m:t>
            </m:r>
            <m:ctrlPr>
              <w:rPr>
                <w:rFonts w:hint="default" w:ascii="Cambria Math" w:hAnsi="Cambria Math" w:cs="Cambria Math" w:eastAsiaTheme="minorEastAsia"/>
                <w:b w:val="0"/>
                <w:i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r>
          <m:rPr/>
          <w:rPr>
            <w:rFonts w:hint="default" w:ascii="Times New Roman" w:hAnsi="Times New Roman" w:cs="Cambria Math" w:eastAsiaTheme="minorEastAsia"/>
            <w:color w:val="000000"/>
            <w:kern w:val="2"/>
            <w:sz w:val="24"/>
            <w:szCs w:val="24"/>
            <w:highlight w:val="none"/>
            <w:lang w:val="en-US" w:eastAsia="zh-CN" w:bidi="ar-SA"/>
          </w:rPr>
          <m:t>+</m:t>
        </m:r>
        <m:r>
          <m:rPr/>
          <w:rPr>
            <w:rFonts w:ascii="Times New Roman" w:hAnsi="Times New Roman" w:cs="Cambria Math" w:eastAsiaTheme="minorEastAsia"/>
            <w:color w:val="000000"/>
            <w:kern w:val="2"/>
            <w:sz w:val="24"/>
            <w:szCs w:val="24"/>
            <w:highlight w:val="none"/>
            <w:lang w:val="en-US" w:bidi="ar-SA"/>
          </w:rPr>
          <m:t>β×</m:t>
        </m:r>
        <m:sSub>
          <m:sSubPr>
            <m:ctrlPr>
              <w:rPr>
                <w:rFonts w:hint="default" w:ascii="Cambria Math" w:hAnsi="Cambria Math" w:cs="Cambria Math" w:eastAsiaTheme="minorEastAsia"/>
                <w:b w:val="0"/>
                <w:i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ascii="Times New Roman" w:hAnsi="Times New Roman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bidi="ar-SA"/>
              </w:rPr>
              <m:t>σ</m:t>
            </m:r>
            <m:ctrlPr>
              <w:rPr>
                <w:rFonts w:hint="default" w:ascii="Cambria Math" w:hAnsi="Cambria Math" w:cs="Cambria Math" w:eastAsiaTheme="minorEastAsia"/>
                <w:b w:val="0"/>
                <w:i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Times New Roman" w:hAnsi="Times New Roman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  <m:t>Bending</m:t>
            </m:r>
            <m:ctrlPr>
              <w:rPr>
                <w:rFonts w:hint="default" w:ascii="Cambria Math" w:hAnsi="Cambria Math" w:cs="Cambria Math" w:eastAsiaTheme="minorEastAsia"/>
                <w:b w:val="0"/>
                <w:i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r>
          <m:rPr/>
          <w:rPr>
            <w:rFonts w:hint="default" w:ascii="Times New Roman" w:hAnsi="Times New Roman" w:cs="Cambria Math" w:eastAsiaTheme="minorEastAsia"/>
            <w:color w:val="000000"/>
            <w:kern w:val="2"/>
            <w:sz w:val="24"/>
            <w:szCs w:val="24"/>
            <w:highlight w:val="none"/>
            <w:lang w:val="en-US" w:eastAsia="zh-CN" w:bidi="ar-SA"/>
          </w:rPr>
          <m:t>=α×</m:t>
        </m:r>
        <m:sSub>
          <m:sSubPr>
            <m:ctrlPr>
              <w:rPr>
                <w:rFonts w:hint="default" w:ascii="Cambria Math" w:hAnsi="Cambria Math" w:cs="Cambria Math" w:eastAsiaTheme="minorEastAsia"/>
                <w:b w:val="0"/>
                <w:i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ascii="Times New Roman" w:hAnsi="Times New Roman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bidi="ar-SA"/>
              </w:rPr>
              <m:t>σ</m:t>
            </m:r>
            <m:ctrlPr>
              <w:rPr>
                <w:rFonts w:hint="default" w:ascii="Cambria Math" w:hAnsi="Cambria Math" w:cs="Cambria Math" w:eastAsiaTheme="minorEastAsia"/>
                <w:b w:val="0"/>
                <w:i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Times New Roman" w:hAnsi="Times New Roman" w:cs="Cambria Math" w:eastAsiaTheme="minorEastAsia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  <m:t>Membrace</m:t>
            </m:r>
            <m:ctrlPr>
              <w:rPr>
                <w:rFonts w:hint="default" w:ascii="Cambria Math" w:hAnsi="Cambria Math" w:cs="Cambria Math" w:eastAsiaTheme="minorEastAsia"/>
                <w:b w:val="0"/>
                <w:i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cs="Cambria Math" w:eastAsiaTheme="minorEastAsia"/>
          <w:b w:val="0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68022725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Cambria Math" w:eastAsiaTheme="minorEastAsia"/>
          <w:b w:val="0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（对应表格“3.导管架过渡段、剪力键有限元疲劳损伤及疲劳改善”的第25行“折减后的应力”）</w:t>
      </w:r>
    </w:p>
    <w:p w14:paraId="7BE896A1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b w:val="0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  <w:t>因此，改善后的应力循环次数logN’为：</w:t>
      </w:r>
    </w:p>
    <w:p w14:paraId="76387508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b w:val="0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L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og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N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’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log</m:t>
          </m:r>
          <m:acc>
            <m:accPr>
              <m:chr m:val="̅"/>
              <m:ctrlPr>
                <w:rPr>
                  <w:rFonts w:hint="eastAsia"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accPr>
            <m:e>
              <m:r>
                <m:rPr>
                  <m:sty m:val="p"/>
                </m:rPr>
                <w:rPr>
                  <w:rFonts w:hint="eastAsia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</m:t>
              </m:r>
              <m:ctrlPr>
                <w:rPr>
                  <w:rFonts w:hint="eastAsia"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</m:acc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−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m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log(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sSubPr>
            <m:e>
              <m:r>
                <m:rPr/>
                <w:rPr>
                  <w:rFonts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  <m:t>σ</m:t>
              </m:r>
              <m:ctrlPr>
                <w:rPr>
                  <w:rFonts w:ascii="Cambria Math" w:hAnsi="Cambria Math" w:cs="Times New Roman" w:eastAsiaTheme="minorEastAsia"/>
                  <w:i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e>
            <m:sub>
              <m:r>
                <m:rPr/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Local reduced</m:t>
              </m:r>
              <m:ctrlPr>
                <w:rPr>
                  <w:rFonts w:ascii="Cambria Math" w:hAnsi="Cambria Math" w:cs="Times New Roman" w:eastAsiaTheme="minorEastAsia"/>
                  <w:i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sub>
          </m:sSub>
          <m:r>
            <m:rPr/>
            <w:rPr>
              <w:rFonts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bidi="ar-SA"/>
            </w:rPr>
            <m:t>×</m:t>
          </m:r>
          <m:sSup>
            <m:sSupPr>
              <m:ctrlPr>
                <w:rPr>
                  <w:rFonts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(</m:t>
              </m:r>
              <m:f>
                <m:fPr>
                  <m:ctrlPr>
                    <w:rPr>
                      <w:rFonts w:hint="default" w:ascii="Cambria Math" w:hAnsi="Cambria Math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Times New Roman" w:hAnsi="Times New Roman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Times New Roman" w:hAnsi="Times New Roman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Times New Roman" w:hAnsi="Times New Roman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ref</m:t>
                      </m:r>
                      <m:ctrlPr>
                        <w:rPr>
                          <w:rFonts w:hint="default" w:ascii="Cambria Math" w:hAnsi="Cambria Math" w:cs="Times New Roman" w:eastAsiaTheme="minorEastAsia"/>
                          <w:color w:val="00000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 w:eastAsiaTheme="minorEastAsia"/>
                      <w:color w:val="00000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)</m:t>
              </m:r>
              <m:ctrlPr>
                <w:rPr>
                  <w:rFonts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)=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D26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</m:oMath>
      </m:oMathPara>
    </w:p>
    <w:p w14:paraId="4EF84B18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（对应表格“3.导管架过渡段、剪力键有限元疲劳损伤及疲劳改善”的第26行“应力范围内失效的预测循环次数”）</w:t>
      </w:r>
    </w:p>
    <w:p w14:paraId="4F5BE08A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改善后的累计疲劳损伤D’为：</w:t>
      </w:r>
      <w:bookmarkStart w:id="7" w:name="_GoBack"/>
      <w:bookmarkEnd w:id="7"/>
    </w:p>
    <w:p w14:paraId="7AC68D89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D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‘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=MAX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（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DFF</m:t>
          </m:r>
          <m:r>
            <m:rPr>
              <m:sty m:val="p"/>
            </m:rPr>
            <w:rPr>
              <w:rFonts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bidi="ar-SA"/>
            </w:rPr>
            <m:t>×</m:t>
          </m:r>
          <m:sSub>
            <m:sSubPr>
              <m:ctrlPr>
                <w:rPr>
                  <w:rFonts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N</m:t>
              </m:r>
              <m:ctrlPr>
                <w:rPr>
                  <w:rFonts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i</m:t>
              </m:r>
              <m:ctrlPr>
                <w:rPr>
                  <w:rFonts w:ascii="Cambria Math" w:hAnsi="Cambria Math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bidi="ar-SA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/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（</m:t>
          </m:r>
          <m:sSup>
            <m:sSupPr>
              <m:ctrlPr>
                <w:rPr>
                  <w:rFonts w:hint="default" w:ascii="Cambria Math" w:hAnsi="Cambria Math" w:cs="Times New Roman" w:eastAsiaTheme="minorEastAsia"/>
                  <w:i w:val="0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10</m:t>
              </m:r>
              <m:ctrlPr>
                <w:rPr>
                  <w:rFonts w:hint="default" w:ascii="Cambria Math" w:hAnsi="Cambria Math" w:cs="Times New Roman" w:eastAsiaTheme="minorEastAsia"/>
                  <w:i w:val="0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L</m:t>
              </m:r>
              <m:r>
                <m:rPr>
                  <m:sty m:val="p"/>
                </m:rPr>
                <w:rPr>
                  <w:rFonts w:hint="eastAsia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og</m:t>
              </m:r>
              <m:r>
                <m:rPr>
                  <m:sty m:val="p"/>
                </m:rPr>
                <w:rPr>
                  <w:rFonts w:hint="default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N</m:t>
              </m:r>
              <m:r>
                <m:rPr>
                  <m:sty m:val="p"/>
                </m:rPr>
                <w:rPr>
                  <w:rFonts w:hint="eastAsia" w:ascii="Times New Roman" w:hAnsi="Times New Roman" w:cs="Times New Roman" w:eastAsiaTheme="minorEastAsia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’</m:t>
              </m:r>
              <m:ctrlPr>
                <w:rPr>
                  <w:rFonts w:hint="default" w:ascii="Cambria Math" w:hAnsi="Cambria Math" w:cs="Times New Roman" w:eastAsiaTheme="minorEastAsia"/>
                  <w:i w:val="0"/>
                  <w:color w:val="00000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，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D/2</m:t>
          </m:r>
          <m:r>
            <m:rPr>
              <m:sty m:val="p"/>
            </m:rPr>
            <w:rPr>
              <w:rFonts w:hint="eastAsia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）</m:t>
          </m:r>
          <m:r>
            <m:rPr>
              <m:sty m:val="p"/>
            </m:rPr>
            <w:rPr>
              <w:rFonts w:hint="default" w:ascii="Times New Roman" w:hAnsi="Times New Roman" w:cs="Times New Roman" w:eastAsiaTheme="minorEastAsia"/>
              <w:color w:val="000000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{</m:t>
          </m:r>
          <m:r>
            <m:rPr/>
            <w:rPr>
              <w:rFonts w:hint="default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D27</m:t>
          </m:r>
          <m:r>
            <m:rPr/>
            <w:rPr>
              <w:rFonts w:hint="eastAsia" w:ascii="Cambria Math" w:hAnsi="Cambria Math" w:cs="Times New Roman"/>
              <w:color w:val="000000"/>
              <w:sz w:val="24"/>
              <w:szCs w:val="24"/>
              <w:highlight w:val="none"/>
              <w:lang w:val="en-US" w:eastAsia="zh-CN"/>
            </w:rPr>
            <m:t>}</m:t>
          </m:r>
        </m:oMath>
      </m:oMathPara>
    </w:p>
    <w:p w14:paraId="6F53F3EE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  <w:t>注：上述D为为改善时的累计疲劳损伤；保证D’＜1，则疲劳设计安全。</w:t>
      </w:r>
    </w:p>
    <w:p w14:paraId="07275729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i w:val="0"/>
          <w:color w:val="000000"/>
          <w:sz w:val="24"/>
          <w:szCs w:val="24"/>
          <w:highlight w:val="none"/>
          <w:lang w:val="en-US" w:eastAsia="zh-CN"/>
        </w:rPr>
        <w:t>（对应表格“3.导管架过渡段、剪力键有限元疲劳损伤及疲劳改善”的第27行“累计疲劳损伤”）</w:t>
      </w:r>
    </w:p>
    <w:p w14:paraId="74CBCC39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hAnsi="Cambria Math" w:cs="Times New Roman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</w:p>
    <w:p w14:paraId="32FE5E09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hAnsi="Cambria Math" w:cs="Times New Roman"/>
          <w:b w:val="0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</w:p>
    <w:p w14:paraId="4983422F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right="0"/>
        <w:jc w:val="both"/>
        <w:rPr>
          <w:rFonts w:hint="default" w:hAnsi="Cambria Math" w:cs="Times New Roman"/>
          <w:i w:val="0"/>
          <w:color w:val="000000"/>
          <w:kern w:val="2"/>
          <w:sz w:val="24"/>
          <w:szCs w:val="24"/>
          <w:highlight w:val="none"/>
          <w:lang w:val="en-US" w:eastAsia="zh-CN" w:bidi="ar-SA"/>
        </w:rPr>
      </w:pPr>
    </w:p>
    <w:p w14:paraId="37DAD68F">
      <w:pPr>
        <w:rPr>
          <w:rFonts w:hint="default" w:eastAsiaTheme="minorEastAsia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6AA3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CB5B7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CB5B7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878CC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E625A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E625A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6A4D2">
    <w:pPr>
      <w:pStyle w:val="10"/>
      <w:pBdr>
        <w:bottom w:val="single" w:color="auto" w:sz="4" w:space="0"/>
      </w:pBdr>
      <w:adjustRightInd w:val="0"/>
      <w:snapToGrid w:val="0"/>
      <w:spacing w:before="0" w:line="240" w:lineRule="auto"/>
      <w:jc w:val="both"/>
      <w:rPr>
        <w:rFonts w:hint="default"/>
        <w:sz w:val="21"/>
        <w:szCs w:val="28"/>
        <w:lang w:val="en-US" w:eastAsia="zh-CN"/>
      </w:rPr>
    </w:pPr>
    <w:r>
      <w:rPr>
        <w:rFonts w:hint="eastAsia"/>
        <w:b w:val="0"/>
        <w:bCs/>
        <w:sz w:val="21"/>
        <w:szCs w:val="21"/>
      </w:rPr>
      <w:t>导管架过渡段、剪力键有限元疲劳损伤及疲劳改善计算书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82431"/>
    <w:rsid w:val="0E4E21D8"/>
    <w:rsid w:val="1072110B"/>
    <w:rsid w:val="113D2108"/>
    <w:rsid w:val="174329DC"/>
    <w:rsid w:val="191E5BB7"/>
    <w:rsid w:val="193C6C6F"/>
    <w:rsid w:val="1C4667D7"/>
    <w:rsid w:val="20D54120"/>
    <w:rsid w:val="2E262354"/>
    <w:rsid w:val="33B57D31"/>
    <w:rsid w:val="39DD2404"/>
    <w:rsid w:val="3D6E4E59"/>
    <w:rsid w:val="3DF853BD"/>
    <w:rsid w:val="3E1D53DF"/>
    <w:rsid w:val="3E790F0E"/>
    <w:rsid w:val="46040D80"/>
    <w:rsid w:val="4A2512BA"/>
    <w:rsid w:val="4BA601D9"/>
    <w:rsid w:val="518016C1"/>
    <w:rsid w:val="52432671"/>
    <w:rsid w:val="5DB82431"/>
    <w:rsid w:val="5DE84681"/>
    <w:rsid w:val="6006144E"/>
    <w:rsid w:val="73E406E9"/>
    <w:rsid w:val="73F700A8"/>
    <w:rsid w:val="7420679A"/>
    <w:rsid w:val="796504B8"/>
    <w:rsid w:val="79AF1063"/>
    <w:rsid w:val="7C8D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3" w:lineRule="auto"/>
      <w:outlineLvl w:val="1"/>
    </w:pPr>
    <w:rPr>
      <w:rFonts w:ascii="Times New Roman" w:hAnsi="Times New Roman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Theme="minorEastAsia"/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0"/>
    <w:pPr>
      <w:ind w:left="840" w:leftChars="4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customStyle="1" w:styleId="10">
    <w:name w:val="封面标准英文名称"/>
    <w:qFormat/>
    <w:uiPriority w:val="0"/>
    <w:pPr>
      <w:widowControl w:val="0"/>
      <w:spacing w:before="370" w:line="400" w:lineRule="exact"/>
      <w:jc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character" w:customStyle="1" w:styleId="11">
    <w:name w:val="font21"/>
    <w:basedOn w:val="9"/>
    <w:qFormat/>
    <w:uiPriority w:val="0"/>
    <w:rPr>
      <w:rFonts w:hint="default" w:ascii="Arial" w:hAnsi="Arial" w:cs="Arial"/>
      <w:b/>
      <w:bCs/>
      <w:color w:val="FFFFFF"/>
      <w:sz w:val="20"/>
      <w:szCs w:val="20"/>
      <w:u w:val="none"/>
    </w:rPr>
  </w:style>
  <w:style w:type="character" w:customStyle="1" w:styleId="12">
    <w:name w:val="font11"/>
    <w:basedOn w:val="9"/>
    <w:qFormat/>
    <w:uiPriority w:val="0"/>
    <w:rPr>
      <w:rFonts w:hint="eastAsia" w:ascii="宋体" w:hAnsi="宋体" w:eastAsia="宋体" w:cs="宋体"/>
      <w:b/>
      <w:bCs/>
      <w:color w:val="FFFFFF"/>
      <w:sz w:val="20"/>
      <w:szCs w:val="20"/>
      <w:u w:val="none"/>
    </w:rPr>
  </w:style>
  <w:style w:type="character" w:customStyle="1" w:styleId="13">
    <w:name w:val="font41"/>
    <w:basedOn w:val="9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paragraph" w:customStyle="1" w:styleId="14">
    <w:name w:val="表头"/>
    <w:basedOn w:val="1"/>
    <w:qFormat/>
    <w:uiPriority w:val="0"/>
    <w:pPr>
      <w:spacing w:beforeLines="50" w:line="360" w:lineRule="auto"/>
      <w:jc w:val="center"/>
    </w:pPr>
    <w:rPr>
      <w:rFonts w:ascii="Times New Roman" w:hAnsi="Times New Roman" w:cs="Times New Roman"/>
      <w:b/>
      <w:szCs w:val="20"/>
    </w:rPr>
  </w:style>
  <w:style w:type="paragraph" w:customStyle="1" w:styleId="15">
    <w:name w:val="Table Paragraph"/>
    <w:basedOn w:val="1"/>
    <w:autoRedefine/>
    <w:qFormat/>
    <w:uiPriority w:val="1"/>
    <w:pPr>
      <w:widowControl/>
      <w:autoSpaceDE w:val="0"/>
      <w:autoSpaceDN w:val="0"/>
      <w:spacing w:before="66"/>
      <w:jc w:val="center"/>
    </w:pPr>
    <w:rPr>
      <w:rFonts w:ascii="Calibri" w:hAnsi="Calibri" w:eastAsia="Calibri" w:cs="Times New Roman"/>
      <w:bCs/>
      <w:color w:val="000000" w:themeColor="text1"/>
      <w:kern w:val="0"/>
      <w:sz w:val="18"/>
      <w:szCs w:val="24"/>
      <w:lang w:eastAsia="ko-KR"/>
      <w14:textFill>
        <w14:solidFill>
          <w14:schemeClr w14:val="tx1"/>
        </w14:solidFill>
      </w14:textFill>
    </w:rPr>
  </w:style>
  <w:style w:type="table" w:customStyle="1" w:styleId="16">
    <w:name w:val="Table Normal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2561</Words>
  <Characters>3277</Characters>
  <Lines>0</Lines>
  <Paragraphs>0</Paragraphs>
  <TotalTime>6</TotalTime>
  <ScaleCrop>false</ScaleCrop>
  <LinksUpToDate>false</LinksUpToDate>
  <CharactersWithSpaces>3360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2025-07-05T01:52:00Z</dcterms:created>
  <dc:creator>王瑞杰</dc:creator>
  <cp:lastModifiedBy>WPS_1645254651</cp:lastModifiedBy>
  <dcterms:modified xsi:type="dcterms:W3CDTF">2025-07-08T07:13:49Z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0DCC4D68EE064F2CB8EF08BCAECD9BBE_13</vt:lpwstr>
  </property>
  <property fmtid="{D5CDD505-2E9C-101B-9397-08002B2CF9AE}" pid="4" name="KSOTemplateDocerSaveRecord">
    <vt:lpwstr>eyJoZGlkIjoiZTlkMDNhNjAwYTlkYTMzMjllOTIyN2U2ZmI2NjY5YTAiLCJ1c2VySWQiOiIxMzMzNjU1MzkxIn0=</vt:lpwstr>
  </property>
</Properties>
</file>