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D3BF3" w14:textId="77777777" w:rsidR="0000550D" w:rsidRPr="0000550D" w:rsidRDefault="0000550D" w:rsidP="0000550D">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00550D">
        <w:rPr>
          <w:rFonts w:ascii="宋体" w:eastAsia="宋体" w:hAnsi="宋体" w:cs="宋体"/>
          <w:b/>
          <w:bCs/>
          <w:kern w:val="36"/>
          <w:sz w:val="48"/>
          <w:szCs w:val="48"/>
          <w14:ligatures w14:val="none"/>
        </w:rPr>
        <w:t>黄金市场量化交易策略体系深度研究报告：从宏观多因子定价到微观结构的高频套利</w:t>
      </w:r>
    </w:p>
    <w:p w14:paraId="4ED1C207"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1. 引言：黄金资产的量化属性与市场微观结构</w:t>
      </w:r>
    </w:p>
    <w:p w14:paraId="600D5DFC"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黄金，作为全球金融体系中兼具货币属性、商品属性与金融资产属性的独特标的，其价格形成机制的复杂性为量化交易提供了广阔的策略空间。与传统的权益类资产不同，黄金没有现金流（Dividends），其价值主要体现在避险功能、抗通胀能力以及作为信用货币的替代储备上。这种特殊的资产属性决定了黄金量化策略必须在一个多维度的框架下进行构建：既要包含捕捉宏观经济周期的大类资产配置模型，又要涵盖基于统计套利的均值回归策略，以及深入订单簿层面的高频微观结构分析。</w:t>
      </w:r>
    </w:p>
    <w:p w14:paraId="7BDB6569"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全球金融市场的演变过程中，黄金市场的流动性结构呈现出显著的碎片化与集中化并存的特征。主要的流动性池集中在伦敦的场外交易市场（OTC）和纽约商品交易所（COMEX）的期货市场，此外上海黄金交易所（SGE）的影响力也在日益增强 。伦敦市场以现货定盘价（London Fix）为核心，主要服务于机构的大宗实物交割与结算；而纽约市场则通过期货和期权合约提供了高度标准化的衍生品交易环境，是高频交易（HFT）和算法策略的主要战场。这两个市场的时区重叠与价格传递机制，为跨市场套利和日内季节性策略提供了理论基础。</w:t>
      </w:r>
    </w:p>
    <w:p w14:paraId="2ACE5752"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本报告旨在系统性地剖析黄金量化交易的全谱系策略。我们将从宏观因子的量化建模出发，深入探讨实际利率、美元指数及地缘政治风险对金价的非线性驱动机制；随后进入技术层面，详细评估趋势跟踪与均值回归策略的参数优化与失效边界；进而剖析金银比、期限结构及跨资产套利的统计学原理。在方法论上，报告将重点论述机器学习算法（如LSTM、随机森林）在非线性预测中的应用，以及自然语言处理（NLP）在情绪因子挖掘中的前沿进展。最后，我们将深入市场微观结构，分析流动性分布、滑点控制及基于波动率偏度的期权对冲策略，为构建稳健的机构级黄金量化系统提供详尽的实证依据与操作指南。</w:t>
      </w:r>
    </w:p>
    <w:p w14:paraId="48F8A71A"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2. 宏观驱动因子的量化建模与非线性关系分析</w:t>
      </w:r>
    </w:p>
    <w:p w14:paraId="062F60C6"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构建长周期的黄金量化策略，首要任务是量化宏观经济变量对金价的驱动效应。尽管市场普遍认为黄金与美元、利率呈负相关，但量化研究表明，这种关系并非线性恒定的，而是随着宏观经济体制（Regime）的切换而呈现出显著的时变特征。</w:t>
      </w:r>
    </w:p>
    <w:p w14:paraId="62A0349D"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2.1 实际利率：持有成本模型的量化验证</w:t>
      </w:r>
    </w:p>
    <w:p w14:paraId="370F5D1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lastRenderedPageBreak/>
        <w:t>根据金融资产定价的基本原理，黄金作为零息资产，其理论价格受持有成本（Cost of Carry）的显著影响。实际利率（Real Interest Rate），即名义利率扣除通胀预期后的收益率，构成了持有黄金的主要机会成本。</w:t>
      </w:r>
    </w:p>
    <w:p w14:paraId="63728D46"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2.1.1 实际利率的代理指标与相关性测度</w:t>
      </w:r>
    </w:p>
    <w:p w14:paraId="3CA29B6F"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量化模型中，最常用的实际利率代理指标是美国10年期通胀保值债券（TIPS）的收益率。TIPS收益率直接反映了市场对扣除通胀后的无风险回报要求。统计分析显示，黄金价格与10年期TIPS收益率之间存在长期的负相关关系 。当实际利率上升时，持有黄金的机会成本增加，资金流向生息资产，导致金价下跌；反之，当实际利率下降甚至转负时，黄金的相对吸引力大幅提升，推动价格上涨。</w:t>
      </w:r>
    </w:p>
    <w:p w14:paraId="4531C578"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然而，简单的线性回归模型往往难以捕捉两者关系的全部细节。研究指出，金价变动中约84%的方差无法仅通过实际利率的变化来解释，其相关系数在不同时间窗口下波动剧烈，平均约为 -0.16 。这意味着，虽然实际利率决定了金价的长期中枢，但在短期内，其他因子（如避险情绪、央行购金）可能占据主导地位。</w:t>
      </w:r>
    </w:p>
    <w:p w14:paraId="217165C3"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2.1.2 利率敏感度的非线性特征</w:t>
      </w:r>
    </w:p>
    <w:p w14:paraId="1659A32A"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量化策略需要引入非线性模型来处理利率敏感度的变化。例如，在实际利率处于极低或负值区间时，金价对利率变动的敏感度（Delta）通常会显著放大，呈现出凸性（Convexity）特征。这是因为在负利率环境下，传统债券资产失去配置价值，黄金的“零收益”实际上变成了“相对高收益”。通过构建基于状态空间模型（State-Space Model）或门限回归模型（Threshold Regression），策略可以在不同的利率区间赋予该因子不同的权重 。</w:t>
      </w:r>
    </w:p>
    <w:p w14:paraId="07D53404"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2.2 美元指数（DXY）与货币对冲效应的动态机制</w:t>
      </w:r>
    </w:p>
    <w:p w14:paraId="193921F2"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黄金通常以美元计价（XAU/USD），这种计价机制天然地赋予了两者负相关的数学基础。然而，从量化交易的角度看，美元指数（DXY）与黄金的关系远比简单的计价单位效应复杂。</w:t>
      </w:r>
    </w:p>
    <w:p w14:paraId="3FD80600"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2.2.1 计价效应与全球购买力平价</w:t>
      </w:r>
    </w:p>
    <w:p w14:paraId="5D6AF39B"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美元指数衡量了美元相对于一篮子主要货币（欧元、日元、英镑等）的强弱。当美元走强时，对于非美元本位币的投资者而言，黄金变得更加昂贵，从而抑制实物需求，对金价形成压制 。量化模型通常将DXY作为外生变量输入，通过协整检验来确认其与金价的长期均衡关系。</w:t>
      </w:r>
    </w:p>
    <w:p w14:paraId="6B1077B1"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2.2.2 “避险同涨”现象与相关性崩溃</w:t>
      </w:r>
    </w:p>
    <w:p w14:paraId="71CCC133"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lastRenderedPageBreak/>
        <w:t>在构建多因子模型时，必须警惕DXY与黄金相关性的结构性断裂。在极端的市场恐慌时期（如2008年流动性危机或2020年3月疫情爆发初期），市场往往会出现“美元与黄金同涨”的现象 。这是因为在极度避险（Risk-Off）模式下，资金同时涌向美元（寻求流动性）和黄金（寻求价值贮藏），导致两者传统的负相关关系失效。 量化策略应包含“相关性崩溃”检测模块。通过计算DXY与Gold的滚动相关系数（Rolling Correlation），当相关系数从负值急剧转正并伴随VIX指数飙升时，系统应自动切换策略逻辑，从对冲模式转为双多头模式，或暂停基于负相关假设的套利交易。</w:t>
      </w:r>
    </w:p>
    <w:p w14:paraId="571CC420"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2.3 地缘政治风险的量化与事件驱动策略</w:t>
      </w:r>
    </w:p>
    <w:p w14:paraId="059CF08C"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地缘政治冲突是黄金价格短期剧烈波动的重要催化剂。传统的定性分析难以直接用于算法交易，因此引入可量化的地缘政治风险指标至关重要。</w:t>
      </w:r>
    </w:p>
    <w:p w14:paraId="70C4D411"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2.3.1 GPR指数的应用</w:t>
      </w:r>
    </w:p>
    <w:p w14:paraId="4A088CA2"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Matteo Iacoviello编制的地缘政治风险指数（Geopolitical Risk Index, GPR）通过文本挖掘技术，统计全球主流媒体中涉及战争、恐怖主义及地缘紧张局势的关键词频率，将模糊的政治风险转化为连续的时间序列数据 。研究表明，GPR指数的飙升通常具有显著的左侧预警特征，即在金价大幅跳涨之前或同步发生 。</w:t>
      </w:r>
    </w:p>
    <w:p w14:paraId="4507F174"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2.3.2 波动率传导与非对称效应</w:t>
      </w:r>
    </w:p>
    <w:p w14:paraId="5CC6B75F"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通过EGARCH（指数广义自回归条件异方差）模型分析发现，地缘政治风险对黄金收益率波动存在显著的非对称效应：负面冲击（如战争爆发）引起的波动率增加幅度远大于正面冲击（如局势缓和） 。这意味着在地缘政治紧张时期，黄金的期权隐含波动率（IV）偏度会发生剧烈变化。 量化策略可以利用GPR指数作为波动率预测模型的输入特征。当GPR指数突破特定阈值（如历史95分位数）时，策略可以自动增加现货多头敞口，或买入看涨期权（Call Options）以捕捉波动率溢价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766"/>
        <w:gridCol w:w="1572"/>
        <w:gridCol w:w="1967"/>
        <w:gridCol w:w="2218"/>
      </w:tblGrid>
      <w:tr w:rsidR="0000550D" w:rsidRPr="0000550D" w14:paraId="30E33476" w14:textId="77777777" w:rsidTr="0000550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5953F"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宏观因子</w:t>
            </w:r>
          </w:p>
        </w:tc>
        <w:tc>
          <w:tcPr>
            <w:tcW w:w="0" w:type="auto"/>
            <w:tcBorders>
              <w:top w:val="single" w:sz="6" w:space="0" w:color="auto"/>
              <w:left w:val="single" w:sz="6" w:space="0" w:color="auto"/>
              <w:bottom w:val="single" w:sz="6" w:space="0" w:color="auto"/>
              <w:right w:val="single" w:sz="6" w:space="0" w:color="auto"/>
            </w:tcBorders>
            <w:vAlign w:val="center"/>
            <w:hideMark/>
          </w:tcPr>
          <w:p w14:paraId="0FEB74A5"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数据源</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6A0DA"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典型相关性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5ACE6"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量化建模方法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6EE5D"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策略应用场景</w:t>
            </w:r>
          </w:p>
        </w:tc>
      </w:tr>
      <w:tr w:rsidR="0000550D" w:rsidRPr="0000550D" w14:paraId="00C267DC"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606212"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实际利率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EFFCA"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10年期TIPS收益率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7CB83"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负相关 (非线性)</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74657"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状态空间模型, 门限回归</w:t>
            </w:r>
          </w:p>
        </w:tc>
        <w:tc>
          <w:tcPr>
            <w:tcW w:w="0" w:type="auto"/>
            <w:tcBorders>
              <w:top w:val="single" w:sz="6" w:space="0" w:color="auto"/>
              <w:left w:val="single" w:sz="6" w:space="0" w:color="auto"/>
              <w:bottom w:val="single" w:sz="6" w:space="0" w:color="auto"/>
              <w:right w:val="single" w:sz="6" w:space="0" w:color="auto"/>
            </w:tcBorders>
            <w:vAlign w:val="center"/>
            <w:hideMark/>
          </w:tcPr>
          <w:p w14:paraId="3DB26B12"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长期资产配置, 利率对冲</w:t>
            </w:r>
          </w:p>
        </w:tc>
      </w:tr>
      <w:tr w:rsidR="0000550D" w:rsidRPr="0000550D" w14:paraId="2B3FFC7C"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71FFD"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美元指数</w:t>
            </w:r>
          </w:p>
        </w:tc>
        <w:tc>
          <w:tcPr>
            <w:tcW w:w="0" w:type="auto"/>
            <w:tcBorders>
              <w:top w:val="single" w:sz="6" w:space="0" w:color="auto"/>
              <w:left w:val="single" w:sz="6" w:space="0" w:color="auto"/>
              <w:bottom w:val="single" w:sz="6" w:space="0" w:color="auto"/>
              <w:right w:val="single" w:sz="6" w:space="0" w:color="auto"/>
            </w:tcBorders>
            <w:vAlign w:val="center"/>
            <w:hideMark/>
          </w:tcPr>
          <w:p w14:paraId="3B33082D"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DXY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D6E6E"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负相关</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241C2"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协整模型, 滚动相关分析</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19A7A"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货币对冲, 跨市套利</w:t>
            </w:r>
          </w:p>
        </w:tc>
      </w:tr>
      <w:tr w:rsidR="0000550D" w:rsidRPr="0000550D" w14:paraId="2D261F98"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5E36F"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lastRenderedPageBreak/>
              <w:t>地缘政治</w:t>
            </w:r>
          </w:p>
        </w:tc>
        <w:tc>
          <w:tcPr>
            <w:tcW w:w="0" w:type="auto"/>
            <w:tcBorders>
              <w:top w:val="single" w:sz="6" w:space="0" w:color="auto"/>
              <w:left w:val="single" w:sz="6" w:space="0" w:color="auto"/>
              <w:bottom w:val="single" w:sz="6" w:space="0" w:color="auto"/>
              <w:right w:val="single" w:sz="6" w:space="0" w:color="auto"/>
            </w:tcBorders>
            <w:vAlign w:val="center"/>
            <w:hideMark/>
          </w:tcPr>
          <w:p w14:paraId="52B2F09D"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GPR Index</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5A854"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正相关 (波动率溢出)</w:t>
            </w:r>
          </w:p>
        </w:tc>
        <w:tc>
          <w:tcPr>
            <w:tcW w:w="0" w:type="auto"/>
            <w:tcBorders>
              <w:top w:val="single" w:sz="6" w:space="0" w:color="auto"/>
              <w:left w:val="single" w:sz="6" w:space="0" w:color="auto"/>
              <w:bottom w:val="single" w:sz="6" w:space="0" w:color="auto"/>
              <w:right w:val="single" w:sz="6" w:space="0" w:color="auto"/>
            </w:tcBorders>
            <w:vAlign w:val="center"/>
            <w:hideMark/>
          </w:tcPr>
          <w:p w14:paraId="7AD76A91"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EGARCH模型, 事件研究法</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02487"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事件驱动交易, 期权波动率套利</w:t>
            </w:r>
          </w:p>
        </w:tc>
      </w:tr>
      <w:tr w:rsidR="0000550D" w:rsidRPr="0000550D" w14:paraId="4D21932A"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96C7D0"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通胀预期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C35E0"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Breakeven Rates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2BBEDF"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正相关</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64B73"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向量自回归 (VAR)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95DD5"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抗通胀配置, 宏观对冲</w:t>
            </w:r>
          </w:p>
        </w:tc>
      </w:tr>
    </w:tbl>
    <w:p w14:paraId="1C17837C"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3. 趋势跟踪策略：算法逻辑、参数优化与信号过滤</w:t>
      </w:r>
    </w:p>
    <w:p w14:paraId="4D1BDBA0"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趋势跟踪（Trend Following）是黄金量化交易中最经典且经久不衰的策略类型。由于黄金深受宏观周期和央行政策的长期影响，其价格走势往往表现出显著的自相关性（Autocorrelation）和长记忆性（Long Memory），这为趋势策略提供了获利的统计学基础。</w:t>
      </w:r>
    </w:p>
    <w:p w14:paraId="40C57014"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3.1 移动平均线交叉策略的深度剖析</w:t>
      </w:r>
    </w:p>
    <w:p w14:paraId="716978C5"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移动平均线（Moving Average, MA）交叉策略通过长短周期均线的相对位置来过滤市场噪音并识别主趋势 。尽管原理简单，但在实战中需要精细的参数优化和逻辑增强。</w:t>
      </w:r>
    </w:p>
    <w:p w14:paraId="764AFEAC"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3.1.1 均线类型的选择：SMA vs. EMA</w:t>
      </w:r>
    </w:p>
    <w:p w14:paraId="3618F5E9" w14:textId="77777777" w:rsidR="0000550D" w:rsidRPr="0000550D" w:rsidRDefault="0000550D" w:rsidP="0000550D">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简单移动平均（SMA）</w:t>
      </w:r>
      <w:r w:rsidRPr="0000550D">
        <w:rPr>
          <w:rFonts w:ascii="宋体" w:eastAsia="宋体" w:hAnsi="宋体" w:cs="宋体"/>
          <w:kern w:val="0"/>
          <w:sz w:val="24"/>
          <w14:ligatures w14:val="none"/>
        </w:rPr>
        <w:t>：赋予所有数据点相同的权重，反应较慢但信号稳定性高。经典的“黄金交叉”（Golden Cross）即采用50日SMA上穿200日SMA作为牛市确认信号 。这种配置适合长线基金（Long-only Funds）的仓位管理，但在高波动市场中滞后性严重。</w:t>
      </w:r>
    </w:p>
    <w:p w14:paraId="769EB4FF" w14:textId="77777777" w:rsidR="0000550D" w:rsidRPr="0000550D" w:rsidRDefault="0000550D" w:rsidP="0000550D">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指数移动平均（EMA）</w:t>
      </w:r>
      <w:r w:rsidRPr="0000550D">
        <w:rPr>
          <w:rFonts w:ascii="宋体" w:eastAsia="宋体" w:hAnsi="宋体" w:cs="宋体"/>
          <w:kern w:val="0"/>
          <w:sz w:val="24"/>
          <w14:ligatures w14:val="none"/>
        </w:rPr>
        <w:t>：对近期价格赋予更高的权重，权重随时间呈指数衰减。对于波段交易（Swing Trading），常用的组合如20日EMA与50日EMA交叉，能够更敏锐地捕捉中短期趋势的转折 。量化回测显示，在快速变动的市场中，EMA组合通常能比SMA组合提前3-5个交易日发出信号，但也伴随着更高的假信号率（False Positive Rate）。</w:t>
      </w:r>
    </w:p>
    <w:p w14:paraId="4192942C"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3.1.2 参数优化的陷阱与解决方案</w:t>
      </w:r>
    </w:p>
    <w:p w14:paraId="2F4B2770"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简单的双均线策略在震荡市（Range-bound Market）中会遭遇致命的“拉锯效应”（Whipsaw），导致资金曲线大幅回撤。为了解决这一问题，量化研究引入了多种优化方案：</w:t>
      </w:r>
    </w:p>
    <w:p w14:paraId="7134CA27" w14:textId="77777777" w:rsidR="0000550D" w:rsidRPr="0000550D" w:rsidRDefault="0000550D" w:rsidP="0000550D">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lastRenderedPageBreak/>
        <w:t>自适应均线（Adaptive Moving Average, AMA）</w:t>
      </w:r>
      <w:r w:rsidRPr="0000550D">
        <w:rPr>
          <w:rFonts w:ascii="宋体" w:eastAsia="宋体" w:hAnsi="宋体" w:cs="宋体"/>
          <w:kern w:val="0"/>
          <w:sz w:val="24"/>
          <w14:ligatures w14:val="none"/>
        </w:rPr>
        <w:t>：如Kaufman AMA，根据市场波动率动态调整平滑系数。当市场噪音大（波动率高但无方向）时，AMA变平，减少交易频率；当趋势明显时，AMA变陡，紧跟价格。</w:t>
      </w:r>
    </w:p>
    <w:p w14:paraId="113C2B8A" w14:textId="77777777" w:rsidR="0000550D" w:rsidRPr="0000550D" w:rsidRDefault="0000550D" w:rsidP="0000550D">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多周期共振（Multi-Timeframe Confirmation）</w:t>
      </w:r>
      <w:r w:rsidRPr="0000550D">
        <w:rPr>
          <w:rFonts w:ascii="宋体" w:eastAsia="宋体" w:hAnsi="宋体" w:cs="宋体"/>
          <w:kern w:val="0"/>
          <w:sz w:val="24"/>
          <w14:ligatures w14:val="none"/>
        </w:rPr>
        <w:t>：策略仅在日线图和周线图趋势方向一致时才执行信号。例如，当周线处于多头排列时，日线的死叉信号仅作为减仓信号而非做空信号，从而避免逆大势操作 。</w:t>
      </w:r>
    </w:p>
    <w:p w14:paraId="4C5EF9DD"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3.2 信号过滤与增强机制</w:t>
      </w:r>
    </w:p>
    <w:p w14:paraId="72A47DFB"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为了提高胜率（Win Rate）和盈亏比（Risk/Reward Ratio），单纯的价格交叉信号往往需要辅助指标的确认。</w:t>
      </w:r>
    </w:p>
    <w:p w14:paraId="2B81F933"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3.2.1 动量与成交量的结合</w:t>
      </w:r>
    </w:p>
    <w:p w14:paraId="3441EC79"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MACD（指数平滑异同移动平均线）是均线策略的最佳搭档。一种有效的过滤逻辑是：仅在均线发生金叉且MACD柱状图（Histogram）位于零轴上方并持续扩张时入场 。这确保了趋势不仅在方向上发生了反转，而且在动量（Momentum）上得到了加速。 成交量（Volume）是另一个关键过滤器。根据量价理论，突破有效性需要成交量的配合。量化规则可以设定为：交叉当日的成交量必须高于过去20日平均成交量的1.2倍，否则视为“弱信号”予以放弃。</w:t>
      </w:r>
    </w:p>
    <w:p w14:paraId="6019BAB7"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3.2.2 动态止损与移动止盈</w:t>
      </w:r>
    </w:p>
    <w:p w14:paraId="561CF9BD"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趋势策略的核心在于“截断亏损，让利润奔跑”。静态止损在黄金的高波动特性下容易被扫损。</w:t>
      </w:r>
    </w:p>
    <w:p w14:paraId="30A599C8" w14:textId="77777777" w:rsidR="0000550D" w:rsidRPr="0000550D" w:rsidRDefault="0000550D" w:rsidP="0000550D">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基于ATR的移动止损（Chandelier Exit）</w:t>
      </w:r>
      <w:r w:rsidRPr="0000550D">
        <w:rPr>
          <w:rFonts w:ascii="宋体" w:eastAsia="宋体" w:hAnsi="宋体" w:cs="宋体"/>
          <w:kern w:val="0"/>
          <w:sz w:val="24"/>
          <w14:ligatures w14:val="none"/>
        </w:rPr>
        <w:t>：利用平均真实波幅（ATR）来设定动态止损位。例如，止损价 = 最高价 - 3 * ATR。随着价格上涨，止损线自动上移，确保回撤控制在波动率允许的范围内 。</w:t>
      </w:r>
    </w:p>
    <w:p w14:paraId="5C096A7E" w14:textId="77777777" w:rsidR="0000550D" w:rsidRPr="0000550D" w:rsidRDefault="0000550D" w:rsidP="0000550D">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结构性移动止损</w:t>
      </w:r>
      <w:r w:rsidRPr="0000550D">
        <w:rPr>
          <w:rFonts w:ascii="宋体" w:eastAsia="宋体" w:hAnsi="宋体" w:cs="宋体"/>
          <w:kern w:val="0"/>
          <w:sz w:val="24"/>
          <w14:ligatures w14:val="none"/>
        </w:rPr>
        <w:t>：利用价格摆动高低点（Swing High/Low）。在多头趋势中，将止损置于最近一个Higher Low之下 。这种方法更符合道氏理论的市场结构逻辑。</w:t>
      </w:r>
    </w:p>
    <w:p w14:paraId="70473FA2"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3.3 行业基准与策略归因</w:t>
      </w:r>
    </w:p>
    <w:p w14:paraId="78611E36"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在开发趋势策略时，必须参考行业基准如SG趋势指数（SG Trend Index）。该指数追踪全球主流CTA基金的表现。如果自研策略与SG Trend Index的相关性过高（&gt;0.7），说明策略缺乏独特性（Alpha），更多是在获取风格Beta。 归因分析（Attribution Analysis）显示，黄金和贵金属板块往往是SG趋势指数在通胀预期上升年份（如2010-2011, 2020）的主要收益贡献者 。这意味着在宏观环境有利于趋势形成时，加大趋势策略的杠杆或权重是合理的战术调整。</w:t>
      </w:r>
    </w:p>
    <w:p w14:paraId="40D10144"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lastRenderedPageBreak/>
        <w:t>4. 均值回归与统计套利策略：震荡市场中的数学优势</w:t>
      </w:r>
    </w:p>
    <w:p w14:paraId="2D2A6D17"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与趋势跟踪相反，均值回归（Mean Reversion）策略基于价格偏离均衡值后必然回归的统计学假设。在黄金市场缺乏重大宏观事件驱动的盘整期，均值回归策略是主要的获利手段。</w:t>
      </w:r>
    </w:p>
    <w:p w14:paraId="4FA7C799"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4.1 布林带与RSI的高频融合</w:t>
      </w:r>
    </w:p>
    <w:p w14:paraId="72A113EB"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布林带（Bollinger Bands）利用统计学中的标准差原理构建动态的价格通道，是均值回归策略的核心工具。</w:t>
      </w:r>
    </w:p>
    <w:p w14:paraId="28860852"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4.1.1 策略逻辑与参数修正</w:t>
      </w:r>
    </w:p>
    <w:p w14:paraId="38FA05A2"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传统的均值回归逻辑是在价格触及布林带上轨（通常为20日均线+2倍标准差）时做空，触及下轨时做多。然而，在强趋势中，价格可能沿着上轨持续运行（Band Walk），导致逆势策略巨亏。</w:t>
      </w:r>
    </w:p>
    <w:p w14:paraId="6AB6FB81"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为此，量化策略通常结合相对强弱指数（RSI）进行双重确认。</w:t>
      </w:r>
    </w:p>
    <w:p w14:paraId="08DB7409" w14:textId="77777777" w:rsidR="0000550D" w:rsidRPr="0000550D" w:rsidRDefault="0000550D" w:rsidP="0000550D">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Larry Connors 2-period RSI</w:t>
      </w:r>
      <w:r w:rsidRPr="0000550D">
        <w:rPr>
          <w:rFonts w:ascii="宋体" w:eastAsia="宋体" w:hAnsi="宋体" w:cs="宋体"/>
          <w:kern w:val="0"/>
          <w:sz w:val="24"/>
          <w14:ligatures w14:val="none"/>
        </w:rPr>
        <w:t>：传统14周期RSI反应过慢。Connors提出的2周期RSI策略在黄金短线交易中表现优异。规则如下：当价格低于布林带下轨且2周期RSI &lt; 5时买入；当价格高于5日均线时平仓。这种策略利用了黄金价格极短期的过度反应（Overreaction）。</w:t>
      </w:r>
    </w:p>
    <w:p w14:paraId="65FF2D85"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4.1.2 ADX趋势过滤</w:t>
      </w:r>
    </w:p>
    <w:p w14:paraId="098246A0"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均值回归策略最大的死敌是趋势。引入平均趋向指标（ADX）作为环境过滤器至关重要。量化规则：仅在ADX &lt; 20（显示无趋势）或ADX &lt; 25且正在下降时，才激活均值回归模块；一旦ADX突破30，系统强制平仓或切换至趋势跟踪模式 。</w:t>
      </w:r>
    </w:p>
    <w:p w14:paraId="65DC0C8A"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4.2 金银比（Gold-Silver Ratio）的统计套利</w:t>
      </w:r>
    </w:p>
    <w:p w14:paraId="45D9EE9D"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金银比不仅是宏观指标，更是统计套利（Pairs Trading）的绝佳标的。由于黄金和白银具有高度的替代性和受相似宏观因子的驱动，两者价格序列通常通过协整（Cointegration）检验 。</w:t>
      </w:r>
    </w:p>
    <w:p w14:paraId="54A3C6C3"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4.2.1 协整模型与配对交易</w:t>
      </w:r>
    </w:p>
    <w:p w14:paraId="2A0D1CDB"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不同于相关性（Correlation），协整意味着两个非平稳时间序列的线性组合是平稳的。</w:t>
      </w:r>
    </w:p>
    <w:p w14:paraId="5418B441" w14:textId="77777777" w:rsidR="0000550D" w:rsidRPr="0000550D" w:rsidRDefault="0000550D" w:rsidP="0000550D">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lastRenderedPageBreak/>
        <w:t>两步法策略构建</w:t>
      </w:r>
      <w:r w:rsidRPr="0000550D">
        <w:rPr>
          <w:rFonts w:ascii="宋体" w:eastAsia="宋体" w:hAnsi="宋体" w:cs="宋体"/>
          <w:kern w:val="0"/>
          <w:sz w:val="24"/>
          <w14:ligatures w14:val="none"/>
        </w:rPr>
        <w:t>：</w:t>
      </w:r>
    </w:p>
    <w:p w14:paraId="52C81261" w14:textId="77777777" w:rsidR="0000550D" w:rsidRPr="0000550D" w:rsidRDefault="0000550D" w:rsidP="0000550D">
      <w:pPr>
        <w:widowControl/>
        <w:numPr>
          <w:ilvl w:val="1"/>
          <w:numId w:val="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回归分析</w:t>
      </w:r>
      <w:r w:rsidRPr="0000550D">
        <w:rPr>
          <w:rFonts w:ascii="宋体" w:eastAsia="宋体" w:hAnsi="宋体" w:cs="宋体"/>
          <w:kern w:val="0"/>
          <w:sz w:val="24"/>
          <w14:ligatures w14:val="none"/>
        </w:rPr>
        <w:t>：对黄金（$P_{Au}$）和白银（$P_{Ag}$）的对数价格进行OLS回归：$\ln(P_{Au}) = \alpha + \beta \ln(P_{Ag}) + \epsilon$。其中$\beta$为对冲比率（Hedge Ratio）。</w:t>
      </w:r>
    </w:p>
    <w:p w14:paraId="6075FB3D" w14:textId="77777777" w:rsidR="0000550D" w:rsidRPr="0000550D" w:rsidRDefault="0000550D" w:rsidP="0000550D">
      <w:pPr>
        <w:widowControl/>
        <w:numPr>
          <w:ilvl w:val="1"/>
          <w:numId w:val="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残差信号</w:t>
      </w:r>
      <w:r w:rsidRPr="0000550D">
        <w:rPr>
          <w:rFonts w:ascii="宋体" w:eastAsia="宋体" w:hAnsi="宋体" w:cs="宋体"/>
          <w:kern w:val="0"/>
          <w:sz w:val="24"/>
          <w14:ligatures w14:val="none"/>
        </w:rPr>
        <w:t>：构建价差序列 $Spread_t = \ln(P_{Au,t}) - \beta \ln(P_{Ag,t})$。对该序列进行Augmented Dickey-Fuller (ADF) 检验，确保其平稳性 。</w:t>
      </w:r>
    </w:p>
    <w:p w14:paraId="2934317F" w14:textId="77777777" w:rsidR="0000550D" w:rsidRPr="0000550D" w:rsidRDefault="0000550D" w:rsidP="0000550D">
      <w:pPr>
        <w:widowControl/>
        <w:numPr>
          <w:ilvl w:val="1"/>
          <w:numId w:val="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Z-Score交易</w:t>
      </w:r>
      <w:r w:rsidRPr="0000550D">
        <w:rPr>
          <w:rFonts w:ascii="宋体" w:eastAsia="宋体" w:hAnsi="宋体" w:cs="宋体"/>
          <w:kern w:val="0"/>
          <w:sz w:val="24"/>
          <w14:ligatures w14:val="none"/>
        </w:rPr>
        <w:t>：计算价差的Z-Score = $(Spread_t - Mean) / StdDev$。当Z-Score &gt; 2时，做空价差（空黄金，多白银）；当Z-Score &lt; -2时，做多价差。</w:t>
      </w:r>
    </w:p>
    <w:p w14:paraId="525BA2E9" w14:textId="77777777" w:rsidR="0000550D" w:rsidRPr="0000550D" w:rsidRDefault="0000550D" w:rsidP="0000550D">
      <w:pPr>
        <w:widowControl/>
        <w:numPr>
          <w:ilvl w:val="1"/>
          <w:numId w:val="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均值回归</w:t>
      </w:r>
      <w:r w:rsidRPr="0000550D">
        <w:rPr>
          <w:rFonts w:ascii="宋体" w:eastAsia="宋体" w:hAnsi="宋体" w:cs="宋体"/>
          <w:kern w:val="0"/>
          <w:sz w:val="24"/>
          <w14:ligatures w14:val="none"/>
        </w:rPr>
        <w:t>：当Z-Score回归至0附近时平仓 。</w:t>
      </w:r>
    </w:p>
    <w:p w14:paraId="2085B351"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4.2.2 宏观周期的修正</w:t>
      </w:r>
    </w:p>
    <w:p w14:paraId="443CE8C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需要注意的是，金银比的均衡值并非永恒不变。白银具有更强的工业属性（50%-60%需求来自工业），而黄金主要是货币属性。在经济衰退期，工业需求萎靡打击白银，导致金银比扩大；在复苏期，白银弹性更大，金银比收缩 。因此，在模型中加入PMI数据作为状态变量，动态调整均值窗口（Rolling Mean Window），可以显著提高策略的鲁棒性。</w:t>
      </w:r>
    </w:p>
    <w:p w14:paraId="6FBA85D6"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4.3 跨资产套利：GLD ETF vs. GDX矿业股</w:t>
      </w:r>
    </w:p>
    <w:p w14:paraId="61AD4C6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黄金ETF（GLD）与金矿股ETF（GDX）之间存在着基于基本面的强逻辑联系，但也经常出现短期背离。</w:t>
      </w:r>
    </w:p>
    <w:p w14:paraId="505876AA"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4.3.1 杠杆属性与隔夜漂移</w:t>
      </w:r>
    </w:p>
    <w:p w14:paraId="6CCD2588"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金矿股通常被视为黄金的“杠杆看涨期权”。因为矿企有固定的开采成本（AISC），金价上涨带来的收入增加会非线性地转化为净利润。因此，GDX的波动率通常高于GLD 。 研究发现，GLD与GDX在隔夜时段（Close-to-Open）和日内时段（Open-to-Close）的表现存在显著差异，称为“隔夜漂移”（Overnight Drift）现象 。量化策略可以利用这一点，例如在收盘前根据两者当天的相对强弱建立多空头寸，并在次日开盘平仓，以捕捉隔夜的信息不对称流动。</w:t>
      </w:r>
    </w:p>
    <w:p w14:paraId="1525C114"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4.3.2 均值回归套利</w:t>
      </w:r>
    </w:p>
    <w:p w14:paraId="646CDAAE"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通过计算GLD与GDX收益率的比值或残差，可以发现其具有均值回归特性。当GDX相对于GLD极度超跌（通常由于股市整体恐慌）时，买入GDX并做空GLD（Delta中性对冲）往往能捕捉到估值修复的收益 。这种策略的风险在于股市系统性崩盘，因此需要监控SPX指数的波动率作为风控阈值。</w:t>
      </w:r>
    </w:p>
    <w:p w14:paraId="3F0E2AD0"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5. 机器学习与人工智能在黄金交易中的前沿应用</w:t>
      </w:r>
    </w:p>
    <w:p w14:paraId="1D8D5318"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lastRenderedPageBreak/>
        <w:t>随着算力的提升和算法的演进，机器学习（Machine Learning, ML）已成为量化交易领域突破传统线性模型局限的关键工具。在黄金市场，ML主要用于非线性价格预测、复杂模式识别及动态仓位管理。</w:t>
      </w:r>
    </w:p>
    <w:p w14:paraId="51B977EA"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5.1 预测模型竞赛：随机森林 vs. LSTM</w:t>
      </w:r>
    </w:p>
    <w:p w14:paraId="533A2EB0"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在处理黄金价格时间序列时，集成学习（Ensemble Learning）与深度学习（Deep Learning）各具优势。</w:t>
      </w:r>
    </w:p>
    <w:p w14:paraId="7A1DF83D"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5.1.1 随机森林（Random Forest, RF）的特征挖掘</w:t>
      </w:r>
    </w:p>
    <w:p w14:paraId="6AC94859"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随机森林通过构建大量的决策树并取平均值来进行预测，具有极强的抗过拟合能力和对异常值的鲁棒性。</w:t>
      </w:r>
    </w:p>
    <w:p w14:paraId="46E978D7" w14:textId="77777777" w:rsidR="0000550D" w:rsidRPr="0000550D" w:rsidRDefault="0000550D" w:rsidP="0000550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适用场景</w:t>
      </w:r>
      <w:r w:rsidRPr="0000550D">
        <w:rPr>
          <w:rFonts w:ascii="宋体" w:eastAsia="宋体" w:hAnsi="宋体" w:cs="宋体"/>
          <w:kern w:val="0"/>
          <w:sz w:val="24"/>
          <w14:ligatures w14:val="none"/>
        </w:rPr>
        <w:t>：RF特别适合处理表格型数据（Tabular Data），能够有效捕捉技术指标（RSI, MACD）、宏观数据（利率，CPI）与金价之间的非线性交互作用 。</w:t>
      </w:r>
    </w:p>
    <w:p w14:paraId="05CDA959" w14:textId="77777777" w:rsidR="0000550D" w:rsidRPr="0000550D" w:rsidRDefault="0000550D" w:rsidP="0000550D">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实证表现</w:t>
      </w:r>
      <w:r w:rsidRPr="0000550D">
        <w:rPr>
          <w:rFonts w:ascii="宋体" w:eastAsia="宋体" w:hAnsi="宋体" w:cs="宋体"/>
          <w:kern w:val="0"/>
          <w:sz w:val="24"/>
          <w14:ligatures w14:val="none"/>
        </w:rPr>
        <w:t>：多项研究表明，在进行方向性预测（Directional Prediction，即涨/跌）时，经过精细特征工程的随机森林模型往往能取得比简单神经网络更好的效果，且训练速度更快，参数调整更直观 。</w:t>
      </w:r>
    </w:p>
    <w:p w14:paraId="3DE67B9F"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5.1.2 长短期记忆网络（LSTM）的序列建模</w:t>
      </w:r>
    </w:p>
    <w:p w14:paraId="4E2156C1"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LSTM是一种特殊的循环神经网络（RNN），通过引入“门控”机制（遗忘门、输入门、输出门）解决了长序列训练中的梯度消失问题。</w:t>
      </w:r>
    </w:p>
    <w:p w14:paraId="700A1BB4" w14:textId="77777777" w:rsidR="0000550D" w:rsidRPr="0000550D" w:rsidRDefault="0000550D" w:rsidP="0000550D">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时间依赖性</w:t>
      </w:r>
      <w:r w:rsidRPr="0000550D">
        <w:rPr>
          <w:rFonts w:ascii="宋体" w:eastAsia="宋体" w:hAnsi="宋体" w:cs="宋体"/>
          <w:kern w:val="0"/>
          <w:sz w:val="24"/>
          <w14:ligatures w14:val="none"/>
        </w:rPr>
        <w:t>：LSTM能够“记忆”长期的市场状态，非常适合捕捉黄金价格中的时间序列依赖性（Temporal Dependencies）。例如，它能学习到“连续三日下跌后接一个十字星通常预示反转”这样的复杂时序模式 。</w:t>
      </w:r>
    </w:p>
    <w:p w14:paraId="4ED5B051" w14:textId="77777777" w:rsidR="0000550D" w:rsidRPr="0000550D" w:rsidRDefault="0000550D" w:rsidP="0000550D">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混合模型</w:t>
      </w:r>
      <w:r w:rsidRPr="0000550D">
        <w:rPr>
          <w:rFonts w:ascii="宋体" w:eastAsia="宋体" w:hAnsi="宋体" w:cs="宋体"/>
          <w:kern w:val="0"/>
          <w:sz w:val="24"/>
          <w14:ligatures w14:val="none"/>
        </w:rPr>
        <w:t>：为了结合线性与非线性优势，当前最先进的方法是采用混合模型（Hybrid Models）。例如，先用ARIMA模型提取线性趋势，再用LSTM拟合残差部分；或将CNN（卷积神经网络）用于提取图表特征，输入LSTM进行时序预测 。</w:t>
      </w:r>
    </w:p>
    <w:p w14:paraId="76D9EADD"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5.2 强化学习（Reinforcement Learning, RL）的动态决策</w:t>
      </w:r>
    </w:p>
    <w:p w14:paraId="21141F8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强化学习将交易视为一个序列决策问题（Sequential Decision Making），智能体（Agent）通过与环境交互来最大化累积奖励（Cumulative Reward）。</w:t>
      </w:r>
    </w:p>
    <w:p w14:paraId="1C09CEEA"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5.2.1 智能体设计</w:t>
      </w:r>
    </w:p>
    <w:p w14:paraId="3F53B72E" w14:textId="77777777" w:rsidR="0000550D" w:rsidRPr="0000550D" w:rsidRDefault="0000550D" w:rsidP="0000550D">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环境（Environment）</w:t>
      </w:r>
      <w:r w:rsidRPr="0000550D">
        <w:rPr>
          <w:rFonts w:ascii="宋体" w:eastAsia="宋体" w:hAnsi="宋体" w:cs="宋体"/>
          <w:kern w:val="0"/>
          <w:sz w:val="24"/>
          <w14:ligatures w14:val="none"/>
        </w:rPr>
        <w:t>：基于OpenAI Gym构建的黄金交易模拟器，包含历史价格、账户余额、持仓状态及交易成本。</w:t>
      </w:r>
    </w:p>
    <w:p w14:paraId="09A74731" w14:textId="77777777" w:rsidR="0000550D" w:rsidRPr="0000550D" w:rsidRDefault="0000550D" w:rsidP="0000550D">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lastRenderedPageBreak/>
        <w:t>状态空间（State Space）</w:t>
      </w:r>
      <w:r w:rsidRPr="0000550D">
        <w:rPr>
          <w:rFonts w:ascii="宋体" w:eastAsia="宋体" w:hAnsi="宋体" w:cs="宋体"/>
          <w:kern w:val="0"/>
          <w:sz w:val="24"/>
          <w14:ligatures w14:val="none"/>
        </w:rPr>
        <w:t>：由技术指标（如布林带位置、RSI值）、宏观因子及当前持仓盈亏组成。</w:t>
      </w:r>
    </w:p>
    <w:p w14:paraId="7162D05B" w14:textId="77777777" w:rsidR="0000550D" w:rsidRPr="0000550D" w:rsidRDefault="0000550D" w:rsidP="0000550D">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动作空间（Action Space）</w:t>
      </w:r>
      <w:r w:rsidRPr="0000550D">
        <w:rPr>
          <w:rFonts w:ascii="宋体" w:eastAsia="宋体" w:hAnsi="宋体" w:cs="宋体"/>
          <w:kern w:val="0"/>
          <w:sz w:val="24"/>
          <w14:ligatures w14:val="none"/>
        </w:rPr>
        <w:t>：买入、卖出、持有（离散动作），或调整仓位比例（连续动作）。</w:t>
      </w:r>
    </w:p>
    <w:p w14:paraId="76E01DAE" w14:textId="77777777" w:rsidR="0000550D" w:rsidRPr="0000550D" w:rsidRDefault="0000550D" w:rsidP="0000550D">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奖励函数（Reward Function）</w:t>
      </w:r>
      <w:r w:rsidRPr="0000550D">
        <w:rPr>
          <w:rFonts w:ascii="宋体" w:eastAsia="宋体" w:hAnsi="宋体" w:cs="宋体"/>
          <w:kern w:val="0"/>
          <w:sz w:val="24"/>
          <w14:ligatures w14:val="none"/>
        </w:rPr>
        <w:t>：通常设计为夏普比率（Sharpe Ratio）或索提诺比率，而不仅仅是净利润。为了防止过度交易，会在奖励函数中加入交易成本惩罚项 。</w:t>
      </w:r>
    </w:p>
    <w:p w14:paraId="0EDF8856"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5.2.2 PPO算法与策略进化</w:t>
      </w:r>
    </w:p>
    <w:p w14:paraId="307E02EA"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近端策略优化（PPO）是目前最流行的RL算法之一。通过数百万次的时间步（Timesteps）训练，RL智能体能够进化出类似人类高手的策略，如“顺势加仓”和“震荡高抛低吸”。引入卡尔曼滤波（Kalman Filter）对输入数据进行降噪处理，可以进一步提升RL智能体在真实高噪市场中的鲁棒性 。</w:t>
      </w:r>
    </w:p>
    <w:p w14:paraId="6D42A345"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5.3 可解释性AI（XAI）：打开黑箱</w:t>
      </w:r>
    </w:p>
    <w:p w14:paraId="307E8D39"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机器学习模型的“黑箱”性质是机构投资者应用的主要障碍。SHAP（SHapley Additive exPlanations）值提供了一种基于博弈论的方法来解释模型预测。</w:t>
      </w:r>
    </w:p>
    <w:p w14:paraId="01FC80A1"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5.3.1 特征重要性分析</w:t>
      </w:r>
    </w:p>
    <w:p w14:paraId="4EDF4773"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通过计算SHAP值，可以精确量化每个特征对模型预测结果的贡献度及方向 。针对黄金价格预测模型的SHAP分析通常揭示以下特征的重要性排名：</w:t>
      </w:r>
    </w:p>
    <w:p w14:paraId="66C4F200" w14:textId="77777777" w:rsidR="0000550D" w:rsidRPr="0000550D" w:rsidRDefault="0000550D" w:rsidP="0000550D">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白银期货（SI=F）</w:t>
      </w:r>
      <w:r w:rsidRPr="0000550D">
        <w:rPr>
          <w:rFonts w:ascii="宋体" w:eastAsia="宋体" w:hAnsi="宋体" w:cs="宋体"/>
          <w:kern w:val="0"/>
          <w:sz w:val="24"/>
          <w14:ligatures w14:val="none"/>
        </w:rPr>
        <w:t>：作为高相关资产，提供了最直接的价格锚定。</w:t>
      </w:r>
    </w:p>
    <w:p w14:paraId="2C84D812" w14:textId="77777777" w:rsidR="0000550D" w:rsidRPr="0000550D" w:rsidRDefault="0000550D" w:rsidP="0000550D">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宏观不确定性指标（GEPU/GPR）</w:t>
      </w:r>
      <w:r w:rsidRPr="0000550D">
        <w:rPr>
          <w:rFonts w:ascii="宋体" w:eastAsia="宋体" w:hAnsi="宋体" w:cs="宋体"/>
          <w:kern w:val="0"/>
          <w:sz w:val="24"/>
          <w14:ligatures w14:val="none"/>
        </w:rPr>
        <w:t>：验证了黄金的避险属性在模型决策中的核心地位。</w:t>
      </w:r>
    </w:p>
    <w:p w14:paraId="7F61FDDB" w14:textId="77777777" w:rsidR="0000550D" w:rsidRPr="0000550D" w:rsidRDefault="0000550D" w:rsidP="0000550D">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原油价格</w:t>
      </w:r>
      <w:r w:rsidRPr="0000550D">
        <w:rPr>
          <w:rFonts w:ascii="宋体" w:eastAsia="宋体" w:hAnsi="宋体" w:cs="宋体"/>
          <w:kern w:val="0"/>
          <w:sz w:val="24"/>
          <w14:ligatures w14:val="none"/>
        </w:rPr>
        <w:t>：反映通胀预期。</w:t>
      </w:r>
    </w:p>
    <w:p w14:paraId="6D54BA29" w14:textId="77777777" w:rsidR="0000550D" w:rsidRPr="0000550D" w:rsidRDefault="0000550D" w:rsidP="0000550D">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10年期美债收益率</w:t>
      </w:r>
      <w:r w:rsidRPr="0000550D">
        <w:rPr>
          <w:rFonts w:ascii="宋体" w:eastAsia="宋体" w:hAnsi="宋体" w:cs="宋体"/>
          <w:kern w:val="0"/>
          <w:sz w:val="24"/>
          <w14:ligatures w14:val="none"/>
        </w:rPr>
        <w:t>：反映持有成本。</w:t>
      </w:r>
    </w:p>
    <w:p w14:paraId="66769D9F" w14:textId="77777777" w:rsidR="0000550D" w:rsidRPr="0000550D" w:rsidRDefault="0000550D" w:rsidP="0000550D">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滚动技术指标</w:t>
      </w:r>
      <w:r w:rsidRPr="0000550D">
        <w:rPr>
          <w:rFonts w:ascii="宋体" w:eastAsia="宋体" w:hAnsi="宋体" w:cs="宋体"/>
          <w:kern w:val="0"/>
          <w:sz w:val="24"/>
          <w14:ligatures w14:val="none"/>
        </w:rPr>
        <w:t>：如7日、14日的移动平均线偏离度。</w:t>
      </w:r>
    </w:p>
    <w:p w14:paraId="6F89B7CC"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通过SHAP依赖图（Dependence Plot），研究人员还可以观察特征影响的非线性阈值，例如，只有当VIX指数超过30时，其对金价的正向推动作用才显著增强 。</w:t>
      </w:r>
    </w:p>
    <w:p w14:paraId="115D018D"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6. 自然语言处理（NLP）与另类数据的情绪因子</w:t>
      </w:r>
    </w:p>
    <w:p w14:paraId="38113C30"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在信息爆炸时代，市场价格不仅反映基本面数据，更反映市场参与者的情绪。NLP技术使得从非结构化文本中提取量化交易信号成为可能。</w:t>
      </w:r>
    </w:p>
    <w:p w14:paraId="083EDF99"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6.1 新闻情绪分析与BERT模型</w:t>
      </w:r>
    </w:p>
    <w:p w14:paraId="6F14A21B"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lastRenderedPageBreak/>
        <w:t>传统的词袋模型（Bag-of-Words）难以理解语境。现代NLP使用BERT（Bidirectional Encoder Representations from Transformers）或专用于金融领域的FinBERT模型，能够更准确地判断新闻的情感倾向。</w:t>
      </w:r>
    </w:p>
    <w:p w14:paraId="059BE87D"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6.1.1 信号生成流程</w:t>
      </w:r>
    </w:p>
    <w:p w14:paraId="4932AE7E" w14:textId="77777777" w:rsidR="0000550D" w:rsidRPr="0000550D" w:rsidRDefault="0000550D" w:rsidP="0000550D">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数据获取</w:t>
      </w:r>
      <w:r w:rsidRPr="0000550D">
        <w:rPr>
          <w:rFonts w:ascii="宋体" w:eastAsia="宋体" w:hAnsi="宋体" w:cs="宋体"/>
          <w:kern w:val="0"/>
          <w:sz w:val="24"/>
          <w14:ligatures w14:val="none"/>
        </w:rPr>
        <w:t>：实时抓取Reuters、Bloomberg的新闻标题，以及Twitter（X）、Reddit等社交媒体的讨论。</w:t>
      </w:r>
    </w:p>
    <w:p w14:paraId="385D029F" w14:textId="77777777" w:rsidR="0000550D" w:rsidRPr="0000550D" w:rsidRDefault="0000550D" w:rsidP="0000550D">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情感打分</w:t>
      </w:r>
      <w:r w:rsidRPr="0000550D">
        <w:rPr>
          <w:rFonts w:ascii="宋体" w:eastAsia="宋体" w:hAnsi="宋体" w:cs="宋体"/>
          <w:kern w:val="0"/>
          <w:sz w:val="24"/>
          <w14:ligatures w14:val="none"/>
        </w:rPr>
        <w:t>：模型将每条文本分类为正面、负面或中性，并给出一个置信度分数（Sentiment Score）。</w:t>
      </w:r>
    </w:p>
    <w:p w14:paraId="633A6859" w14:textId="77777777" w:rsidR="0000550D" w:rsidRPr="0000550D" w:rsidRDefault="0000550D" w:rsidP="0000550D">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指标构建</w:t>
      </w:r>
      <w:r w:rsidRPr="0000550D">
        <w:rPr>
          <w:rFonts w:ascii="宋体" w:eastAsia="宋体" w:hAnsi="宋体" w:cs="宋体"/>
          <w:kern w:val="0"/>
          <w:sz w:val="24"/>
          <w14:ligatures w14:val="none"/>
        </w:rPr>
        <w:t>：计算每日或每小时的情绪指数 = (正面新闻数 - 负面新闻数) / 总新闻数。</w:t>
      </w:r>
    </w:p>
    <w:p w14:paraId="52C20F53" w14:textId="77777777" w:rsidR="0000550D" w:rsidRPr="0000550D" w:rsidRDefault="0000550D" w:rsidP="0000550D">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策略应用</w:t>
      </w:r>
      <w:r w:rsidRPr="0000550D">
        <w:rPr>
          <w:rFonts w:ascii="宋体" w:eastAsia="宋体" w:hAnsi="宋体" w:cs="宋体"/>
          <w:kern w:val="0"/>
          <w:sz w:val="24"/>
          <w14:ligatures w14:val="none"/>
        </w:rPr>
        <w:t>：研究发现，社交媒体情绪往往具有反向指标特征。极端的看涨情绪（Bullish Sentiment &gt; 90%）往往预示着短期顶部，而极度恐慌则对应底部。结合宏观变量与新闻熵（News Entropy）的混合模型，能显著提高对金价突发波动的预测能力 。</w:t>
      </w:r>
    </w:p>
    <w:p w14:paraId="79D2B9B1"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6.2 COT报告（持仓分析）的深度挖掘</w:t>
      </w:r>
    </w:p>
    <w:p w14:paraId="242AB3A3"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美国商品期货交易委员会（CFTC）每周发布的交易商持仓报告（COT Report）揭示了市场主力资金的动向，是中长线策略的重要输入。</w:t>
      </w:r>
    </w:p>
    <w:p w14:paraId="153A4344"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6.2.1 商业 vs. 非商业头寸</w:t>
      </w:r>
    </w:p>
    <w:p w14:paraId="77335361" w14:textId="77777777" w:rsidR="0000550D" w:rsidRPr="0000550D" w:rsidRDefault="0000550D" w:rsidP="0000550D">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商业头寸（Commercials）</w:t>
      </w:r>
      <w:r w:rsidRPr="0000550D">
        <w:rPr>
          <w:rFonts w:ascii="宋体" w:eastAsia="宋体" w:hAnsi="宋体" w:cs="宋体"/>
          <w:kern w:val="0"/>
          <w:sz w:val="24"/>
          <w14:ligatures w14:val="none"/>
        </w:rPr>
        <w:t>：代表矿商和加工商。他们的操作通常是逆势的（Hedging），即在金价上涨时增加空头头寸以锁定利润。</w:t>
      </w:r>
    </w:p>
    <w:p w14:paraId="07129B9D" w14:textId="77777777" w:rsidR="0000550D" w:rsidRPr="0000550D" w:rsidRDefault="0000550D" w:rsidP="0000550D">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非商业头寸（Non-Commercials/Large Speculators）</w:t>
      </w:r>
      <w:r w:rsidRPr="0000550D">
        <w:rPr>
          <w:rFonts w:ascii="宋体" w:eastAsia="宋体" w:hAnsi="宋体" w:cs="宋体"/>
          <w:kern w:val="0"/>
          <w:sz w:val="24"/>
          <w14:ligatures w14:val="none"/>
        </w:rPr>
        <w:t>：代表对冲基金和CTA。他们的操作通常是顺势的（Trend Following），即追涨杀跌。</w:t>
      </w:r>
    </w:p>
    <w:p w14:paraId="6FE894BF"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6.2.2 COT指数策略</w:t>
      </w:r>
    </w:p>
    <w:p w14:paraId="489F64DD"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由于持仓的绝对数值随市场规模扩大而增加，直接使用净持仓量容易失真。量化策略通常构建COT指数：</w:t>
      </w:r>
    </w:p>
    <w:p w14:paraId="25ED4755" w14:textId="77777777" w:rsidR="0000550D" w:rsidRPr="0000550D" w:rsidRDefault="0000550D" w:rsidP="0000550D">
      <w:pPr>
        <w:widowControl/>
        <w:spacing w:after="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$$COT Index = \frac{Current Net Position - Min Net Position (n weeks)}{Max Net Position (n weeks) - Min Net Position (n weeks)} \times 100$$</w:t>
      </w:r>
    </w:p>
    <w:p w14:paraId="1AD6419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通常取n=26周或156周（3年）。</w:t>
      </w:r>
    </w:p>
    <w:p w14:paraId="289E7900" w14:textId="77777777" w:rsidR="0000550D" w:rsidRPr="0000550D" w:rsidRDefault="0000550D" w:rsidP="0000550D">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交易规则</w:t>
      </w:r>
      <w:r w:rsidRPr="0000550D">
        <w:rPr>
          <w:rFonts w:ascii="宋体" w:eastAsia="宋体" w:hAnsi="宋体" w:cs="宋体"/>
          <w:kern w:val="0"/>
          <w:sz w:val="24"/>
          <w14:ligatures w14:val="none"/>
        </w:rPr>
        <w:t>：当非商业头寸的COT指数 &gt; 80%时，表明多头拥挤，市场可能见顶（反转信号）；当COT指数 &lt; 20%时，表明空头力竭，市场可能见底 。这一指标在识别中期趋势转折点上具有极高的准确性 。</w:t>
      </w:r>
    </w:p>
    <w:p w14:paraId="6294AB3F"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lastRenderedPageBreak/>
        <w:t>7. 市场微观结构：日内季节性与高频执行策略</w:t>
      </w:r>
    </w:p>
    <w:p w14:paraId="7C7A7D3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在算法交易时代，了解“何时交易”与“交易什么”同样重要。黄金市场的微观结构表现出显著的时间规律性。</w:t>
      </w:r>
    </w:p>
    <w:p w14:paraId="0222349F"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7.1 伦敦定盘与纽约开盘的流动性特征</w:t>
      </w:r>
    </w:p>
    <w:p w14:paraId="75496DA2"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全球黄金交易主要围绕两个核心时间节点展开，这两个时段的波动率和流动性特征截然不同。</w:t>
      </w:r>
    </w:p>
    <w:p w14:paraId="1CFFD0B3"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7.1.1 伦敦定盘价（London Fix）</w:t>
      </w:r>
    </w:p>
    <w:p w14:paraId="1CF61C5A"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伦敦金银市场协会（LBMA）每天进行两次定盘：上午10:30和下午3:00（伦敦时间）。这是全球实物黄金合约的基准定价时刻。在此期间，大型银行和机构为了匹配客户订单，会产生巨大的双向交易流。</w:t>
      </w:r>
    </w:p>
    <w:p w14:paraId="28AA5A73" w14:textId="77777777" w:rsidR="0000550D" w:rsidRPr="0000550D" w:rsidRDefault="0000550D" w:rsidP="0000550D">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策略机会</w:t>
      </w:r>
      <w:r w:rsidRPr="0000550D">
        <w:rPr>
          <w:rFonts w:ascii="宋体" w:eastAsia="宋体" w:hAnsi="宋体" w:cs="宋体"/>
          <w:kern w:val="0"/>
          <w:sz w:val="24"/>
          <w14:ligatures w14:val="none"/>
        </w:rPr>
        <w:t>：对于做市商策略（Market Making），这是捕获点差的最佳时机；对于趋势策略，定盘价前后的价格剧烈波动往往会确立当天的欧洲时段趋势。</w:t>
      </w:r>
    </w:p>
    <w:p w14:paraId="2A5CB8A2"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7.1.2 纽约开盘（New York Open）</w:t>
      </w:r>
    </w:p>
    <w:p w14:paraId="4223E3F0"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美东时间上午8:20（COMEX开盘）是全天波动率的最高峰。</w:t>
      </w:r>
    </w:p>
    <w:p w14:paraId="75EC33CB" w14:textId="77777777" w:rsidR="0000550D" w:rsidRPr="0000550D" w:rsidRDefault="0000550D" w:rsidP="0000550D">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原因</w:t>
      </w:r>
      <w:r w:rsidRPr="0000550D">
        <w:rPr>
          <w:rFonts w:ascii="宋体" w:eastAsia="宋体" w:hAnsi="宋体" w:cs="宋体"/>
          <w:kern w:val="0"/>
          <w:sz w:val="24"/>
          <w14:ligatures w14:val="none"/>
        </w:rPr>
        <w:t>：</w:t>
      </w:r>
    </w:p>
    <w:p w14:paraId="018BE923" w14:textId="77777777" w:rsidR="0000550D" w:rsidRPr="0000550D" w:rsidRDefault="0000550D" w:rsidP="0000550D">
      <w:pPr>
        <w:widowControl/>
        <w:numPr>
          <w:ilvl w:val="1"/>
          <w:numId w:val="14"/>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美国关键宏观数据（如非农就业、CPI、GDP）通常在8:30公布，引发剧烈重估。</w:t>
      </w:r>
    </w:p>
    <w:p w14:paraId="6F7B96E3" w14:textId="77777777" w:rsidR="0000550D" w:rsidRPr="0000550D" w:rsidRDefault="0000550D" w:rsidP="0000550D">
      <w:pPr>
        <w:widowControl/>
        <w:numPr>
          <w:ilvl w:val="1"/>
          <w:numId w:val="14"/>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美股开盘前的资金流动配置。</w:t>
      </w:r>
    </w:p>
    <w:p w14:paraId="735884FD" w14:textId="77777777" w:rsidR="0000550D" w:rsidRPr="0000550D" w:rsidRDefault="0000550D" w:rsidP="0000550D">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日内突破策略</w:t>
      </w:r>
      <w:r w:rsidRPr="0000550D">
        <w:rPr>
          <w:rFonts w:ascii="宋体" w:eastAsia="宋体" w:hAnsi="宋体" w:cs="宋体"/>
          <w:kern w:val="0"/>
          <w:sz w:val="24"/>
          <w14:ligatures w14:val="none"/>
        </w:rPr>
        <w:t>：量化模型常监测8:20-9:00的价格区间（Opening Range）。若价格突破该区间的上沿，则做多；跌破下沿，则做空。这种ORB（Opening Range Breakout）策略利用了开盘期间的动量爆发 。</w:t>
      </w:r>
    </w:p>
    <w:p w14:paraId="25F2D353"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7.2 成交量分布（Volume Profile）与价值区间分析</w:t>
      </w:r>
    </w:p>
    <w:p w14:paraId="6FA1E2E7"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传统的K线图只展示了时间维度的价格，而成交量分布图（Volume Profile）展示了价格维度的成交量（Price x Volume），揭示了市场参与者的成本分布。</w:t>
      </w:r>
    </w:p>
    <w:p w14:paraId="308AAA43"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7.2.1 关键结构位</w:t>
      </w:r>
    </w:p>
    <w:p w14:paraId="52B28702" w14:textId="77777777" w:rsidR="0000550D" w:rsidRPr="0000550D" w:rsidRDefault="0000550D" w:rsidP="0000550D">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控制点（POC, Point of Control）</w:t>
      </w:r>
      <w:r w:rsidRPr="0000550D">
        <w:rPr>
          <w:rFonts w:ascii="宋体" w:eastAsia="宋体" w:hAnsi="宋体" w:cs="宋体"/>
          <w:kern w:val="0"/>
          <w:sz w:val="24"/>
          <w14:ligatures w14:val="none"/>
        </w:rPr>
        <w:t>：成交量最大的价格水平，代表市场的“公允价值”或“引力中心”。价格偏离POC后，有高概率回归。</w:t>
      </w:r>
    </w:p>
    <w:p w14:paraId="25F23A2F" w14:textId="77777777" w:rsidR="0000550D" w:rsidRPr="0000550D" w:rsidRDefault="0000550D" w:rsidP="0000550D">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价值区间（Value Area, VA）</w:t>
      </w:r>
      <w:r w:rsidRPr="0000550D">
        <w:rPr>
          <w:rFonts w:ascii="宋体" w:eastAsia="宋体" w:hAnsi="宋体" w:cs="宋体"/>
          <w:kern w:val="0"/>
          <w:sz w:val="24"/>
          <w14:ligatures w14:val="none"/>
        </w:rPr>
        <w:t>：包含70%成交量的价格区间。</w:t>
      </w:r>
    </w:p>
    <w:p w14:paraId="58AEEA79" w14:textId="77777777" w:rsidR="0000550D" w:rsidRPr="0000550D" w:rsidRDefault="0000550D" w:rsidP="0000550D">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lastRenderedPageBreak/>
        <w:t>高/低成交量节点（HVN/LVN）</w:t>
      </w:r>
      <w:r w:rsidRPr="0000550D">
        <w:rPr>
          <w:rFonts w:ascii="宋体" w:eastAsia="宋体" w:hAnsi="宋体" w:cs="宋体"/>
          <w:kern w:val="0"/>
          <w:sz w:val="24"/>
          <w14:ligatures w14:val="none"/>
        </w:rPr>
        <w:t>：HVN通常充当强支撑/阻力，因为那里有大量换手，筹码密集；LVN则是流动性真空区，价格往往会快速穿过该区域 。</w:t>
      </w:r>
    </w:p>
    <w:p w14:paraId="49661626"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7.2.2 基于轮廓的交易策略</w:t>
      </w:r>
    </w:p>
    <w:p w14:paraId="6C6C82BF" w14:textId="77777777" w:rsidR="0000550D" w:rsidRPr="0000550D" w:rsidRDefault="0000550D" w:rsidP="0000550D">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回归策略</w:t>
      </w:r>
      <w:r w:rsidRPr="0000550D">
        <w:rPr>
          <w:rFonts w:ascii="宋体" w:eastAsia="宋体" w:hAnsi="宋体" w:cs="宋体"/>
          <w:kern w:val="0"/>
          <w:sz w:val="24"/>
          <w14:ligatures w14:val="none"/>
        </w:rPr>
        <w:t>：当价格在价值区间外（VA High上方或VA Low下方）开盘，但无法站稳并重新回到价值区间内时，量化模型会预测价格将穿越整个价值区间，测试另一端。</w:t>
      </w:r>
    </w:p>
    <w:p w14:paraId="19E0DC84" w14:textId="77777777" w:rsidR="0000550D" w:rsidRPr="0000550D" w:rsidRDefault="0000550D" w:rsidP="0000550D">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拒绝策略</w:t>
      </w:r>
      <w:r w:rsidRPr="0000550D">
        <w:rPr>
          <w:rFonts w:ascii="宋体" w:eastAsia="宋体" w:hAnsi="宋体" w:cs="宋体"/>
          <w:kern w:val="0"/>
          <w:sz w:val="24"/>
          <w14:ligatures w14:val="none"/>
        </w:rPr>
        <w:t>：当价格测试POC或HVN时，如果订单流（Order Flow）显示买卖盘失衡（Delta Divergence），则是极佳的反转入场点 。</w:t>
      </w:r>
    </w:p>
    <w:p w14:paraId="627862A2"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7.3 交易成本分析（TCA）与滑点管理</w:t>
      </w:r>
    </w:p>
    <w:p w14:paraId="3F6CC0E9"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在回测中表现完美的策略，实盘中往往因为忽视交易成本而失效。</w:t>
      </w:r>
    </w:p>
    <w:p w14:paraId="4A317F3D"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7.3.1 滑点（Slippage）的非线性模型</w:t>
      </w:r>
    </w:p>
    <w:p w14:paraId="67EB23C5"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 xml:space="preserve">滑点并非固定值，它与市场波动率（Volatility）和订单大小（Order Size）呈非线性关系。在非农数据发布瞬间，买卖价差（Bid-Ask Spread）可能瞬间扩大10倍，导致市价单（Market Order）遭受巨大损失 。 量化回测必须引入市场冲击（Market Impact）模型，通常采用平方根法则： </w:t>
      </w:r>
    </w:p>
    <w:p w14:paraId="42C829E3" w14:textId="77777777" w:rsidR="0000550D" w:rsidRPr="0000550D" w:rsidRDefault="0000550D" w:rsidP="0000550D">
      <w:pPr>
        <w:widowControl/>
        <w:spacing w:after="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$$Cost \propto \sigma \times \sqrt{\frac{Order Size}{Daily Volume}}$$</w:t>
      </w:r>
    </w:p>
    <w:p w14:paraId="13FBC3D5"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其中$\sigma$为波动率。</w:t>
      </w:r>
    </w:p>
    <w:p w14:paraId="3C94781A"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7.3.2 算法执行优化</w:t>
      </w:r>
    </w:p>
    <w:p w14:paraId="26D0605A"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为了减少滑点，机构投资者使用执行算法（Execution Algos）：</w:t>
      </w:r>
    </w:p>
    <w:p w14:paraId="230D2D8C" w14:textId="77777777" w:rsidR="0000550D" w:rsidRPr="0000550D" w:rsidRDefault="0000550D" w:rsidP="0000550D">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TWAP（时间加权平均价格）</w:t>
      </w:r>
      <w:r w:rsidRPr="0000550D">
        <w:rPr>
          <w:rFonts w:ascii="宋体" w:eastAsia="宋体" w:hAnsi="宋体" w:cs="宋体"/>
          <w:kern w:val="0"/>
          <w:sz w:val="24"/>
          <w14:ligatures w14:val="none"/>
        </w:rPr>
        <w:t>：在设定时间内均匀拆单，适合大额订单，减少对市场的瞬时冲击。</w:t>
      </w:r>
    </w:p>
    <w:p w14:paraId="4B9906F6" w14:textId="77777777" w:rsidR="0000550D" w:rsidRPr="0000550D" w:rsidRDefault="0000550D" w:rsidP="0000550D">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VWAP（成交量加权平均价格）</w:t>
      </w:r>
      <w:r w:rsidRPr="0000550D">
        <w:rPr>
          <w:rFonts w:ascii="宋体" w:eastAsia="宋体" w:hAnsi="宋体" w:cs="宋体"/>
          <w:kern w:val="0"/>
          <w:sz w:val="24"/>
          <w14:ligatures w14:val="none"/>
        </w:rPr>
        <w:t>：根据历史成交量分布曲线拆单，在流动性好的时候多成交，流动性差的时候少成交，力求成交均价优于市场均价 。</w:t>
      </w:r>
    </w:p>
    <w:p w14:paraId="48ACE08F" w14:textId="77777777" w:rsidR="0000550D" w:rsidRPr="0000550D" w:rsidRDefault="0000550D" w:rsidP="0000550D">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到达价格（Arrival Price）基准</w:t>
      </w:r>
      <w:r w:rsidRPr="0000550D">
        <w:rPr>
          <w:rFonts w:ascii="宋体" w:eastAsia="宋体" w:hAnsi="宋体" w:cs="宋体"/>
          <w:kern w:val="0"/>
          <w:sz w:val="24"/>
          <w14:ligatures w14:val="none"/>
        </w:rPr>
        <w:t>：TCA分析会将实际成交价与策略信号触发时的“到达价格”对比，计算执行落差（Implementation Shortfall），以此不断优化执行逻辑 。</w:t>
      </w:r>
    </w:p>
    <w:p w14:paraId="2B2FBBF2"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8. 期权策略与波动率偏度管理</w:t>
      </w:r>
    </w:p>
    <w:p w14:paraId="6149FF44"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黄金期权市场提供了通过波动率获利的维度。与股市不同，黄金期权的隐含波动率曲面（IV Surface）具有独特的特征。</w:t>
      </w:r>
    </w:p>
    <w:p w14:paraId="6ED2B110"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lastRenderedPageBreak/>
        <w:t>8.1 波动率微笑与正偏（Positive Skew）</w:t>
      </w:r>
    </w:p>
    <w:p w14:paraId="23DF9917"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在股票市场，虚值看跌期权（OTM Put）的IV通常高于虚值看涨期权（OTM Call），呈现“负偏”（Smirk），反映投资者对崩盘的恐惧。</w:t>
      </w:r>
    </w:p>
    <w:p w14:paraId="5400DEF2"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而在黄金市场，通常呈现“正偏”或“微笑”特征。</w:t>
      </w:r>
    </w:p>
    <w:p w14:paraId="4075D0B7" w14:textId="77777777" w:rsidR="0000550D" w:rsidRPr="0000550D" w:rsidRDefault="0000550D" w:rsidP="0000550D">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避险属性</w:t>
      </w:r>
      <w:r w:rsidRPr="0000550D">
        <w:rPr>
          <w:rFonts w:ascii="宋体" w:eastAsia="宋体" w:hAnsi="宋体" w:cs="宋体"/>
          <w:kern w:val="0"/>
          <w:sz w:val="24"/>
          <w14:ligatures w14:val="none"/>
        </w:rPr>
        <w:t>：当市场恐慌时，资金不仅买入股票Put保护，还会买入黄金Call避险。这种对黄金上行爆发力的追逐，推高了OTM Call的隐含波动率 。</w:t>
      </w:r>
    </w:p>
    <w:p w14:paraId="02D4DE6A" w14:textId="77777777" w:rsidR="0000550D" w:rsidRPr="0000550D" w:rsidRDefault="0000550D" w:rsidP="0000550D">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策略应用</w:t>
      </w:r>
      <w:r w:rsidRPr="0000550D">
        <w:rPr>
          <w:rFonts w:ascii="宋体" w:eastAsia="宋体" w:hAnsi="宋体" w:cs="宋体"/>
          <w:kern w:val="0"/>
          <w:sz w:val="24"/>
          <w14:ligatures w14:val="none"/>
        </w:rPr>
        <w:t>：</w:t>
      </w:r>
    </w:p>
    <w:p w14:paraId="3B654B7F" w14:textId="77777777" w:rsidR="0000550D" w:rsidRPr="0000550D" w:rsidRDefault="0000550D" w:rsidP="0000550D">
      <w:pPr>
        <w:widowControl/>
        <w:numPr>
          <w:ilvl w:val="1"/>
          <w:numId w:val="1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风险逆转（Risk Reversal）</w:t>
      </w:r>
      <w:r w:rsidRPr="0000550D">
        <w:rPr>
          <w:rFonts w:ascii="宋体" w:eastAsia="宋体" w:hAnsi="宋体" w:cs="宋体"/>
          <w:kern w:val="0"/>
          <w:sz w:val="24"/>
          <w14:ligatures w14:val="none"/>
        </w:rPr>
        <w:t>：当黄金看涨期权IV显著高于看跌期权IV时，表明市场情绪极度看多。量化策略可以卖出高IV的Call，买入低IV的Put，构建Delta中性的波动率套利组合。</w:t>
      </w:r>
    </w:p>
    <w:p w14:paraId="380E0974" w14:textId="77777777" w:rsidR="0000550D" w:rsidRPr="0000550D" w:rsidRDefault="0000550D" w:rsidP="0000550D">
      <w:pPr>
        <w:widowControl/>
        <w:numPr>
          <w:ilvl w:val="1"/>
          <w:numId w:val="18"/>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粘性行权价（Sticky Strikes）</w:t>
      </w:r>
      <w:r w:rsidRPr="0000550D">
        <w:rPr>
          <w:rFonts w:ascii="宋体" w:eastAsia="宋体" w:hAnsi="宋体" w:cs="宋体"/>
          <w:kern w:val="0"/>
          <w:sz w:val="24"/>
          <w14:ligatures w14:val="none"/>
        </w:rPr>
        <w:t>：在期权未平仓合约（Open Interest）巨大的行权价附近，做市商的Gamma对冲行为会导致价格呈现“粘性”。策略可以在这些价位附近进行区间震荡交易（Mean Reversion） 。</w:t>
      </w:r>
    </w:p>
    <w:p w14:paraId="0D8D681B" w14:textId="77777777" w:rsidR="0000550D" w:rsidRPr="0000550D" w:rsidRDefault="0000550D" w:rsidP="0000550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00550D">
        <w:rPr>
          <w:rFonts w:ascii="宋体" w:eastAsia="宋体" w:hAnsi="宋体" w:cs="宋体"/>
          <w:b/>
          <w:bCs/>
          <w:kern w:val="0"/>
          <w:sz w:val="27"/>
          <w:szCs w:val="27"/>
          <w14:ligatures w14:val="none"/>
        </w:rPr>
        <w:t>8.2 风险管理与投资组合构建</w:t>
      </w:r>
    </w:p>
    <w:p w14:paraId="04DF99CC"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量化交易不仅仅是寻找信号，更是管理风险。</w:t>
      </w:r>
    </w:p>
    <w:p w14:paraId="111BCD40"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8.2.1 风险调整收益指标</w:t>
      </w:r>
    </w:p>
    <w:p w14:paraId="729DD52E" w14:textId="77777777" w:rsidR="0000550D" w:rsidRPr="0000550D" w:rsidRDefault="0000550D" w:rsidP="0000550D">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夏普比率（Sharpe Ratio）</w:t>
      </w:r>
      <w:r w:rsidRPr="0000550D">
        <w:rPr>
          <w:rFonts w:ascii="宋体" w:eastAsia="宋体" w:hAnsi="宋体" w:cs="宋体"/>
          <w:kern w:val="0"/>
          <w:sz w:val="24"/>
          <w14:ligatures w14:val="none"/>
        </w:rPr>
        <w:t>：$ (R_p - R_f) / \sigma_p $。衡量每单位总风险的超额收益。优秀的黄金量化策略夏普比率应在1.0以上 。</w:t>
      </w:r>
    </w:p>
    <w:p w14:paraId="2C084A1C" w14:textId="77777777" w:rsidR="0000550D" w:rsidRPr="0000550D" w:rsidRDefault="0000550D" w:rsidP="0000550D">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索提诺比率（Sortino Ratio）</w:t>
      </w:r>
      <w:r w:rsidRPr="0000550D">
        <w:rPr>
          <w:rFonts w:ascii="宋体" w:eastAsia="宋体" w:hAnsi="宋体" w:cs="宋体"/>
          <w:kern w:val="0"/>
          <w:sz w:val="24"/>
          <w14:ligatures w14:val="none"/>
        </w:rPr>
        <w:t>：仅考虑下行波动率。对于顺势策略，上行波动是受欢迎的，Sortino比率更能反映策略的真实稳健性 。</w:t>
      </w:r>
    </w:p>
    <w:p w14:paraId="550FEC83" w14:textId="77777777" w:rsidR="0000550D" w:rsidRPr="0000550D" w:rsidRDefault="0000550D" w:rsidP="0000550D">
      <w:pPr>
        <w:widowControl/>
        <w:spacing w:before="100" w:beforeAutospacing="1" w:after="100" w:afterAutospacing="1" w:line="240" w:lineRule="auto"/>
        <w:outlineLvl w:val="3"/>
        <w:rPr>
          <w:rFonts w:ascii="宋体" w:eastAsia="宋体" w:hAnsi="宋体" w:cs="宋体"/>
          <w:b/>
          <w:bCs/>
          <w:kern w:val="0"/>
          <w:sz w:val="24"/>
          <w14:ligatures w14:val="none"/>
        </w:rPr>
      </w:pPr>
      <w:r w:rsidRPr="0000550D">
        <w:rPr>
          <w:rFonts w:ascii="宋体" w:eastAsia="宋体" w:hAnsi="宋体" w:cs="宋体"/>
          <w:b/>
          <w:bCs/>
          <w:kern w:val="0"/>
          <w:sz w:val="24"/>
          <w14:ligatures w14:val="none"/>
        </w:rPr>
        <w:t>8.2.2 凯利公式与仓位管理</w:t>
      </w:r>
    </w:p>
    <w:p w14:paraId="5EF13D59"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基于预测胜率（p）和赔率（b），凯利公式（Kelly Criterion）给出了理论上的最优仓位比例：$ f^* = (bp - q) / b $。</w:t>
      </w:r>
    </w:p>
    <w:p w14:paraId="67CB5E6A"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然而，由于模型参数的不确定性，实战中通常采用“半凯利”（Half-Kelly）或更保守的比例，以避免破产风险。此外，波动率目标（Volatility Targeting）策略根据当前市场波动率反向调整仓位：波动率越高，仓位越低，从而维持组合整体风险的恒定。</w:t>
      </w:r>
    </w:p>
    <w:p w14:paraId="7FF1F59A" w14:textId="77777777" w:rsidR="0000550D" w:rsidRPr="0000550D" w:rsidRDefault="0000550D" w:rsidP="0000550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00550D">
        <w:rPr>
          <w:rFonts w:ascii="宋体" w:eastAsia="宋体" w:hAnsi="宋体" w:cs="宋体"/>
          <w:b/>
          <w:bCs/>
          <w:kern w:val="0"/>
          <w:sz w:val="36"/>
          <w:szCs w:val="36"/>
          <w14:ligatures w14:val="none"/>
        </w:rPr>
        <w:t>9. 结论</w:t>
      </w:r>
    </w:p>
    <w:p w14:paraId="006800C5"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lastRenderedPageBreak/>
        <w:t>黄金量化交易是一个融合了宏观经济学、统计学、计算机科学与微观市场结构的交叉领域。从长周期的实际利率模型，到中周期的趋势跟踪与配对交易，再到微观层面的高频订单流分析，每个维度都提供了独特的Alpha来源。</w:t>
      </w:r>
    </w:p>
    <w:p w14:paraId="30F247BB"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当前的研究与实战表明，单一策略在日益有效的市场中难以维持长期优势。未来的黄金量化系统将向**多策略融合（Multi-Strategy Ensemble）**方向演进：利用机器学习动态分配权重，在趋势明显时加大动量策略权重，在震荡期切换至均值回归与期权卖方策略，并结合NLP情绪因子与微观结构分析来优化进出场时机。对于量化从业者而言，深入理解数据的底层逻辑，严谨地处理回测中的过拟合与滑点问题，是构建长期盈利系统的基石。</w:t>
      </w:r>
    </w:p>
    <w:p w14:paraId="59B69352" w14:textId="77777777" w:rsidR="0000550D" w:rsidRPr="0000550D" w:rsidRDefault="0000550D" w:rsidP="0000550D">
      <w:pPr>
        <w:widowControl/>
        <w:spacing w:after="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pict w14:anchorId="5AB1F051">
          <v:rect id="_x0000_i1025" style="width:0;height:1.5pt" o:hralign="center" o:hrstd="t" o:hr="t" fillcolor="#a0a0a0" stroked="f"/>
        </w:pict>
      </w:r>
    </w:p>
    <w:p w14:paraId="4C3E9677" w14:textId="77777777" w:rsidR="0000550D" w:rsidRPr="0000550D" w:rsidRDefault="0000550D" w:rsidP="0000550D">
      <w:pPr>
        <w:widowControl/>
        <w:spacing w:before="100" w:beforeAutospacing="1" w:after="100" w:afterAutospacing="1"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主要数据与策略逻辑引用表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1727"/>
        <w:gridCol w:w="3698"/>
        <w:gridCol w:w="1492"/>
        <w:gridCol w:w="660"/>
      </w:tblGrid>
      <w:tr w:rsidR="0000550D" w:rsidRPr="0000550D" w14:paraId="3A7716A8" w14:textId="77777777" w:rsidTr="0000550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1F3FBB"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策略类别</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C9D03"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核心逻辑/指标</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038C9"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数学模型/参数示例</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F2F71"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适用环境</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BEA45"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引用来源</w:t>
            </w:r>
          </w:p>
        </w:tc>
      </w:tr>
      <w:tr w:rsidR="0000550D" w:rsidRPr="0000550D" w14:paraId="4BCC86AC"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D10B6"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趋势跟踪</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6DC40"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均线交叉, MACD, 动量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C5DB1"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MA(50, 200), EMA(20, 50), 移动止损</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30BFF"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长期牛/熊市, 宏观驱动期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FEE0E"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r w:rsidR="0000550D" w:rsidRPr="0000550D" w14:paraId="1B283FB8"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574A6E"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均值回归</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F1E8D"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布林带, RSI, 统计套利</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3D0BB"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Band(20, 2), RSI(2), Z-Score &gt;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3FB5F10"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震荡市, 无重大新闻期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6D7ACD70"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r w:rsidR="0000550D" w:rsidRPr="0000550D" w14:paraId="1BF2006C"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13D66"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配对交易</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D5DCE"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金银比, GLD/GDX</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4631B"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Cointegration, Spread = $\ln(P_A) - \beta \ln(P_B)$</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AD049"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均值回归修复期</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561B3"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r w:rsidR="0000550D" w:rsidRPr="0000550D" w14:paraId="14332D6B"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06F465"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宏观量化</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A9344"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实际利率, DXY, GPR</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089F7"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TIPS Correlation, GPR Index Threshold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9C903"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经济周期切换, 地缘冲突</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12A5E"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r w:rsidR="0000550D" w:rsidRPr="0000550D" w14:paraId="6C3625EC"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623079"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机器学习</w:t>
            </w:r>
          </w:p>
        </w:tc>
        <w:tc>
          <w:tcPr>
            <w:tcW w:w="0" w:type="auto"/>
            <w:tcBorders>
              <w:top w:val="single" w:sz="6" w:space="0" w:color="auto"/>
              <w:left w:val="single" w:sz="6" w:space="0" w:color="auto"/>
              <w:bottom w:val="single" w:sz="6" w:space="0" w:color="auto"/>
              <w:right w:val="single" w:sz="6" w:space="0" w:color="auto"/>
            </w:tcBorders>
            <w:vAlign w:val="center"/>
            <w:hideMark/>
          </w:tcPr>
          <w:p w14:paraId="73EA5A2F"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RF, LSTM, PPO</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2C12D"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Feature Importance (SHAP), Reward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997D1"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全天候 (自适应)</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1F6CF"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r w:rsidR="0000550D" w:rsidRPr="0000550D" w14:paraId="31044A76"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9B233"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t>情绪/另类</w:t>
            </w:r>
          </w:p>
        </w:tc>
        <w:tc>
          <w:tcPr>
            <w:tcW w:w="0" w:type="auto"/>
            <w:tcBorders>
              <w:top w:val="single" w:sz="6" w:space="0" w:color="auto"/>
              <w:left w:val="single" w:sz="6" w:space="0" w:color="auto"/>
              <w:bottom w:val="single" w:sz="6" w:space="0" w:color="auto"/>
              <w:right w:val="single" w:sz="6" w:space="0" w:color="auto"/>
            </w:tcBorders>
            <w:vAlign w:val="center"/>
            <w:hideMark/>
          </w:tcPr>
          <w:p w14:paraId="3016407F"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NLP, COT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50640"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Sentiment Score, COT Index &gt;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DB558"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趋势反转点</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2C09E"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r w:rsidR="0000550D" w:rsidRPr="0000550D" w14:paraId="3A4CD3D8" w14:textId="77777777" w:rsidTr="0000550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A95B46"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b/>
                <w:bCs/>
                <w:kern w:val="0"/>
                <w:sz w:val="24"/>
                <w14:ligatures w14:val="none"/>
              </w:rPr>
              <w:lastRenderedPageBreak/>
              <w:t>微观结构</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F4E11"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Volume Profile, ORB</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2C083"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POC, VA, 8:20 NY Open Breakout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02F5E" w14:textId="77777777" w:rsidR="0000550D" w:rsidRPr="0000550D" w:rsidRDefault="0000550D" w:rsidP="0000550D">
            <w:pPr>
              <w:widowControl/>
              <w:spacing w:after="480" w:line="240" w:lineRule="auto"/>
              <w:rPr>
                <w:rFonts w:ascii="宋体" w:eastAsia="宋体" w:hAnsi="宋体" w:cs="宋体"/>
                <w:kern w:val="0"/>
                <w:sz w:val="24"/>
                <w14:ligatures w14:val="none"/>
              </w:rPr>
            </w:pPr>
            <w:r w:rsidRPr="0000550D">
              <w:rPr>
                <w:rFonts w:ascii="宋体" w:eastAsia="宋体" w:hAnsi="宋体" w:cs="宋体"/>
                <w:kern w:val="0"/>
                <w:sz w:val="24"/>
                <w14:ligatures w14:val="none"/>
              </w:rPr>
              <w:t>日内高频, 事件交易</w:t>
            </w:r>
          </w:p>
        </w:tc>
        <w:tc>
          <w:tcPr>
            <w:tcW w:w="0" w:type="auto"/>
            <w:tcBorders>
              <w:top w:val="single" w:sz="6" w:space="0" w:color="auto"/>
              <w:left w:val="single" w:sz="6" w:space="0" w:color="auto"/>
              <w:bottom w:val="single" w:sz="6" w:space="0" w:color="auto"/>
              <w:right w:val="single" w:sz="6" w:space="0" w:color="auto"/>
            </w:tcBorders>
            <w:vAlign w:val="center"/>
            <w:hideMark/>
          </w:tcPr>
          <w:p w14:paraId="7445F174" w14:textId="77777777" w:rsidR="0000550D" w:rsidRPr="0000550D" w:rsidRDefault="0000550D" w:rsidP="0000550D">
            <w:pPr>
              <w:widowControl/>
              <w:spacing w:after="480" w:line="240" w:lineRule="auto"/>
              <w:rPr>
                <w:rFonts w:ascii="宋体" w:eastAsia="宋体" w:hAnsi="宋体" w:cs="宋体"/>
                <w:kern w:val="0"/>
                <w:sz w:val="24"/>
                <w14:ligatures w14:val="none"/>
              </w:rPr>
            </w:pPr>
          </w:p>
        </w:tc>
      </w:tr>
    </w:tbl>
    <w:p w14:paraId="2EAE8FA1" w14:textId="77777777" w:rsidR="00065708" w:rsidRDefault="00065708"/>
    <w:sectPr w:rsidR="000657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6EAA2" w14:textId="77777777" w:rsidR="007C7B05" w:rsidRDefault="007C7B05" w:rsidP="0000550D">
      <w:pPr>
        <w:spacing w:after="0" w:line="240" w:lineRule="auto"/>
      </w:pPr>
      <w:r>
        <w:separator/>
      </w:r>
    </w:p>
  </w:endnote>
  <w:endnote w:type="continuationSeparator" w:id="0">
    <w:p w14:paraId="2C01E191" w14:textId="77777777" w:rsidR="007C7B05" w:rsidRDefault="007C7B05" w:rsidP="00005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6C83A" w14:textId="77777777" w:rsidR="007C7B05" w:rsidRDefault="007C7B05" w:rsidP="0000550D">
      <w:pPr>
        <w:spacing w:after="0" w:line="240" w:lineRule="auto"/>
      </w:pPr>
      <w:r>
        <w:separator/>
      </w:r>
    </w:p>
  </w:footnote>
  <w:footnote w:type="continuationSeparator" w:id="0">
    <w:p w14:paraId="63AC7551" w14:textId="77777777" w:rsidR="007C7B05" w:rsidRDefault="007C7B05" w:rsidP="000055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0391"/>
    <w:multiLevelType w:val="multilevel"/>
    <w:tmpl w:val="F5A8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178C8"/>
    <w:multiLevelType w:val="multilevel"/>
    <w:tmpl w:val="C98A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E1379"/>
    <w:multiLevelType w:val="multilevel"/>
    <w:tmpl w:val="6BCE2B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70C7E"/>
    <w:multiLevelType w:val="multilevel"/>
    <w:tmpl w:val="BD6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D3D57"/>
    <w:multiLevelType w:val="multilevel"/>
    <w:tmpl w:val="0760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52F76"/>
    <w:multiLevelType w:val="multilevel"/>
    <w:tmpl w:val="0434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53E20"/>
    <w:multiLevelType w:val="multilevel"/>
    <w:tmpl w:val="35C8B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D599C"/>
    <w:multiLevelType w:val="multilevel"/>
    <w:tmpl w:val="DF38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F7EA1"/>
    <w:multiLevelType w:val="multilevel"/>
    <w:tmpl w:val="7610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66EAF"/>
    <w:multiLevelType w:val="multilevel"/>
    <w:tmpl w:val="EA0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91522"/>
    <w:multiLevelType w:val="multilevel"/>
    <w:tmpl w:val="CB60C9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11BB0"/>
    <w:multiLevelType w:val="multilevel"/>
    <w:tmpl w:val="C7A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34DD8"/>
    <w:multiLevelType w:val="multilevel"/>
    <w:tmpl w:val="5EDE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244C6"/>
    <w:multiLevelType w:val="multilevel"/>
    <w:tmpl w:val="652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E0C2B"/>
    <w:multiLevelType w:val="multilevel"/>
    <w:tmpl w:val="15C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66762"/>
    <w:multiLevelType w:val="multilevel"/>
    <w:tmpl w:val="E8E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20D5E"/>
    <w:multiLevelType w:val="multilevel"/>
    <w:tmpl w:val="F4169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C63650"/>
    <w:multiLevelType w:val="multilevel"/>
    <w:tmpl w:val="BD6A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1E2563"/>
    <w:multiLevelType w:val="multilevel"/>
    <w:tmpl w:val="1CEE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6"/>
  </w:num>
  <w:num w:numId="3">
    <w:abstractNumId w:val="11"/>
  </w:num>
  <w:num w:numId="4">
    <w:abstractNumId w:val="0"/>
  </w:num>
  <w:num w:numId="5">
    <w:abstractNumId w:val="10"/>
  </w:num>
  <w:num w:numId="6">
    <w:abstractNumId w:val="4"/>
  </w:num>
  <w:num w:numId="7">
    <w:abstractNumId w:val="5"/>
  </w:num>
  <w:num w:numId="8">
    <w:abstractNumId w:val="3"/>
  </w:num>
  <w:num w:numId="9">
    <w:abstractNumId w:val="17"/>
  </w:num>
  <w:num w:numId="10">
    <w:abstractNumId w:val="18"/>
  </w:num>
  <w:num w:numId="11">
    <w:abstractNumId w:val="8"/>
  </w:num>
  <w:num w:numId="12">
    <w:abstractNumId w:val="14"/>
  </w:num>
  <w:num w:numId="13">
    <w:abstractNumId w:val="13"/>
  </w:num>
  <w:num w:numId="14">
    <w:abstractNumId w:val="2"/>
  </w:num>
  <w:num w:numId="15">
    <w:abstractNumId w:val="12"/>
  </w:num>
  <w:num w:numId="16">
    <w:abstractNumId w:val="7"/>
  </w:num>
  <w:num w:numId="17">
    <w:abstractNumId w:val="9"/>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3A"/>
    <w:rsid w:val="0000550D"/>
    <w:rsid w:val="00065708"/>
    <w:rsid w:val="007C7B05"/>
    <w:rsid w:val="00A06A39"/>
    <w:rsid w:val="00C72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FEA98811-9493-4399-BB55-184794B77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00550D"/>
    <w:pPr>
      <w:widowControl/>
      <w:spacing w:before="100" w:beforeAutospacing="1" w:after="100" w:afterAutospacing="1" w:line="240" w:lineRule="auto"/>
      <w:outlineLvl w:val="0"/>
    </w:pPr>
    <w:rPr>
      <w:rFonts w:ascii="宋体" w:eastAsia="宋体" w:hAnsi="宋体" w:cs="宋体"/>
      <w:b/>
      <w:bCs/>
      <w:kern w:val="36"/>
      <w:sz w:val="48"/>
      <w:szCs w:val="48"/>
      <w14:ligatures w14:val="none"/>
    </w:rPr>
  </w:style>
  <w:style w:type="paragraph" w:styleId="2">
    <w:name w:val="heading 2"/>
    <w:basedOn w:val="a"/>
    <w:link w:val="20"/>
    <w:uiPriority w:val="9"/>
    <w:qFormat/>
    <w:rsid w:val="0000550D"/>
    <w:pPr>
      <w:widowControl/>
      <w:spacing w:before="100" w:beforeAutospacing="1" w:after="100" w:afterAutospacing="1" w:line="240" w:lineRule="auto"/>
      <w:outlineLvl w:val="1"/>
    </w:pPr>
    <w:rPr>
      <w:rFonts w:ascii="宋体" w:eastAsia="宋体" w:hAnsi="宋体" w:cs="宋体"/>
      <w:b/>
      <w:bCs/>
      <w:kern w:val="0"/>
      <w:sz w:val="36"/>
      <w:szCs w:val="36"/>
      <w14:ligatures w14:val="none"/>
    </w:rPr>
  </w:style>
  <w:style w:type="paragraph" w:styleId="3">
    <w:name w:val="heading 3"/>
    <w:basedOn w:val="a"/>
    <w:link w:val="30"/>
    <w:uiPriority w:val="9"/>
    <w:qFormat/>
    <w:rsid w:val="0000550D"/>
    <w:pPr>
      <w:widowControl/>
      <w:spacing w:before="100" w:beforeAutospacing="1" w:after="100" w:afterAutospacing="1" w:line="240" w:lineRule="auto"/>
      <w:outlineLvl w:val="2"/>
    </w:pPr>
    <w:rPr>
      <w:rFonts w:ascii="宋体" w:eastAsia="宋体" w:hAnsi="宋体" w:cs="宋体"/>
      <w:b/>
      <w:bCs/>
      <w:kern w:val="0"/>
      <w:sz w:val="27"/>
      <w:szCs w:val="27"/>
      <w14:ligatures w14:val="none"/>
    </w:rPr>
  </w:style>
  <w:style w:type="paragraph" w:styleId="4">
    <w:name w:val="heading 4"/>
    <w:basedOn w:val="a"/>
    <w:link w:val="40"/>
    <w:uiPriority w:val="9"/>
    <w:qFormat/>
    <w:rsid w:val="0000550D"/>
    <w:pPr>
      <w:widowControl/>
      <w:spacing w:before="100" w:beforeAutospacing="1" w:after="100" w:afterAutospacing="1" w:line="240" w:lineRule="auto"/>
      <w:outlineLvl w:val="3"/>
    </w:pPr>
    <w:rPr>
      <w:rFonts w:ascii="宋体" w:eastAsia="宋体" w:hAnsi="宋体" w:cs="宋体"/>
      <w:b/>
      <w:bCs/>
      <w:kern w:val="0"/>
      <w:sz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0550D"/>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0550D"/>
    <w:rPr>
      <w:sz w:val="18"/>
      <w:szCs w:val="18"/>
    </w:rPr>
  </w:style>
  <w:style w:type="paragraph" w:styleId="a5">
    <w:name w:val="footer"/>
    <w:basedOn w:val="a"/>
    <w:link w:val="a6"/>
    <w:uiPriority w:val="99"/>
    <w:unhideWhenUsed/>
    <w:rsid w:val="0000550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00550D"/>
    <w:rPr>
      <w:sz w:val="18"/>
      <w:szCs w:val="18"/>
    </w:rPr>
  </w:style>
  <w:style w:type="character" w:customStyle="1" w:styleId="10">
    <w:name w:val="标题 1 字符"/>
    <w:basedOn w:val="a0"/>
    <w:link w:val="1"/>
    <w:uiPriority w:val="9"/>
    <w:rsid w:val="0000550D"/>
    <w:rPr>
      <w:rFonts w:ascii="宋体" w:eastAsia="宋体" w:hAnsi="宋体" w:cs="宋体"/>
      <w:b/>
      <w:bCs/>
      <w:kern w:val="36"/>
      <w:sz w:val="48"/>
      <w:szCs w:val="48"/>
      <w14:ligatures w14:val="none"/>
    </w:rPr>
  </w:style>
  <w:style w:type="character" w:customStyle="1" w:styleId="20">
    <w:name w:val="标题 2 字符"/>
    <w:basedOn w:val="a0"/>
    <w:link w:val="2"/>
    <w:uiPriority w:val="9"/>
    <w:rsid w:val="0000550D"/>
    <w:rPr>
      <w:rFonts w:ascii="宋体" w:eastAsia="宋体" w:hAnsi="宋体" w:cs="宋体"/>
      <w:b/>
      <w:bCs/>
      <w:kern w:val="0"/>
      <w:sz w:val="36"/>
      <w:szCs w:val="36"/>
      <w14:ligatures w14:val="none"/>
    </w:rPr>
  </w:style>
  <w:style w:type="character" w:customStyle="1" w:styleId="30">
    <w:name w:val="标题 3 字符"/>
    <w:basedOn w:val="a0"/>
    <w:link w:val="3"/>
    <w:uiPriority w:val="9"/>
    <w:rsid w:val="0000550D"/>
    <w:rPr>
      <w:rFonts w:ascii="宋体" w:eastAsia="宋体" w:hAnsi="宋体" w:cs="宋体"/>
      <w:b/>
      <w:bCs/>
      <w:kern w:val="0"/>
      <w:sz w:val="27"/>
      <w:szCs w:val="27"/>
      <w14:ligatures w14:val="none"/>
    </w:rPr>
  </w:style>
  <w:style w:type="character" w:customStyle="1" w:styleId="40">
    <w:name w:val="标题 4 字符"/>
    <w:basedOn w:val="a0"/>
    <w:link w:val="4"/>
    <w:uiPriority w:val="9"/>
    <w:rsid w:val="0000550D"/>
    <w:rPr>
      <w:rFonts w:ascii="宋体" w:eastAsia="宋体" w:hAnsi="宋体" w:cs="宋体"/>
      <w:b/>
      <w:bCs/>
      <w:kern w:val="0"/>
      <w:sz w:val="24"/>
      <w14:ligatures w14:val="none"/>
    </w:rPr>
  </w:style>
  <w:style w:type="paragraph" w:styleId="a7">
    <w:name w:val="Normal (Web)"/>
    <w:basedOn w:val="a"/>
    <w:uiPriority w:val="99"/>
    <w:semiHidden/>
    <w:unhideWhenUsed/>
    <w:rsid w:val="0000550D"/>
    <w:pPr>
      <w:widowControl/>
      <w:spacing w:before="100" w:beforeAutospacing="1" w:after="100" w:afterAutospacing="1" w:line="240" w:lineRule="auto"/>
    </w:pPr>
    <w:rPr>
      <w:rFonts w:ascii="宋体" w:eastAsia="宋体" w:hAnsi="宋体" w:cs="宋体"/>
      <w:kern w:val="0"/>
      <w:sz w:val="24"/>
      <w14:ligatures w14:val="none"/>
    </w:rPr>
  </w:style>
  <w:style w:type="character" w:styleId="a8">
    <w:name w:val="Strong"/>
    <w:basedOn w:val="a0"/>
    <w:uiPriority w:val="22"/>
    <w:qFormat/>
    <w:rsid w:val="0000550D"/>
    <w:rPr>
      <w:b/>
      <w:bCs/>
    </w:rPr>
  </w:style>
  <w:style w:type="character" w:customStyle="1" w:styleId="math-inline">
    <w:name w:val="math-inline"/>
    <w:basedOn w:val="a0"/>
    <w:rsid w:val="00005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627378">
      <w:bodyDiv w:val="1"/>
      <w:marLeft w:val="0"/>
      <w:marRight w:val="0"/>
      <w:marTop w:val="0"/>
      <w:marBottom w:val="0"/>
      <w:divBdr>
        <w:top w:val="none" w:sz="0" w:space="0" w:color="auto"/>
        <w:left w:val="none" w:sz="0" w:space="0" w:color="auto"/>
        <w:bottom w:val="none" w:sz="0" w:space="0" w:color="auto"/>
        <w:right w:val="none" w:sz="0" w:space="0" w:color="auto"/>
      </w:divBdr>
      <w:divsChild>
        <w:div w:id="1664580379">
          <w:marLeft w:val="0"/>
          <w:marRight w:val="0"/>
          <w:marTop w:val="0"/>
          <w:marBottom w:val="0"/>
          <w:divBdr>
            <w:top w:val="none" w:sz="0" w:space="0" w:color="auto"/>
            <w:left w:val="none" w:sz="0" w:space="0" w:color="auto"/>
            <w:bottom w:val="none" w:sz="0" w:space="0" w:color="auto"/>
            <w:right w:val="none" w:sz="0" w:space="0" w:color="auto"/>
          </w:divBdr>
          <w:divsChild>
            <w:div w:id="1798185372">
              <w:marLeft w:val="0"/>
              <w:marRight w:val="0"/>
              <w:marTop w:val="0"/>
              <w:marBottom w:val="0"/>
              <w:divBdr>
                <w:top w:val="none" w:sz="0" w:space="0" w:color="auto"/>
                <w:left w:val="none" w:sz="0" w:space="0" w:color="auto"/>
                <w:bottom w:val="none" w:sz="0" w:space="0" w:color="auto"/>
                <w:right w:val="none" w:sz="0" w:space="0" w:color="auto"/>
              </w:divBdr>
            </w:div>
          </w:divsChild>
        </w:div>
        <w:div w:id="1698657436">
          <w:marLeft w:val="0"/>
          <w:marRight w:val="0"/>
          <w:marTop w:val="0"/>
          <w:marBottom w:val="0"/>
          <w:divBdr>
            <w:top w:val="none" w:sz="0" w:space="0" w:color="auto"/>
            <w:left w:val="none" w:sz="0" w:space="0" w:color="auto"/>
            <w:bottom w:val="none" w:sz="0" w:space="0" w:color="auto"/>
            <w:right w:val="none" w:sz="0" w:space="0" w:color="auto"/>
          </w:divBdr>
          <w:divsChild>
            <w:div w:id="243223199">
              <w:marLeft w:val="0"/>
              <w:marRight w:val="0"/>
              <w:marTop w:val="0"/>
              <w:marBottom w:val="0"/>
              <w:divBdr>
                <w:top w:val="none" w:sz="0" w:space="0" w:color="auto"/>
                <w:left w:val="none" w:sz="0" w:space="0" w:color="auto"/>
                <w:bottom w:val="none" w:sz="0" w:space="0" w:color="auto"/>
                <w:right w:val="none" w:sz="0" w:space="0" w:color="auto"/>
              </w:divBdr>
            </w:div>
          </w:divsChild>
        </w:div>
        <w:div w:id="9247247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5100</Words>
  <Characters>7752</Characters>
  <Application>Microsoft Office Word</Application>
  <DocSecurity>0</DocSecurity>
  <Lines>646</Lines>
  <Paragraphs>856</Paragraphs>
  <ScaleCrop>false</ScaleCrop>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盈桦 陈</dc:creator>
  <cp:keywords/>
  <dc:description/>
  <cp:lastModifiedBy>盈桦 陈</cp:lastModifiedBy>
  <cp:revision>2</cp:revision>
  <dcterms:created xsi:type="dcterms:W3CDTF">2026-02-02T11:47:00Z</dcterms:created>
  <dcterms:modified xsi:type="dcterms:W3CDTF">2026-02-02T11:48:00Z</dcterms:modified>
</cp:coreProperties>
</file>