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Порядок обновления программного обеспечения</w:t>
      </w:r>
    </w:p>
    <w:p>
      <w:r>
        <w:t>Обновление программного обеспечения выполняется администратором системы в согласованное технологическое окно.</w:t>
      </w:r>
    </w:p>
    <w:p>
      <w:pPr>
        <w:pStyle w:val="Heading2"/>
      </w:pPr>
      <w:r>
        <w:t>Подготовка</w:t>
      </w:r>
    </w:p>
    <w:p>
      <w:r>
        <w:t>Создать резервную копию базы данных и каталога настроек. Проверить наличие установочного пакета и контрольной суммы.</w:t>
      </w:r>
    </w:p>
    <w:p>
      <w:pPr>
        <w:pStyle w:val="Heading2"/>
      </w:pPr>
      <w:r>
        <w:t>Установка</w:t>
      </w:r>
    </w:p>
    <w:p>
      <w:r>
        <w:t>Остановить службу сбора данных, установить новую версию приложения, выполнить миграцию базы данных и запустить службу.</w:t>
      </w:r>
    </w:p>
    <w:p>
      <w:pPr>
        <w:pStyle w:val="Heading2"/>
      </w:pPr>
      <w:r>
        <w:t>Проверка</w:t>
      </w:r>
    </w:p>
    <w:p>
      <w:r>
        <w:t>После обновления проверить вход в интерфейс, связь с контроллером, отображение параметров и создание новых событий в журнале.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