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Инструкция по обновлению программного обеспечения</w:t>
      </w:r>
    </w:p>
    <w:p>
      <w:r>
        <w:t>Документ относится к проекту: Автоматизированный комплекс КСД-01 «Вектор».</w:t>
        <w:br/>
        <w:t>Версия комплекта документации: 2.4.1.</w:t>
        <w:br/>
        <w:t>Дата подготовки тестового набора: 2026-05-12.</w:t>
        <w:br/>
        <w:t>Назначение набора: проверка функции интеллектуального формирования электронного справочника по архиву технической документации.</w:t>
        <w:br/>
        <w:t>Документы искусственные, но оформлены по логике реальной эксплуатационной и проектной документации.</w:t>
      </w:r>
    </w:p>
    <w:p>
      <w:pPr>
        <w:pStyle w:val="Heading1"/>
      </w:pPr>
      <w:r>
        <w:t>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Этап</w:t>
            </w:r>
          </w:p>
        </w:tc>
        <w:tc>
          <w:tcPr>
            <w:tcW w:type="dxa" w:w="3408"/>
          </w:tcPr>
          <w:p>
            <w:r>
              <w:t>Ответственный</w:t>
            </w:r>
          </w:p>
        </w:tc>
        <w:tc>
          <w:tcPr>
            <w:tcW w:type="dxa" w:w="3408"/>
          </w:tcPr>
          <w:p>
            <w:r>
              <w:t>Результат</w:t>
            </w:r>
          </w:p>
        </w:tc>
      </w:tr>
      <w:tr>
        <w:tc>
          <w:tcPr>
            <w:tcW w:type="dxa" w:w="3408"/>
          </w:tcPr>
          <w:p>
            <w:r>
              <w:t>Этап 1</w:t>
            </w:r>
          </w:p>
        </w:tc>
        <w:tc>
          <w:tcPr>
            <w:tcW w:type="dxa" w:w="3408"/>
          </w:tcPr>
          <w:p>
            <w:r>
              <w:t>инженер</w:t>
            </w:r>
          </w:p>
        </w:tc>
        <w:tc>
          <w:tcPr>
            <w:tcW w:type="dxa" w:w="3408"/>
          </w:tcPr>
          <w:p>
            <w:r>
              <w:t>Контроль компонента: модуль сбора данных</w:t>
            </w:r>
          </w:p>
        </w:tc>
      </w:tr>
      <w:tr>
        <w:tc>
          <w:tcPr>
            <w:tcW w:type="dxa" w:w="3408"/>
          </w:tcPr>
          <w:p>
            <w:r>
              <w:t>Этап 2</w:t>
            </w:r>
          </w:p>
        </w:tc>
        <w:tc>
          <w:tcPr>
            <w:tcW w:type="dxa" w:w="3408"/>
          </w:tcPr>
          <w:p>
            <w:r>
              <w:t>администратор</w:t>
            </w:r>
          </w:p>
        </w:tc>
        <w:tc>
          <w:tcPr>
            <w:tcW w:type="dxa" w:w="3408"/>
          </w:tcPr>
          <w:p>
            <w:r>
              <w:t>Контроль компонента: АРМ оператора</w:t>
            </w:r>
          </w:p>
        </w:tc>
      </w:tr>
      <w:tr>
        <w:tc>
          <w:tcPr>
            <w:tcW w:type="dxa" w:w="3408"/>
          </w:tcPr>
          <w:p>
            <w:r>
              <w:t>Этап 3</w:t>
            </w:r>
          </w:p>
        </w:tc>
        <w:tc>
          <w:tcPr>
            <w:tcW w:type="dxa" w:w="3408"/>
          </w:tcPr>
          <w:p>
            <w:r>
              <w:t>оператор</w:t>
            </w:r>
          </w:p>
        </w:tc>
        <w:tc>
          <w:tcPr>
            <w:tcW w:type="dxa" w:w="3408"/>
          </w:tcPr>
          <w:p>
            <w:r>
              <w:t>Контроль компонента: шлюз интеграции</w:t>
            </w:r>
          </w:p>
        </w:tc>
      </w:tr>
      <w:tr>
        <w:tc>
          <w:tcPr>
            <w:tcW w:type="dxa" w:w="3408"/>
          </w:tcPr>
          <w:p>
            <w:r>
              <w:t>Этап 4</w:t>
            </w:r>
          </w:p>
        </w:tc>
        <w:tc>
          <w:tcPr>
            <w:tcW w:type="dxa" w:w="3408"/>
          </w:tcPr>
          <w:p>
            <w:r>
              <w:t>инженер</w:t>
            </w:r>
          </w:p>
        </w:tc>
        <w:tc>
          <w:tcPr>
            <w:tcW w:type="dxa" w:w="3408"/>
          </w:tcPr>
          <w:p>
            <w:r>
              <w:t>Контроль компонента: контроллер шкафа управления</w:t>
            </w:r>
          </w:p>
        </w:tc>
      </w:tr>
      <w:tr>
        <w:tc>
          <w:tcPr>
            <w:tcW w:type="dxa" w:w="3408"/>
          </w:tcPr>
          <w:p>
            <w:r>
              <w:t>Этап 5</w:t>
            </w:r>
          </w:p>
        </w:tc>
        <w:tc>
          <w:tcPr>
            <w:tcW w:type="dxa" w:w="3408"/>
          </w:tcPr>
          <w:p>
            <w:r>
              <w:t>администратор</w:t>
            </w:r>
          </w:p>
        </w:tc>
        <w:tc>
          <w:tcPr>
            <w:tcW w:type="dxa" w:w="3408"/>
          </w:tcPr>
          <w:p>
            <w:r>
              <w:t>Контроль компонента: локальная база данных</w:t>
            </w:r>
          </w:p>
        </w:tc>
      </w:tr>
      <w:tr>
        <w:tc>
          <w:tcPr>
            <w:tcW w:type="dxa" w:w="3408"/>
          </w:tcPr>
          <w:p>
            <w:r>
              <w:t>Этап 6</w:t>
            </w:r>
          </w:p>
        </w:tc>
        <w:tc>
          <w:tcPr>
            <w:tcW w:type="dxa" w:w="3408"/>
          </w:tcPr>
          <w:p>
            <w:r>
              <w:t>оператор</w:t>
            </w:r>
          </w:p>
        </w:tc>
        <w:tc>
          <w:tcPr>
            <w:tcW w:type="dxa" w:w="3408"/>
          </w:tcPr>
          <w:p>
            <w:r>
              <w:t>Контроль компонента: панель индикации</w:t>
            </w:r>
          </w:p>
        </w:tc>
      </w:tr>
    </w:tbl>
    <w:p>
      <w:pPr>
        <w:pStyle w:val="Heading1"/>
      </w:pPr>
      <w:r>
        <w:t>Назначение документа</w:t>
      </w:r>
    </w:p>
    <w:p>
      <w:r>
        <w:t>Документ относится к проекту: Автоматизированный комплекс КСД-01 «Вектор».</w:t>
      </w:r>
    </w:p>
    <w:p>
      <w:r>
        <w:t>Версия комплекта документации: 2.4.1.</w:t>
      </w:r>
    </w:p>
    <w:p>
      <w:r>
        <w:t>Дата подготовки тестового набора: 2026-05-12.</w:t>
      </w:r>
    </w:p>
    <w:p>
      <w:r>
        <w:t>Назначение набора: проверка функции интеллектуального формирования электронного справочника по архиву технической документации.</w:t>
      </w:r>
    </w:p>
    <w:p>
      <w:r>
        <w:t>Документы искусственные, но оформлены по логике реальной эксплуатационной и проектной документации.</w:t>
      </w:r>
    </w:p>
    <w:p/>
    <w:p>
      <w:r>
        <w:t>Раздел «Инструкция по обновлению программного обеспечения» описывает тему: обновление, миграция базы данных, откат версии. Материал предназначен для инженеров, операторов и специалистов сопровождения.</w:t>
      </w:r>
    </w:p>
    <w:p>
      <w:pPr>
        <w:pStyle w:val="Heading1"/>
      </w:pPr>
      <w:r>
        <w:t>1. обновление, миграция базы данных, откат версии: процедура 1</w:t>
      </w:r>
    </w:p>
    <w:p>
      <w:r>
        <w:t>Подраздел 1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АРМ оператора.</w:t>
      </w:r>
    </w:p>
    <w:p>
      <w:r>
        <w:t>Уровень риска при нарушении требований оценивается как средний.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Все действия фиксируются в эксплуатационном журнале с указанием даты, времени, ответственного сотрудника и результата проверки.</w:t>
      </w:r>
    </w:p>
    <w:p>
      <w:pPr>
        <w:pStyle w:val="Heading1"/>
      </w:pPr>
      <w:r>
        <w:t>2. обновление, миграция базы данных, откат версии: процедура 2</w:t>
      </w:r>
    </w:p>
    <w:p>
      <w:r>
        <w:t>Подраздел 2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шлюз интеграции.</w:t>
      </w:r>
    </w:p>
    <w:p>
      <w:r>
        <w:t>Уровень риска при нарушении требований оценивается как высокий.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При обнаружении расхождений между фактической конфигурацией и документацией необходимо оформить замечание и передать его ответственному инженеру.</w:t>
      </w:r>
    </w:p>
    <w:p>
      <w:pPr>
        <w:pStyle w:val="Heading1"/>
      </w:pPr>
      <w:r>
        <w:t>3. обновление, миграция базы данных, откат версии: процедура 3</w:t>
      </w:r>
    </w:p>
    <w:p>
      <w:r>
        <w:t>Подраздел 3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контроллер шкафа управления.</w:t>
      </w:r>
    </w:p>
    <w:p>
      <w:r>
        <w:t>Уровень риска при нарушении требований оценивается как критический.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Допускается использовать только исправный инструмент и штатные комплектующие, перечисленные в ведомости поставки.</w:t>
      </w:r>
    </w:p>
    <w:p>
      <w:pPr>
        <w:pStyle w:val="Heading1"/>
      </w:pPr>
      <w:r>
        <w:t>4. обновление, миграция базы данных, откат версии: процедура 4</w:t>
      </w:r>
    </w:p>
    <w:p>
      <w:r>
        <w:t>Подраздел 4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локальная база данных.</w:t>
      </w:r>
    </w:p>
    <w:p>
      <w:r>
        <w:t>Уровень риска при нарушении требований оценивается как низкий.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 случае нештатной ситуации приоритет имеют требования безопасности, затем требования сохранности данных и только после этого восстановление работоспособности.</w:t>
      </w:r>
    </w:p>
    <w:p>
      <w:pPr>
        <w:pStyle w:val="Heading1"/>
      </w:pPr>
      <w:r>
        <w:t>5. обновление, миграция базы данных, откат версии: процедура 5</w:t>
      </w:r>
    </w:p>
    <w:p>
      <w:r>
        <w:t>Подраздел 5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панель индикации.</w:t>
      </w:r>
    </w:p>
    <w:p>
      <w:r>
        <w:t>Уровень риска при нарушении требований оценивается как средний.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Перед выполнением работ исполнитель обязан ознакомиться с настоящим документом и связанными разделами комплекта документации.</w:t>
      </w:r>
    </w:p>
    <w:p>
      <w:pPr>
        <w:pStyle w:val="Heading1"/>
      </w:pPr>
      <w:r>
        <w:t>6. обновление, миграция базы данных, откат версии: процедура 6</w:t>
      </w:r>
    </w:p>
    <w:p>
      <w:r>
        <w:t>Подраздел 6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источник бесперебойного питания.</w:t>
      </w:r>
    </w:p>
    <w:p>
      <w:r>
        <w:t>Уровень риска при нарушении требований оценивается как высокий.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Все действия фиксируются в эксплуатационном журнале с указанием даты, времени, ответственного сотрудника и результата проверки.</w:t>
      </w:r>
    </w:p>
    <w:p>
      <w:pPr>
        <w:pStyle w:val="Heading1"/>
      </w:pPr>
      <w:r>
        <w:t>7. обновление, миграция базы данных, откат версии: процедура 7</w:t>
      </w:r>
    </w:p>
    <w:p>
      <w:r>
        <w:t>Подраздел 7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сервер приложений.</w:t>
      </w:r>
    </w:p>
    <w:p>
      <w:r>
        <w:t>Уровень риска при нарушении требований оценивается как критический.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При обнаружении расхождений между фактической конфигурацией и документацией необходимо оформить замечание и передать его ответственному инженеру.</w:t>
      </w:r>
    </w:p>
    <w:p>
      <w:pPr>
        <w:pStyle w:val="Heading1"/>
      </w:pPr>
      <w:r>
        <w:t>8. обновление, миграция базы данных, откат версии: процедура 8</w:t>
      </w:r>
    </w:p>
    <w:p>
      <w:r>
        <w:t>Подраздел 8 раскрывает практический порядок выполнения работ по направлению «обновление, миграция базы данных, откат версии». Особое внимание уделяется компоненту: модуль сбора данных.</w:t>
      </w:r>
    </w:p>
    <w:p>
      <w:r>
        <w:t>Уровень риска при нарушении требований оценивается как низкий.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Допускается использовать только исправный инструмент и штатные комплектующие, перечисленные в ведомости поставки.</w:t>
      </w:r>
    </w:p>
    <w:p>
      <w:pPr>
        <w:pStyle w:val="Heading1"/>
      </w:pPr>
      <w:r>
        <w:t>Контроль завершения</w:t>
      </w:r>
    </w:p>
    <w:p>
      <w:pPr>
        <w:pStyle w:val="ListBullet"/>
      </w:pPr>
      <w:r>
        <w:t>Сформирована запись в журнале.</w:t>
      </w:r>
    </w:p>
    <w:p>
      <w:pPr>
        <w:pStyle w:val="ListBullet"/>
      </w:pPr>
      <w:r>
        <w:t>Проверены связанные документы.</w:t>
      </w:r>
    </w:p>
    <w:p>
      <w:pPr>
        <w:pStyle w:val="ListBullet"/>
      </w:pPr>
      <w:r>
        <w:t>Файлы приложены к разделу справочника.</w:t>
      </w:r>
    </w:p>
    <w:p>
      <w:pPr>
        <w:pStyle w:val="ListBullet"/>
      </w:pPr>
      <w:r>
        <w:t>Ответственный инженер уведомлен.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