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Требования к монтажу комплекса КСД-01</w:t>
      </w:r>
    </w:p>
    <w:p>
      <w:r>
        <w:t>Монтаж комплекса выполняется в сухом помещении с контролируемым температурным режимом. Шкаф коммутации устанавливается на ровную вертикальную поверхность с обеспечением доступа для обслуживания.</w:t>
      </w:r>
    </w:p>
    <w:p>
      <w:pPr>
        <w:pStyle w:val="Heading2"/>
      </w:pPr>
      <w:r>
        <w:t>Подготовка места установки</w:t>
      </w:r>
    </w:p>
    <w:p>
      <w:r>
        <w:t>Перед установкой необходимо проверить наличие заземления, выделенной линии питания 220 В и свободного пространства не менее 800 мм перед дверцей шкафа.</w:t>
      </w:r>
    </w:p>
    <w:p>
      <w:pPr>
        <w:pStyle w:val="Heading2"/>
      </w:pPr>
      <w:r>
        <w:t>Требования к кабельным линиям</w:t>
      </w:r>
    </w:p>
    <w:p>
      <w:r>
        <w:t>Силовые и сигнальные кабели прокладываются раздельно. Допускается пересечение трасс под углом 90 градусов. Кабели датчиков должны иметь маркировку с указанием номера канала.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Температура помещения</w:t>
            </w:r>
          </w:p>
        </w:tc>
        <w:tc>
          <w:tcPr>
            <w:tcW w:type="dxa" w:w="4320"/>
          </w:tcPr>
          <w:p>
            <w:r>
              <w:t>+5...+40 °C</w:t>
            </w:r>
          </w:p>
        </w:tc>
      </w:tr>
      <w:tr>
        <w:tc>
          <w:tcPr>
            <w:tcW w:type="dxa" w:w="4320"/>
          </w:tcPr>
          <w:p>
            <w:r>
              <w:t>Влажность</w:t>
            </w:r>
          </w:p>
        </w:tc>
        <w:tc>
          <w:tcPr>
            <w:tcW w:type="dxa" w:w="4320"/>
          </w:tcPr>
          <w:p>
            <w:r>
              <w:t>до 80% без конденсации</w:t>
            </w:r>
          </w:p>
        </w:tc>
      </w:tr>
      <w:tr>
        <w:tc>
          <w:tcPr>
            <w:tcW w:type="dxa" w:w="4320"/>
          </w:tcPr>
          <w:p>
            <w:r>
              <w:t>Заземление</w:t>
            </w:r>
          </w:p>
        </w:tc>
        <w:tc>
          <w:tcPr>
            <w:tcW w:type="dxa" w:w="4320"/>
          </w:tcPr>
          <w:p>
            <w:r>
              <w:t>обязательно</w:t>
            </w:r>
          </w:p>
        </w:tc>
      </w:tr>
      <w:tr>
        <w:tc>
          <w:tcPr>
            <w:tcW w:type="dxa" w:w="4320"/>
          </w:tcPr>
          <w:p>
            <w:r>
              <w:t>Доступ к шкафу</w:t>
            </w:r>
          </w:p>
        </w:tc>
        <w:tc>
          <w:tcPr>
            <w:tcW w:type="dxa" w:w="4320"/>
          </w:tcPr>
          <w:p>
            <w:r>
              <w:t>не менее 800 мм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