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Программа и методика испытаний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4F1"/>
          </w:tcPr>
          <w:p>
            <w:r>
              <w:t>Комплекс</w:t>
            </w:r>
          </w:p>
        </w:tc>
        <w:tc>
          <w:tcPr>
            <w:tcW w:type="dxa" w:w="5040"/>
          </w:tcPr>
          <w:p>
            <w:r>
              <w:t>КСД-01 «Вектор»</w:t>
            </w:r>
          </w:p>
        </w:tc>
      </w:tr>
      <w:tr>
        <w:tc>
          <w:tcPr>
            <w:tcW w:type="dxa" w:w="5040"/>
            <w:shd w:fill="E6F4F1"/>
          </w:tcPr>
          <w:p>
            <w:r>
              <w:t>Раздел документации</w:t>
            </w:r>
          </w:p>
        </w:tc>
        <w:tc>
          <w:tcPr>
            <w:tcW w:type="dxa" w:w="5040"/>
          </w:tcPr>
          <w:p>
            <w:r>
              <w:t>Пусконаладка</w:t>
            </w:r>
          </w:p>
        </w:tc>
      </w:tr>
      <w:tr>
        <w:tc>
          <w:tcPr>
            <w:tcW w:type="dxa" w:w="5040"/>
            <w:shd w:fill="E6F4F1"/>
          </w:tcPr>
          <w:p>
            <w:r>
              <w:t>Организация</w:t>
            </w:r>
          </w:p>
        </w:tc>
        <w:tc>
          <w:tcPr>
            <w:tcW w:type="dxa" w:w="5040"/>
          </w:tcPr>
          <w:p>
            <w:r>
              <w:t>ООО «ТехноКонтур»</w:t>
            </w:r>
          </w:p>
        </w:tc>
      </w:tr>
      <w:tr>
        <w:tc>
          <w:tcPr>
            <w:tcW w:type="dxa" w:w="5040"/>
            <w:shd w:fill="E6F4F1"/>
          </w:tcPr>
          <w:p>
            <w:r>
              <w:t>Версия документа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  <w:shd w:fill="E6F4F1"/>
          </w:tcPr>
          <w:p>
            <w:r>
              <w:t>Дата</w:t>
            </w:r>
          </w:p>
        </w:tc>
        <w:tc>
          <w:tcPr>
            <w:tcW w:type="dxa" w:w="5040"/>
          </w:tcPr>
          <w:p>
            <w:r>
              <w:t>2026-05-12</w:t>
            </w:r>
          </w:p>
        </w:tc>
      </w:tr>
    </w:tbl>
    <w:p/>
    <w:p>
      <w:pPr>
        <w:pStyle w:val="Heading1"/>
      </w:pPr>
      <w:r>
        <w:t>Назначение документа</w:t>
      </w:r>
    </w:p>
    <w:p>
      <w:r>
        <w:t>Описывает сценарии функциональных, интеграционных и приемочных испытаний комплекса.</w:t>
      </w:r>
    </w:p>
    <w:p>
      <w:pPr>
        <w:pStyle w:val="Heading1"/>
      </w:pPr>
      <w:r>
        <w:t>Область применения</w:t>
      </w:r>
    </w:p>
    <w:p>
      <w:r>
        <w:t>Документ предназначен для инженеров внедрения, администраторов, операторов и специалистов технической поддержки.</w:t>
      </w:r>
    </w:p>
    <w:p>
      <w:r>
        <w:t>Сведения являются тестовыми, но структура и терминология приближены к реальному комплекту технической документации.</w:t>
      </w:r>
    </w:p>
    <w:p>
      <w:r>
        <w:t>Документ должен корректно классифицироваться ИИ-сборщиком справочника по содержанию, а не только по имени файла.</w:t>
      </w:r>
    </w:p>
    <w:p>
      <w:pPr>
        <w:pStyle w:val="Heading1"/>
      </w:pPr>
      <w:r>
        <w:t>Ключевые положения</w:t>
      </w:r>
    </w:p>
    <w:p>
      <w:pPr>
        <w:pStyle w:val="ListBullet"/>
      </w:pPr>
      <w:r>
        <w:t>Документ описывает тему: программа испытаний.</w:t>
      </w:r>
    </w:p>
    <w:p>
      <w:pPr>
        <w:pStyle w:val="ListBullet"/>
      </w:pPr>
      <w:r>
        <w:t>Все процедуры выполняются по утверждённому регламенту с фиксацией результата в журнале работ.</w:t>
      </w:r>
    </w:p>
    <w:p>
      <w:pPr>
        <w:pStyle w:val="ListBullet"/>
      </w:pPr>
      <w:r>
        <w:t>При отклонении параметров от допустимых значений необходимо зарегистрировать событие и уведомить ответственное лицо.</w:t>
      </w:r>
    </w:p>
    <w:p>
      <w:r>
        <w:t>Для корректной работы комплекса требуется соблюдать последовательность действий, указанную в данном документе. Несоблюдение порядка может привести к ошибкам и невозможности корректной диагностики.</w:t>
      </w:r>
    </w:p>
    <w:p>
      <w:pPr>
        <w:pStyle w:val="Heading1"/>
      </w:pPr>
      <w:r>
        <w:t>Входные данные и результаты</w:t>
      </w:r>
    </w:p>
    <w:p>
      <w:r>
        <w:t>Входными данными являются паспортные сведения комплекса, параметры среды, состояние оборудования, журнал событий и перечень подключенных модулей.</w:t>
      </w:r>
    </w:p>
    <w:p>
      <w:r>
        <w:t>Результатом выполнения процедуры является подтверждённое состояние раздела справочника, сформированный акт или обновлённая запись в эксплуатационном журнале.</w:t>
      </w:r>
    </w:p>
    <w:p>
      <w:pPr>
        <w:pStyle w:val="ListBullet"/>
      </w:pPr>
      <w:r>
        <w:t>Ответственный исполнитель проверяет полноту исходных данных.</w:t>
      </w:r>
    </w:p>
    <w:p>
      <w:pPr>
        <w:pStyle w:val="ListBullet"/>
      </w:pPr>
      <w:r>
        <w:t>Контролёр подтверждает соответствие результата требованиям документации.</w:t>
      </w:r>
    </w:p>
    <w:p>
      <w:pPr>
        <w:pStyle w:val="Heading1"/>
      </w:pPr>
      <w:r>
        <w:t>Контроль качества</w:t>
      </w:r>
    </w:p>
    <w:p>
      <w:r>
        <w:t>Контроль качества выполняется по чек-листу. Каждый пункт должен иметь признак выполнения, комментарий и дату проверки.</w:t>
      </w:r>
    </w:p>
    <w:p>
      <w:r>
        <w:t>Для автоматической сборки справочника этот раздел должен быть распознан как часть профильной документации, связанной с жизненным циклом комплекса.</w:t>
      </w:r>
    </w:p>
    <w:p>
      <w:pPr>
        <w:pStyle w:val="Heading1"/>
      </w:pPr>
      <w:r>
        <w:t>Таблица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7175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Норматив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Контроль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Ответственный</w:t>
            </w:r>
          </w:p>
        </w:tc>
      </w:tr>
      <w:tr>
        <w:tc>
          <w:tcPr>
            <w:tcW w:type="dxa" w:w="2520"/>
            <w:vAlign w:val="top"/>
          </w:tcPr>
          <w:p>
            <w:r>
              <w:t>Полнота данных</w:t>
            </w:r>
          </w:p>
        </w:tc>
        <w:tc>
          <w:tcPr>
            <w:tcW w:type="dxa" w:w="2520"/>
            <w:vAlign w:val="top"/>
          </w:tcPr>
          <w:p>
            <w:r>
              <w:t>100% обязательных полей</w:t>
            </w:r>
          </w:p>
        </w:tc>
        <w:tc>
          <w:tcPr>
            <w:tcW w:type="dxa" w:w="2520"/>
            <w:vAlign w:val="top"/>
          </w:tcPr>
          <w:p>
            <w:r>
              <w:t>Проверка по чек-листу</w:t>
            </w:r>
          </w:p>
        </w:tc>
        <w:tc>
          <w:tcPr>
            <w:tcW w:type="dxa" w:w="2520"/>
            <w:vAlign w:val="top"/>
          </w:tcPr>
          <w:p>
            <w:r>
              <w:t>Инженер внедрения</w:t>
            </w:r>
          </w:p>
        </w:tc>
      </w:tr>
      <w:tr>
        <w:tc>
          <w:tcPr>
            <w:tcW w:type="dxa" w:w="2520"/>
            <w:vAlign w:val="top"/>
          </w:tcPr>
          <w:p>
            <w:r>
              <w:t>Актуальность версии</w:t>
            </w:r>
          </w:p>
        </w:tc>
        <w:tc>
          <w:tcPr>
            <w:tcW w:type="dxa" w:w="2520"/>
            <w:vAlign w:val="top"/>
          </w:tcPr>
          <w:p>
            <w:r>
              <w:t>Не ниже утверждённой</w:t>
            </w:r>
          </w:p>
        </w:tc>
        <w:tc>
          <w:tcPr>
            <w:tcW w:type="dxa" w:w="2520"/>
            <w:vAlign w:val="top"/>
          </w:tcPr>
          <w:p>
            <w:r>
              <w:t>Сверка с реестром версий</w:t>
            </w:r>
          </w:p>
        </w:tc>
        <w:tc>
          <w:tcPr>
            <w:tcW w:type="dxa" w:w="2520"/>
            <w:vAlign w:val="top"/>
          </w:tcPr>
          <w:p>
            <w:r>
              <w:t>Администратор</w:t>
            </w:r>
          </w:p>
        </w:tc>
      </w:tr>
      <w:tr>
        <w:tc>
          <w:tcPr>
            <w:tcW w:type="dxa" w:w="2520"/>
            <w:vAlign w:val="top"/>
          </w:tcPr>
          <w:p>
            <w:r>
              <w:t>Состояние раздела</w:t>
            </w:r>
          </w:p>
        </w:tc>
        <w:tc>
          <w:tcPr>
            <w:tcW w:type="dxa" w:w="2520"/>
            <w:vAlign w:val="top"/>
          </w:tcPr>
          <w:p>
            <w:r>
              <w:t>Готов к эксплуатации</w:t>
            </w:r>
          </w:p>
        </w:tc>
        <w:tc>
          <w:tcPr>
            <w:tcW w:type="dxa" w:w="2520"/>
            <w:vAlign w:val="top"/>
          </w:tcPr>
          <w:p>
            <w:r>
              <w:t>Визуальный и логический контроль</w:t>
            </w:r>
          </w:p>
        </w:tc>
        <w:tc>
          <w:tcPr>
            <w:tcW w:type="dxa" w:w="2520"/>
            <w:vAlign w:val="top"/>
          </w:tcPr>
          <w:p>
            <w:r>
              <w:t>Технический специалист</w:t>
            </w:r>
          </w:p>
        </w:tc>
      </w:tr>
      <w:tr>
        <w:tc>
          <w:tcPr>
            <w:tcW w:type="dxa" w:w="2520"/>
            <w:vAlign w:val="top"/>
          </w:tcPr>
          <w:p>
            <w:r>
              <w:t>Тема документа</w:t>
            </w:r>
          </w:p>
        </w:tc>
        <w:tc>
          <w:tcPr>
            <w:tcW w:type="dxa" w:w="2520"/>
            <w:vAlign w:val="top"/>
          </w:tcPr>
          <w:p>
            <w:r>
              <w:t>программа испытаний</w:t>
            </w:r>
          </w:p>
        </w:tc>
        <w:tc>
          <w:tcPr>
            <w:tcW w:type="dxa" w:w="2520"/>
            <w:vAlign w:val="top"/>
          </w:tcPr>
          <w:p>
            <w:r>
              <w:t>Классификация по смыслу</w:t>
            </w:r>
          </w:p>
        </w:tc>
        <w:tc>
          <w:tcPr>
            <w:tcW w:type="dxa" w:w="2520"/>
            <w:vAlign w:val="top"/>
          </w:tcPr>
          <w:p>
            <w:r>
              <w:t>ИИ-сборщик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КСД-01 «Вектор» | тестовый комплект для ИИ-сборщика | 2026-05-12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