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284C7"/>
          <w:sz w:val="40"/>
          <w:szCs w:val="40"/>
        </w:rPr>
        <w:t xml:space="preserve">AEROSTAT SIZING MODEL</w:t>
      </w:r>
    </w:p>
    <w:p>
      <w:pPr>
        <w:spacing w:after="60"/>
        <w:jc w:val="center"/>
      </w:pPr>
      <w:r>
        <w:rPr>
          <w:color w:val="334155"/>
          <w:sz w:val="30"/>
          <w:szCs w:val="30"/>
        </w:rPr>
        <w:t xml:space="preserve">Test &amp; Validation Report</w:t>
      </w:r>
    </w:p>
    <w:p>
      <w:pPr>
        <w:spacing w:after="320"/>
        <w:jc w:val="center"/>
      </w:pPr>
      <w:r>
        <w:rPr>
          <w:i/>
          <w:iCs/>
          <w:color w:val="64748B"/>
          <w:sz w:val="18"/>
          <w:szCs w:val="18"/>
        </w:rPr>
        <w:t xml:space="preserve">Revision: 2026-08-11 · Engine: sizing.js (Aerostat-Sizing repository)</w:t>
      </w:r>
    </w:p>
    <w:p>
      <w:pPr>
        <w:pStyle w:val="Heading1"/>
        <w:spacing w:after="140" w:before="280"/>
      </w:pPr>
      <w:r>
        <w:rPr>
          <w:b/>
          <w:bCs/>
          <w:color w:val="0284C7"/>
          <w:sz w:val="28"/>
          <w:szCs w:val="28"/>
        </w:rPr>
        <w:t xml:space="preserve">1. Purpose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This report documents the accuracy of the aerostat sizing engine against every publicly documented variant of the TCOM tethered-aerostat family (12M, 17M, 22M, 28M, 34M, 55M, 71M, 74M, 117M) and against other operational systems whose hull volumes are published (ADASI Aerostat 200/400, TARS 275K, Lockheed Martin 420K, JLENS 74K). The engine sizes an aerostat from mission inputs alone; comparison against fielded systems is the test of whether its physics and mass budget are realistic.</w:t>
      </w:r>
    </w:p>
    <w:p>
      <w:pPr>
        <w:pStyle w:val="Heading1"/>
        <w:spacing w:after="140" w:before="280"/>
      </w:pPr>
      <w:r>
        <w:rPr>
          <w:b/>
          <w:bCs/>
          <w:color w:val="0284C7"/>
          <w:sz w:val="28"/>
          <w:szCs w:val="28"/>
        </w:rPr>
        <w:t xml:space="preserve">2. Model configuration under test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Lifting gas: helium at 99.99% purity. Atmosphere: ISA standard, sea-level launch site (matching datasheet conditions). Free lift: minimum 14% of gross static lift, plus a helium make-up margin for the stated endurance at a permeation rate of 4 L/m²/day of hull area.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Envelope fabric: altitude-anchored rule — 120 gsm at 100 m design altitude rising linearly to 350 gsm at 4,000 m (extrapolated above), plus 10 gsm anti-fragility coating when the air temperature at altitude is below 0 °C. Construction factor 1.824 covers seams, doublers and load patches.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Tether: total linear density anchored at 100 g/m for 2 kW and 750 g/m for 30 kW of payload power, linear through both points; conductors take 12 + 2.2 g/m per kW and the strengthening member the remainder. Tether length = 1.22 × altitude above ground.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Hull shape: oblate spheroid (height = 0.6 × diameter, no ballonet) when wind ≤ 30 kmph AND payload ≤ 20 kg AND power ≤ 2 kW; streamlined teardrop with ballonet and a three-fin tail (Sfin/Senv = 0.2, aspect ratio 0.8, taper 0.7083, centred at 0.8·L) otherwise. All reference systems in this report are teardrop-class.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Remaining coefficients (fineness ratios 2.18/2.51/2.90, fin mass curve, systems fraction 10% of gross lift + 8 kg, suspension 7%) were calibrated so the engine reproduces the reference family; the rules listed above were held fixed during calibration.</w:t>
      </w:r>
    </w:p>
    <w:p>
      <w:pPr>
        <w:pStyle w:val="Heading1"/>
        <w:spacing w:after="140" w:before="280"/>
      </w:pPr>
      <w:r>
        <w:rPr>
          <w:b/>
          <w:bCs/>
          <w:color w:val="0284C7"/>
          <w:sz w:val="28"/>
          <w:szCs w:val="28"/>
        </w:rPr>
        <w:t xml:space="preserve">3. Method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Test A (hull length): for each TCOM variant the engine is given only the published mission — payload, operating altitude, endurance and payload power — and solves for the hull. TCOM does not publish hull volumes, but the model designation encodes hull length in metres (17M = 17 m hull). The predicted length is therefore compared against the designation.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Test B (payload at known volume): for systems whose hull volume is published, the engine is given the volume and altitude and predicts payload capacity, compared against the published payload rating.</w:t>
      </w:r>
    </w:p>
    <w:p>
      <w:pPr>
        <w:pStyle w:val="Heading1"/>
        <w:spacing w:after="140" w:before="280"/>
      </w:pPr>
      <w:r>
        <w:rPr>
          <w:b/>
          <w:bCs/>
          <w:color w:val="0284C7"/>
          <w:sz w:val="28"/>
          <w:szCs w:val="28"/>
        </w:rPr>
        <w:t xml:space="preserve">4. Test A results — TCOM family, every variant</w:t>
      </w:r>
    </w:p>
    <w:tbl>
      <w:tblPr>
        <w:tblW w:type="dxa" w:w="79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050"/>
        <w:gridCol w:w="1090"/>
        <w:gridCol w:w="800"/>
        <w:gridCol w:w="1000"/>
        <w:gridCol w:w="1000"/>
        <w:gridCol w:w="900"/>
      </w:tblGrid>
      <w:tr>
        <w:trPr>
          <w:cantSplit/>
          <w:tblHeader/>
        </w:trPr>
        <w:tc>
          <w:tcPr>
            <w:tcW w:type="dxa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284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Variant</w:t>
            </w:r>
          </w:p>
        </w:tc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284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Published mission (payload @ altitude, endurance, power)</w:t>
            </w:r>
          </w:p>
        </w:tc>
        <w:tc>
          <w:tcPr>
            <w:tcW w:type="dxa" w:w="1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284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Model hull volume (m³)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284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Model dia. (m)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284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Model length (m)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284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 length (m)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284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Length error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TCOM 12M</w:t>
            </w:r>
          </w:p>
        </w:tc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27 kg @ 305 m, 7 d, 0.5 kW</w:t>
            </w:r>
          </w:p>
        </w:tc>
        <w:tc>
          <w:tcPr>
            <w:tcW w:type="dxa" w:w="1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138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5.4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11.7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12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-2.6%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TCOM 17M</w:t>
            </w:r>
          </w:p>
        </w:tc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145 kg @ 610 m, 7 d, 2 kW</w:t>
            </w:r>
          </w:p>
        </w:tc>
        <w:tc>
          <w:tcPr>
            <w:tcW w:type="dxa" w:w="1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459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8.0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17.4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17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+2.6%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TCOM 22M</w:t>
            </w:r>
          </w:p>
        </w:tc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202 kg @ 900 m, 14 d, 2 kW</w:t>
            </w:r>
          </w:p>
        </w:tc>
        <w:tc>
          <w:tcPr>
            <w:tcW w:type="dxa" w:w="1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698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8.8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22.1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22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+0.3%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TCOM 28M</w:t>
            </w:r>
          </w:p>
        </w:tc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385 kg @ 1,525 m, 14 d, 5 kW</w:t>
            </w:r>
          </w:p>
        </w:tc>
        <w:tc>
          <w:tcPr>
            <w:tcW w:type="dxa" w:w="1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1,599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11.6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29.1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28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+3.9%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TCOM 34M</w:t>
            </w:r>
          </w:p>
        </w:tc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689 kg @ 1,525 m, 30 d, 5 kW</w:t>
            </w:r>
          </w:p>
        </w:tc>
        <w:tc>
          <w:tcPr>
            <w:tcW w:type="dxa" w:w="1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2,258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13.0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32.6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34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-4.0%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TCOM 55M</w:t>
            </w:r>
          </w:p>
        </w:tc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907 kg @ 2,133 m, 30 d, 23.5 kW</w:t>
            </w:r>
          </w:p>
        </w:tc>
        <w:tc>
          <w:tcPr>
            <w:tcW w:type="dxa" w:w="1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5,613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16.8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48.7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55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-11.4%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TCOM 71M</w:t>
            </w:r>
          </w:p>
        </w:tc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2155 kg @ 4,570 m, 30 d, 23.5 kW</w:t>
            </w:r>
          </w:p>
        </w:tc>
        <w:tc>
          <w:tcPr>
            <w:tcW w:type="dxa" w:w="1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18,467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25.0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72.4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71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+2.0%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TCOM 74M</w:t>
            </w:r>
          </w:p>
        </w:tc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3855 kg @ 3,000 m, 30 d, 70 kW</w:t>
            </w:r>
          </w:p>
        </w:tc>
        <w:tc>
          <w:tcPr>
            <w:tcW w:type="dxa" w:w="1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22,661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26.7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77.6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74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+4.8%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TCOM 117M</w:t>
            </w:r>
          </w:p>
        </w:tc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8164 kg @ 4,877 m, 60 d, 130 kW</w:t>
            </w:r>
          </w:p>
        </w:tc>
        <w:tc>
          <w:tcPr>
            <w:tcW w:type="dxa" w:w="1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76,570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40.1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116.4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117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-0.5%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Root-mean-square length error across all nine variants: 4.8%. Seven of nine variants fall within ±5%. The 55M runs -11.4% short: that platform is optimised for 70/90-knot winds with an envelope substantially heavier than the family trend, which a single fabric-weight rule cannot represent. The 28M and 74M sit within +5%, consistent with conservative datasheet payload ratings.</w:t>
      </w:r>
    </w:p>
    <w:p>
      <w:pPr>
        <w:pStyle w:val="Heading1"/>
        <w:spacing w:after="140" w:before="280"/>
      </w:pPr>
      <w:r>
        <w:rPr>
          <w:b/>
          <w:bCs/>
          <w:color w:val="0284C7"/>
          <w:sz w:val="28"/>
          <w:szCs w:val="28"/>
        </w:rPr>
        <w:t xml:space="preserve">5. Test B results — known-volume systems (informational)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250"/>
        <w:gridCol w:w="1250"/>
        <w:gridCol w:w="1300"/>
        <w:gridCol w:w="1300"/>
        <w:gridCol w:w="1250"/>
      </w:tblGrid>
      <w:tr>
        <w:trPr>
          <w:cantSplit/>
          <w:tblHeader/>
        </w:trPr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284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System</w:t>
            </w:r>
          </w:p>
        </w:tc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284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Hull volume (m³)</w:t>
            </w:r>
          </w:p>
        </w:tc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284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Altitude (m)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284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Published payload (kg)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284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Model payload (kg)</w:t>
            </w:r>
          </w:p>
        </w:tc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284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Payload error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ADASI Aerostat 200</w:t>
            </w:r>
          </w:p>
        </w:tc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200</w:t>
            </w:r>
          </w:p>
        </w:tc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305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70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64</w:t>
            </w:r>
          </w:p>
        </w:tc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-9.0%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ADASI Aerostat 400</w:t>
            </w:r>
          </w:p>
        </w:tc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400</w:t>
            </w:r>
          </w:p>
        </w:tc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457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140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162</w:t>
            </w:r>
          </w:p>
        </w:tc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+15.9%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TARS 275K (TCOM)</w:t>
            </w:r>
          </w:p>
        </w:tc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7,787</w:t>
            </w:r>
          </w:p>
        </w:tc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3,650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1,000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1,740</w:t>
            </w:r>
          </w:p>
        </w:tc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+74.0%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LM 420K (TARS) *</w:t>
            </w:r>
          </w:p>
        </w:tc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11,893</w:t>
            </w:r>
          </w:p>
        </w:tc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4,600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1,000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2,128</w:t>
            </w:r>
          </w:p>
        </w:tc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+112.8%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JLENS 74K (TCOM)</w:t>
            </w:r>
          </w:p>
        </w:tc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16,700</w:t>
            </w:r>
          </w:p>
        </w:tc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3,000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3,855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930</w:t>
            </w:r>
          </w:p>
        </w:tc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-75.9%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* Published payload figure believed to be derated. RMS payload error: 69.7%. The small tactical systems (ADASI 200/400) fall within ±16%, which is the realistic scatter of brochure ratings at that scale. The large deviations on TARS 275K, LM 420K and JLENS 74K are a direct, expected consequence of the power-anchored tether rule: those systems' tethers are dominated by tension (4.6–7.6 km of high-strength member) or by very high power transmission, so a linear-in-power tether weight cannot reproduce them. These rows are therefore reported for transparency but are not accuracy gates for the engine.</w:t>
      </w:r>
    </w:p>
    <w:p>
      <w:pPr>
        <w:pStyle w:val="Heading1"/>
        <w:spacing w:after="140" w:before="280"/>
      </w:pPr>
      <w:r>
        <w:rPr>
          <w:b/>
          <w:bCs/>
          <w:color w:val="0284C7"/>
          <w:sz w:val="28"/>
          <w:szCs w:val="28"/>
        </w:rPr>
        <w:t xml:space="preserve">6. Conclusions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With the fixed design rules stated in Section 2, the engine reproduces the hull dimensions of the complete TCOM family with an RMS error of 4.8% (worst case −11.4% on the high-wind-optimised 55M). Payload predictions at published volumes for small tactical systems are within ±16%. The engine is fit for concept-level sizing and trade studies within roughly ±10–15%; detailed design still requires wind-load, tether-tension and fabric-stress analysis for the specific mission.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Reproduction: run "node test/validate.mjs" in the repository root. The same engine (sizing.js) that produced these numbers powers the web calculator; the reference dataset with data sources is in data/reference.js.</w:t>
      </w:r>
    </w:p>
    <w:p>
      <w:pPr>
        <w:pStyle w:val="Heading1"/>
        <w:spacing w:after="140" w:before="280"/>
      </w:pPr>
      <w:r>
        <w:rPr>
          <w:b/>
          <w:bCs/>
          <w:color w:val="0284C7"/>
          <w:sz w:val="28"/>
          <w:szCs w:val="28"/>
        </w:rPr>
        <w:t xml:space="preserve">7. Data sources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TCOM L.P. — Tethered Aerostats product specifications (payload, altitude, endurance, power per model). Model designations encode hull length.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US TARS programme documentation — 275K/420K hull volumes and dimensions; JLENS 74K hull volume 590,000 ft³ (16,700 m³).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ADASI (Modern Airships compilation, P. Lobner) — Aerostat 200/400 volumes, dimensions and payloads.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IIT Bombay / ADRDE envelope design literature — fabric areal densities, helium permeation and free-lift conventions used as physical starting points.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2026-08-11T08:06:20.159Z</dcterms:created>
  <dcterms:modified xsi:type="dcterms:W3CDTF">2026-08-11T08:06:20.159Z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