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2B618" w14:textId="1B088812" w:rsidR="00496A1B" w:rsidRDefault="00496A1B" w:rsidP="00496A1B">
      <w:pPr>
        <w:spacing w:after="0" w:line="240" w:lineRule="auto"/>
        <w:jc w:val="right"/>
        <w:rPr>
          <w:sz w:val="20"/>
          <w:szCs w:val="20"/>
        </w:rPr>
      </w:pPr>
      <w:r w:rsidRPr="00496A1B">
        <w:rPr>
          <w:sz w:val="20"/>
          <w:szCs w:val="20"/>
        </w:rPr>
        <w:t>Emre Usenmez</w:t>
      </w:r>
    </w:p>
    <w:p w14:paraId="62414BBC" w14:textId="316289AF" w:rsidR="00776B2A" w:rsidRPr="00496A1B" w:rsidRDefault="00776B2A" w:rsidP="00496A1B">
      <w:pPr>
        <w:spacing w:after="0" w:line="240" w:lineRule="auto"/>
        <w:jc w:val="right"/>
        <w:rPr>
          <w:sz w:val="20"/>
          <w:szCs w:val="20"/>
        </w:rPr>
      </w:pPr>
      <w:r>
        <w:rPr>
          <w:sz w:val="20"/>
          <w:szCs w:val="20"/>
        </w:rPr>
        <w:t>Associate Professor</w:t>
      </w:r>
    </w:p>
    <w:p w14:paraId="06C97D48" w14:textId="77777777" w:rsidR="00496A1B" w:rsidRPr="00496A1B" w:rsidRDefault="00496A1B" w:rsidP="00496A1B">
      <w:pPr>
        <w:pStyle w:val="Header"/>
        <w:jc w:val="right"/>
        <w:rPr>
          <w:sz w:val="20"/>
          <w:szCs w:val="20"/>
        </w:rPr>
      </w:pPr>
      <w:r w:rsidRPr="00496A1B">
        <w:rPr>
          <w:sz w:val="20"/>
          <w:szCs w:val="20"/>
        </w:rPr>
        <w:t>University of Cambridge</w:t>
      </w:r>
    </w:p>
    <w:p w14:paraId="7AD7F517" w14:textId="77777777" w:rsidR="00496A1B" w:rsidRPr="00496A1B" w:rsidRDefault="00496A1B" w:rsidP="00496A1B">
      <w:pPr>
        <w:pStyle w:val="Header"/>
        <w:jc w:val="right"/>
        <w:rPr>
          <w:sz w:val="20"/>
          <w:szCs w:val="20"/>
        </w:rPr>
      </w:pPr>
      <w:r w:rsidRPr="00496A1B">
        <w:rPr>
          <w:sz w:val="20"/>
          <w:szCs w:val="20"/>
        </w:rPr>
        <w:t>Gonville &amp; Caius College</w:t>
      </w:r>
    </w:p>
    <w:p w14:paraId="3A50F9AE" w14:textId="31E10807" w:rsidR="00496A1B" w:rsidRDefault="00496A1B" w:rsidP="00496A1B">
      <w:pPr>
        <w:pStyle w:val="Header"/>
        <w:jc w:val="right"/>
        <w:rPr>
          <w:sz w:val="20"/>
          <w:szCs w:val="20"/>
        </w:rPr>
      </w:pPr>
      <w:r w:rsidRPr="00496A1B">
        <w:rPr>
          <w:sz w:val="20"/>
          <w:szCs w:val="20"/>
        </w:rPr>
        <w:t>Trinity Street</w:t>
      </w:r>
      <w:r>
        <w:rPr>
          <w:sz w:val="20"/>
          <w:szCs w:val="20"/>
        </w:rPr>
        <w:t xml:space="preserve">, </w:t>
      </w:r>
      <w:r w:rsidRPr="00496A1B">
        <w:rPr>
          <w:sz w:val="20"/>
          <w:szCs w:val="20"/>
        </w:rPr>
        <w:t>Cambridge, CB2 1TA</w:t>
      </w:r>
      <w:r>
        <w:rPr>
          <w:sz w:val="20"/>
          <w:szCs w:val="20"/>
        </w:rPr>
        <w:t xml:space="preserve">, </w:t>
      </w:r>
      <w:r w:rsidRPr="00496A1B">
        <w:rPr>
          <w:sz w:val="20"/>
          <w:szCs w:val="20"/>
        </w:rPr>
        <w:t>UK</w:t>
      </w:r>
    </w:p>
    <w:p w14:paraId="17FE56BF" w14:textId="273C26B0" w:rsidR="00776B2A" w:rsidRDefault="00776B2A" w:rsidP="00496A1B">
      <w:pPr>
        <w:pStyle w:val="Header"/>
        <w:jc w:val="right"/>
        <w:rPr>
          <w:sz w:val="20"/>
          <w:szCs w:val="20"/>
        </w:rPr>
      </w:pPr>
      <w:r>
        <w:rPr>
          <w:sz w:val="20"/>
          <w:szCs w:val="20"/>
        </w:rPr>
        <w:t>eu229@cam.ac.uk</w:t>
      </w:r>
    </w:p>
    <w:p w14:paraId="3D3D322E" w14:textId="2DC1F325" w:rsidR="00496A1B" w:rsidRPr="00496A1B" w:rsidRDefault="00496A1B" w:rsidP="00496A1B">
      <w:pPr>
        <w:pStyle w:val="Header"/>
        <w:jc w:val="right"/>
        <w:rPr>
          <w:sz w:val="20"/>
          <w:szCs w:val="20"/>
        </w:rPr>
      </w:pPr>
    </w:p>
    <w:p w14:paraId="3009B7C3" w14:textId="300D82BF" w:rsidR="00496A1B" w:rsidRDefault="00496A1B" w:rsidP="00496A1B">
      <w:pPr>
        <w:spacing w:after="0" w:line="240" w:lineRule="auto"/>
        <w:jc w:val="right"/>
        <w:rPr>
          <w:sz w:val="20"/>
          <w:szCs w:val="20"/>
        </w:rPr>
      </w:pPr>
      <w:r w:rsidRPr="00496A1B">
        <w:rPr>
          <w:sz w:val="20"/>
          <w:szCs w:val="20"/>
        </w:rPr>
        <w:t>Carlos Arcila Barrera</w:t>
      </w:r>
    </w:p>
    <w:p w14:paraId="7F16A988" w14:textId="39769C54" w:rsidR="00776B2A" w:rsidRPr="00496A1B" w:rsidRDefault="00776B2A" w:rsidP="00496A1B">
      <w:pPr>
        <w:spacing w:after="0" w:line="240" w:lineRule="auto"/>
        <w:jc w:val="right"/>
        <w:rPr>
          <w:sz w:val="20"/>
          <w:szCs w:val="20"/>
        </w:rPr>
      </w:pPr>
      <w:r>
        <w:rPr>
          <w:sz w:val="20"/>
          <w:szCs w:val="20"/>
        </w:rPr>
        <w:t>Tutor, Sustainable Finance</w:t>
      </w:r>
    </w:p>
    <w:p w14:paraId="762218C0" w14:textId="77777777" w:rsidR="00496A1B" w:rsidRDefault="00496A1B" w:rsidP="00496A1B">
      <w:pPr>
        <w:pStyle w:val="p1"/>
        <w:jc w:val="right"/>
        <w:rPr>
          <w:rFonts w:asciiTheme="minorHAnsi" w:hAnsiTheme="minorHAnsi"/>
          <w:sz w:val="20"/>
          <w:szCs w:val="20"/>
        </w:rPr>
      </w:pPr>
      <w:r w:rsidRPr="00496A1B">
        <w:rPr>
          <w:rFonts w:asciiTheme="minorHAnsi" w:hAnsiTheme="minorHAnsi"/>
          <w:sz w:val="20"/>
          <w:szCs w:val="20"/>
        </w:rPr>
        <w:t xml:space="preserve">University of Cambridge </w:t>
      </w:r>
    </w:p>
    <w:p w14:paraId="6811926F" w14:textId="052BA33D" w:rsidR="00496A1B" w:rsidRDefault="00496A1B" w:rsidP="00496A1B">
      <w:pPr>
        <w:pStyle w:val="p1"/>
        <w:jc w:val="right"/>
        <w:rPr>
          <w:rFonts w:asciiTheme="minorHAnsi" w:hAnsiTheme="minorHAnsi"/>
          <w:sz w:val="20"/>
          <w:szCs w:val="20"/>
        </w:rPr>
      </w:pPr>
      <w:r w:rsidRPr="00496A1B">
        <w:rPr>
          <w:rFonts w:asciiTheme="minorHAnsi" w:hAnsiTheme="minorHAnsi"/>
          <w:sz w:val="20"/>
          <w:szCs w:val="20"/>
        </w:rPr>
        <w:t>Institute for Sustainability Leadership</w:t>
      </w:r>
    </w:p>
    <w:p w14:paraId="23FBA7CC" w14:textId="6FBAB07D" w:rsidR="00496A1B" w:rsidRDefault="00496A1B" w:rsidP="00496A1B">
      <w:pPr>
        <w:pStyle w:val="p1"/>
        <w:jc w:val="right"/>
        <w:rPr>
          <w:rFonts w:asciiTheme="minorHAnsi" w:hAnsiTheme="minorHAnsi"/>
          <w:sz w:val="20"/>
          <w:szCs w:val="20"/>
        </w:rPr>
      </w:pPr>
      <w:r w:rsidRPr="00496A1B">
        <w:rPr>
          <w:rFonts w:asciiTheme="minorHAnsi" w:hAnsiTheme="minorHAnsi"/>
          <w:sz w:val="20"/>
          <w:szCs w:val="20"/>
        </w:rPr>
        <w:t xml:space="preserve"> 1 Regent Street, Cambridge, CB2 1GG, UK</w:t>
      </w:r>
    </w:p>
    <w:p w14:paraId="4D1F4269" w14:textId="72B9A316" w:rsidR="00776B2A" w:rsidRPr="00496A1B" w:rsidRDefault="00776B2A" w:rsidP="00496A1B">
      <w:pPr>
        <w:pStyle w:val="p1"/>
        <w:jc w:val="right"/>
        <w:rPr>
          <w:rFonts w:asciiTheme="minorHAnsi" w:hAnsiTheme="minorHAnsi"/>
          <w:sz w:val="20"/>
          <w:szCs w:val="20"/>
        </w:rPr>
      </w:pPr>
      <w:r>
        <w:rPr>
          <w:rFonts w:asciiTheme="minorHAnsi" w:hAnsiTheme="minorHAnsi"/>
          <w:sz w:val="20"/>
          <w:szCs w:val="20"/>
        </w:rPr>
        <w:t>Founder &amp; CIO</w:t>
      </w:r>
    </w:p>
    <w:p w14:paraId="1D8C6FCD" w14:textId="77777777" w:rsidR="00496A1B" w:rsidRDefault="00496A1B" w:rsidP="00496A1B">
      <w:pPr>
        <w:pStyle w:val="p1"/>
        <w:jc w:val="right"/>
        <w:rPr>
          <w:rFonts w:asciiTheme="minorHAnsi" w:hAnsiTheme="minorHAnsi"/>
          <w:sz w:val="20"/>
          <w:szCs w:val="20"/>
        </w:rPr>
      </w:pPr>
      <w:r w:rsidRPr="00496A1B">
        <w:rPr>
          <w:rFonts w:asciiTheme="minorHAnsi" w:hAnsiTheme="minorHAnsi"/>
          <w:sz w:val="20"/>
          <w:szCs w:val="20"/>
        </w:rPr>
        <w:t xml:space="preserve">Sigma Advanced Capital Management </w:t>
      </w:r>
    </w:p>
    <w:p w14:paraId="1741C006" w14:textId="576A214D" w:rsidR="00496A1B" w:rsidRDefault="00496A1B" w:rsidP="00496A1B">
      <w:pPr>
        <w:pStyle w:val="p1"/>
        <w:jc w:val="right"/>
        <w:rPr>
          <w:rFonts w:asciiTheme="minorHAnsi" w:hAnsiTheme="minorHAnsi"/>
          <w:sz w:val="20"/>
          <w:szCs w:val="20"/>
        </w:rPr>
      </w:pPr>
      <w:r w:rsidRPr="00496A1B">
        <w:rPr>
          <w:rFonts w:asciiTheme="minorHAnsi" w:hAnsiTheme="minorHAnsi"/>
          <w:sz w:val="20"/>
          <w:szCs w:val="20"/>
        </w:rPr>
        <w:t>203 N La Salle Dr, Chicago, 60601, IL, USA</w:t>
      </w:r>
    </w:p>
    <w:p w14:paraId="55B32DD1" w14:textId="2A13CE03" w:rsidR="00776B2A" w:rsidRDefault="00776B2A" w:rsidP="00496A1B">
      <w:pPr>
        <w:pStyle w:val="p1"/>
        <w:jc w:val="right"/>
        <w:rPr>
          <w:rFonts w:asciiTheme="minorHAnsi" w:hAnsiTheme="minorHAnsi"/>
          <w:sz w:val="20"/>
          <w:szCs w:val="20"/>
        </w:rPr>
      </w:pPr>
      <w:r>
        <w:rPr>
          <w:rFonts w:asciiTheme="minorHAnsi" w:hAnsiTheme="minorHAnsi"/>
          <w:sz w:val="20"/>
          <w:szCs w:val="20"/>
        </w:rPr>
        <w:t>ca577@cantab.ac.uk</w:t>
      </w:r>
    </w:p>
    <w:p w14:paraId="76EEA75F" w14:textId="76C4BC8D" w:rsidR="00496A1B" w:rsidRDefault="00776B2A" w:rsidP="00496A1B">
      <w:pPr>
        <w:pStyle w:val="p1"/>
        <w:rPr>
          <w:rFonts w:asciiTheme="minorHAnsi" w:hAnsiTheme="minorHAnsi"/>
          <w:sz w:val="20"/>
          <w:szCs w:val="20"/>
        </w:rPr>
      </w:pPr>
      <w:r>
        <w:rPr>
          <w:rFonts w:asciiTheme="minorHAnsi" w:hAnsiTheme="minorHAnsi"/>
          <w:sz w:val="20"/>
          <w:szCs w:val="20"/>
        </w:rPr>
        <w:t xml:space="preserve">c/o </w:t>
      </w:r>
      <w:r w:rsidR="007F1940">
        <w:rPr>
          <w:rFonts w:asciiTheme="minorHAnsi" w:hAnsiTheme="minorHAnsi"/>
          <w:sz w:val="20"/>
          <w:szCs w:val="20"/>
        </w:rPr>
        <w:t xml:space="preserve">Professor </w:t>
      </w:r>
      <w:proofErr w:type="spellStart"/>
      <w:r>
        <w:rPr>
          <w:rFonts w:asciiTheme="minorHAnsi" w:hAnsiTheme="minorHAnsi"/>
          <w:sz w:val="20"/>
          <w:szCs w:val="20"/>
        </w:rPr>
        <w:t>Lingxiao</w:t>
      </w:r>
      <w:proofErr w:type="spellEnd"/>
      <w:r>
        <w:rPr>
          <w:rFonts w:asciiTheme="minorHAnsi" w:hAnsiTheme="minorHAnsi"/>
          <w:sz w:val="20"/>
          <w:szCs w:val="20"/>
        </w:rPr>
        <w:t xml:space="preserve"> Yan</w:t>
      </w:r>
    </w:p>
    <w:p w14:paraId="46B84CBD" w14:textId="1636BA8C" w:rsidR="00776B2A" w:rsidRDefault="009A5C21" w:rsidP="00496A1B">
      <w:pPr>
        <w:pStyle w:val="p1"/>
        <w:rPr>
          <w:rFonts w:asciiTheme="minorHAnsi" w:hAnsiTheme="minorHAnsi"/>
          <w:sz w:val="20"/>
          <w:szCs w:val="20"/>
        </w:rPr>
      </w:pPr>
      <w:r>
        <w:rPr>
          <w:rFonts w:asciiTheme="minorHAnsi" w:hAnsiTheme="minorHAnsi"/>
          <w:sz w:val="20"/>
          <w:szCs w:val="20"/>
        </w:rPr>
        <w:t xml:space="preserve">&amp; </w:t>
      </w:r>
      <w:r w:rsidR="00776B2A">
        <w:rPr>
          <w:rFonts w:asciiTheme="minorHAnsi" w:hAnsiTheme="minorHAnsi"/>
          <w:sz w:val="20"/>
          <w:szCs w:val="20"/>
        </w:rPr>
        <w:t>Professor Bronwyn Wake</w:t>
      </w:r>
    </w:p>
    <w:p w14:paraId="3647310B" w14:textId="2719F375" w:rsidR="00496A1B" w:rsidRDefault="00EF28E0" w:rsidP="00496A1B">
      <w:pPr>
        <w:pStyle w:val="p1"/>
        <w:rPr>
          <w:rFonts w:asciiTheme="minorHAnsi" w:hAnsiTheme="minorHAnsi"/>
          <w:sz w:val="20"/>
          <w:szCs w:val="20"/>
        </w:rPr>
      </w:pPr>
      <w:r>
        <w:rPr>
          <w:rFonts w:asciiTheme="minorHAnsi" w:hAnsiTheme="minorHAnsi"/>
          <w:sz w:val="20"/>
          <w:szCs w:val="20"/>
        </w:rPr>
        <w:t>Nature Climate Change</w:t>
      </w:r>
    </w:p>
    <w:p w14:paraId="1BB69B8A" w14:textId="490D40D2" w:rsidR="00776B2A" w:rsidRDefault="00776B2A" w:rsidP="00496A1B">
      <w:pPr>
        <w:pStyle w:val="p1"/>
        <w:rPr>
          <w:rFonts w:asciiTheme="minorHAnsi" w:hAnsiTheme="minorHAnsi"/>
          <w:sz w:val="20"/>
          <w:szCs w:val="20"/>
        </w:rPr>
      </w:pPr>
      <w:r>
        <w:rPr>
          <w:rFonts w:asciiTheme="minorHAnsi" w:hAnsiTheme="minorHAnsi"/>
          <w:sz w:val="20"/>
          <w:szCs w:val="20"/>
        </w:rPr>
        <w:t>Springer Nature</w:t>
      </w:r>
    </w:p>
    <w:p w14:paraId="56892B77" w14:textId="77777777" w:rsidR="00496A1B" w:rsidRDefault="00496A1B" w:rsidP="00496A1B">
      <w:pPr>
        <w:pStyle w:val="p1"/>
      </w:pPr>
    </w:p>
    <w:p w14:paraId="250307DD" w14:textId="3E0DA97B" w:rsidR="00496A1B" w:rsidRPr="00490FAB" w:rsidRDefault="00EF28E0" w:rsidP="00776B2A">
      <w:pPr>
        <w:spacing w:after="0" w:line="240" w:lineRule="auto"/>
        <w:jc w:val="right"/>
        <w:rPr>
          <w:sz w:val="22"/>
          <w:szCs w:val="22"/>
        </w:rPr>
      </w:pPr>
      <w:r>
        <w:rPr>
          <w:sz w:val="22"/>
          <w:szCs w:val="22"/>
        </w:rPr>
        <w:t>16 March</w:t>
      </w:r>
      <w:r w:rsidR="00496A1B" w:rsidRPr="00490FAB">
        <w:rPr>
          <w:sz w:val="22"/>
          <w:szCs w:val="22"/>
        </w:rPr>
        <w:t xml:space="preserve"> 2025</w:t>
      </w:r>
    </w:p>
    <w:p w14:paraId="4F7F928F" w14:textId="77777777" w:rsidR="00496A1B" w:rsidRPr="00490FAB" w:rsidRDefault="00496A1B" w:rsidP="00490FAB">
      <w:pPr>
        <w:spacing w:after="0" w:line="240" w:lineRule="auto"/>
        <w:rPr>
          <w:sz w:val="22"/>
          <w:szCs w:val="22"/>
        </w:rPr>
      </w:pPr>
    </w:p>
    <w:p w14:paraId="0BCF0593" w14:textId="7F7412F6" w:rsidR="00496A1B" w:rsidRDefault="00496A1B" w:rsidP="00490FAB">
      <w:pPr>
        <w:spacing w:after="0" w:line="240" w:lineRule="auto"/>
        <w:rPr>
          <w:sz w:val="22"/>
          <w:szCs w:val="22"/>
        </w:rPr>
      </w:pPr>
      <w:r w:rsidRPr="00490FAB">
        <w:rPr>
          <w:sz w:val="22"/>
          <w:szCs w:val="22"/>
        </w:rPr>
        <w:t xml:space="preserve">Dear </w:t>
      </w:r>
      <w:r w:rsidR="007F1940">
        <w:rPr>
          <w:sz w:val="22"/>
          <w:szCs w:val="22"/>
        </w:rPr>
        <w:t xml:space="preserve">Professor </w:t>
      </w:r>
      <w:r w:rsidR="00776B2A">
        <w:rPr>
          <w:sz w:val="22"/>
          <w:szCs w:val="22"/>
        </w:rPr>
        <w:t>Yan and Professor Wake,</w:t>
      </w:r>
    </w:p>
    <w:p w14:paraId="369BF6B1" w14:textId="77777777" w:rsidR="00490FAB" w:rsidRPr="00490FAB" w:rsidRDefault="00490FAB" w:rsidP="00490FAB">
      <w:pPr>
        <w:spacing w:after="0" w:line="240" w:lineRule="auto"/>
        <w:rPr>
          <w:sz w:val="22"/>
          <w:szCs w:val="22"/>
        </w:rPr>
      </w:pPr>
    </w:p>
    <w:p w14:paraId="05EDBB9D" w14:textId="67B45318" w:rsidR="001F0B04" w:rsidRDefault="00496A1B" w:rsidP="00490FAB">
      <w:pPr>
        <w:spacing w:after="0" w:line="240" w:lineRule="auto"/>
        <w:rPr>
          <w:sz w:val="22"/>
          <w:szCs w:val="22"/>
        </w:rPr>
      </w:pPr>
      <w:r w:rsidRPr="00490FAB">
        <w:rPr>
          <w:sz w:val="22"/>
          <w:szCs w:val="22"/>
        </w:rPr>
        <w:t xml:space="preserve">We wish to </w:t>
      </w:r>
      <w:r w:rsidR="00E07F5B" w:rsidRPr="00490FAB">
        <w:rPr>
          <w:sz w:val="22"/>
          <w:szCs w:val="22"/>
        </w:rPr>
        <w:t>submit an original research paper entitled “</w:t>
      </w:r>
      <w:r w:rsidR="00CF4FDF" w:rsidRPr="00490FAB">
        <w:rPr>
          <w:sz w:val="22"/>
          <w:szCs w:val="22"/>
        </w:rPr>
        <w:t xml:space="preserve">European Carbon Market Connectedness and Risk Contagion: A Study of Return and Volatility Dynamics Between </w:t>
      </w:r>
      <w:r w:rsidR="00EF28E0">
        <w:rPr>
          <w:sz w:val="22"/>
          <w:szCs w:val="22"/>
        </w:rPr>
        <w:t xml:space="preserve">Post-Phase II </w:t>
      </w:r>
      <w:r w:rsidR="00CF4FDF" w:rsidRPr="00490FAB">
        <w:rPr>
          <w:sz w:val="22"/>
          <w:szCs w:val="22"/>
        </w:rPr>
        <w:t>European Union Allowances (EUAs) and Financial Markets and their Potential for Portfolio Diversification</w:t>
      </w:r>
      <w:r w:rsidR="00E07F5B" w:rsidRPr="00490FAB">
        <w:rPr>
          <w:sz w:val="22"/>
          <w:szCs w:val="22"/>
        </w:rPr>
        <w:t>”.</w:t>
      </w:r>
    </w:p>
    <w:p w14:paraId="547D67A9" w14:textId="77777777" w:rsidR="00490FAB" w:rsidRPr="00490FAB" w:rsidRDefault="00490FAB" w:rsidP="00490FAB">
      <w:pPr>
        <w:spacing w:after="0" w:line="240" w:lineRule="auto"/>
        <w:rPr>
          <w:sz w:val="22"/>
          <w:szCs w:val="22"/>
        </w:rPr>
      </w:pPr>
    </w:p>
    <w:p w14:paraId="1E0E37CF" w14:textId="77777777" w:rsidR="00B4766E" w:rsidRDefault="00E07F5B" w:rsidP="00490FAB">
      <w:pPr>
        <w:spacing w:after="0" w:line="240" w:lineRule="auto"/>
        <w:rPr>
          <w:sz w:val="22"/>
          <w:szCs w:val="22"/>
        </w:rPr>
      </w:pPr>
      <w:r w:rsidRPr="00490FAB">
        <w:rPr>
          <w:sz w:val="22"/>
          <w:szCs w:val="22"/>
        </w:rPr>
        <w:t xml:space="preserve">This paper addresses the problem of how to accelerate decarbonization </w:t>
      </w:r>
      <w:r w:rsidR="00C01C3A" w:rsidRPr="00490FAB">
        <w:rPr>
          <w:sz w:val="22"/>
          <w:szCs w:val="22"/>
        </w:rPr>
        <w:t xml:space="preserve">efforts </w:t>
      </w:r>
      <w:r w:rsidRPr="00490FAB">
        <w:rPr>
          <w:sz w:val="22"/>
          <w:szCs w:val="22"/>
        </w:rPr>
        <w:t xml:space="preserve">via </w:t>
      </w:r>
      <w:r w:rsidR="00C01C3A" w:rsidRPr="00490FAB">
        <w:rPr>
          <w:sz w:val="22"/>
          <w:szCs w:val="22"/>
        </w:rPr>
        <w:t>European emissions trading</w:t>
      </w:r>
      <w:r w:rsidRPr="00490FAB">
        <w:rPr>
          <w:sz w:val="22"/>
          <w:szCs w:val="22"/>
        </w:rPr>
        <w:t xml:space="preserve"> markets</w:t>
      </w:r>
      <w:r w:rsidR="00C01C3A" w:rsidRPr="00490FAB">
        <w:rPr>
          <w:sz w:val="22"/>
          <w:szCs w:val="22"/>
        </w:rPr>
        <w:t xml:space="preserve"> in support of the EU’s climate targets</w:t>
      </w:r>
      <w:r w:rsidRPr="00490FAB">
        <w:rPr>
          <w:sz w:val="22"/>
          <w:szCs w:val="22"/>
        </w:rPr>
        <w:t>.</w:t>
      </w:r>
      <w:r w:rsidR="00C01C3A" w:rsidRPr="00490FAB">
        <w:rPr>
          <w:sz w:val="22"/>
          <w:szCs w:val="22"/>
        </w:rPr>
        <w:t xml:space="preserve"> Studies have shown that </w:t>
      </w:r>
      <w:r w:rsidR="00DE540F" w:rsidRPr="00490FAB">
        <w:rPr>
          <w:sz w:val="22"/>
          <w:szCs w:val="22"/>
        </w:rPr>
        <w:t xml:space="preserve">emissions trading can help reduce abatement costs and dampen the negative impacts of emission reductions, especially on the energy sector. They have also shown that despite various advanced econometric and AI techniques, reliable forecasting of EUA’s price behavior is elusive. This elusiveness is largely due to </w:t>
      </w:r>
      <w:proofErr w:type="spellStart"/>
      <w:r w:rsidR="00DE540F" w:rsidRPr="00490FAB">
        <w:rPr>
          <w:sz w:val="22"/>
          <w:szCs w:val="22"/>
        </w:rPr>
        <w:t>nonstationarity</w:t>
      </w:r>
      <w:proofErr w:type="spellEnd"/>
      <w:r w:rsidR="00DE540F" w:rsidRPr="00490FAB">
        <w:rPr>
          <w:sz w:val="22"/>
          <w:szCs w:val="22"/>
        </w:rPr>
        <w:t xml:space="preserve"> and </w:t>
      </w:r>
      <w:proofErr w:type="gramStart"/>
      <w:r w:rsidR="00DE540F" w:rsidRPr="00490FAB">
        <w:rPr>
          <w:sz w:val="22"/>
          <w:szCs w:val="22"/>
        </w:rPr>
        <w:t>nonlinearity, and</w:t>
      </w:r>
      <w:proofErr w:type="gramEnd"/>
      <w:r w:rsidR="00DE540F" w:rsidRPr="00490FAB">
        <w:rPr>
          <w:sz w:val="22"/>
          <w:szCs w:val="22"/>
        </w:rPr>
        <w:t xml:space="preserve"> is related to the policy uncertainty and revisions to expectations in response to global economic environment. It is also likely that that information shocks transmit between markets which in turn would contribute to forecasting difficulty. Studies that have looked at these interlinkages have shown </w:t>
      </w:r>
      <w:r w:rsidR="00B4766E" w:rsidRPr="00490FAB">
        <w:rPr>
          <w:sz w:val="22"/>
          <w:szCs w:val="22"/>
        </w:rPr>
        <w:t xml:space="preserve">stronger positive relationship with energy markets, and less strong but positive relationship with equities. </w:t>
      </w:r>
    </w:p>
    <w:p w14:paraId="6A5082DE" w14:textId="77777777" w:rsidR="00490FAB" w:rsidRPr="00490FAB" w:rsidRDefault="00490FAB" w:rsidP="00490FAB">
      <w:pPr>
        <w:spacing w:after="0" w:line="240" w:lineRule="auto"/>
        <w:rPr>
          <w:sz w:val="22"/>
          <w:szCs w:val="22"/>
        </w:rPr>
      </w:pPr>
    </w:p>
    <w:p w14:paraId="342D757D" w14:textId="47784A79" w:rsidR="00497D17" w:rsidRPr="00490FAB" w:rsidRDefault="00B4766E" w:rsidP="00490FAB">
      <w:pPr>
        <w:spacing w:after="0" w:line="240" w:lineRule="auto"/>
        <w:rPr>
          <w:sz w:val="22"/>
          <w:szCs w:val="22"/>
        </w:rPr>
      </w:pPr>
      <w:r w:rsidRPr="00490FAB">
        <w:rPr>
          <w:sz w:val="22"/>
          <w:szCs w:val="22"/>
        </w:rPr>
        <w:t xml:space="preserve">In the interim, however, there has been </w:t>
      </w:r>
      <w:proofErr w:type="gramStart"/>
      <w:r w:rsidRPr="00490FAB">
        <w:rPr>
          <w:sz w:val="22"/>
          <w:szCs w:val="22"/>
        </w:rPr>
        <w:t>a number of</w:t>
      </w:r>
      <w:proofErr w:type="gramEnd"/>
      <w:r w:rsidRPr="00490FAB">
        <w:rPr>
          <w:sz w:val="22"/>
          <w:szCs w:val="22"/>
        </w:rPr>
        <w:t xml:space="preserve"> exogenous shocks including Brexit, Covid-19, and Russia-Ukraine war, and policy shocks such as Fit for 55, </w:t>
      </w:r>
      <w:proofErr w:type="spellStart"/>
      <w:r w:rsidRPr="00490FAB">
        <w:rPr>
          <w:sz w:val="22"/>
          <w:szCs w:val="22"/>
        </w:rPr>
        <w:t>RePowerEU</w:t>
      </w:r>
      <w:proofErr w:type="spellEnd"/>
      <w:r w:rsidRPr="00490FAB">
        <w:rPr>
          <w:sz w:val="22"/>
          <w:szCs w:val="22"/>
        </w:rPr>
        <w:t xml:space="preserve">, and expansion of Phase IV of EU-ETS to new sectors. Accordingly, we need to understand how the EU-ETS behaves in the face of such successive shocks and whether the diversification benefits would still hold and thus continue to help the EU’s climate goals. </w:t>
      </w:r>
      <w:r w:rsidR="00706157" w:rsidRPr="00490FAB">
        <w:rPr>
          <w:sz w:val="22"/>
          <w:szCs w:val="22"/>
        </w:rPr>
        <w:t xml:space="preserve">In this regard, we uniquely expand the markets in consideration and include European sovereign and corporate bonds and non-energy commodities including metals, in addition to European and global equities and energy markets such as oil, coal, and gas in order to enable a comprehensive examination of cross-market </w:t>
      </w:r>
      <w:proofErr w:type="gramStart"/>
      <w:r w:rsidR="00706157" w:rsidRPr="00490FAB">
        <w:rPr>
          <w:sz w:val="22"/>
          <w:szCs w:val="22"/>
        </w:rPr>
        <w:t>interdependencies</w:t>
      </w:r>
      <w:r w:rsidR="000C2156" w:rsidRPr="00490FAB">
        <w:rPr>
          <w:sz w:val="22"/>
          <w:szCs w:val="22"/>
        </w:rPr>
        <w:t>, and</w:t>
      </w:r>
      <w:proofErr w:type="gramEnd"/>
      <w:r w:rsidR="000C2156" w:rsidRPr="00490FAB">
        <w:rPr>
          <w:sz w:val="22"/>
          <w:szCs w:val="22"/>
        </w:rPr>
        <w:t xml:space="preserve"> expand the coverage to include Phase IV to date</w:t>
      </w:r>
      <w:r w:rsidR="00706157" w:rsidRPr="00490FAB">
        <w:rPr>
          <w:sz w:val="22"/>
          <w:szCs w:val="22"/>
        </w:rPr>
        <w:t xml:space="preserve">.  </w:t>
      </w:r>
      <w:r w:rsidRPr="00490FAB">
        <w:rPr>
          <w:sz w:val="22"/>
          <w:szCs w:val="22"/>
        </w:rPr>
        <w:t>Using the Diebold-Yilmaz connectedness model</w:t>
      </w:r>
      <w:r w:rsidR="00706157" w:rsidRPr="00490FAB">
        <w:rPr>
          <w:sz w:val="22"/>
          <w:szCs w:val="22"/>
        </w:rPr>
        <w:t>,</w:t>
      </w:r>
      <w:r w:rsidRPr="00490FAB">
        <w:rPr>
          <w:sz w:val="22"/>
          <w:szCs w:val="22"/>
        </w:rPr>
        <w:t xml:space="preserve"> and supplementing it with Pairwise Connectedness Index, we show that </w:t>
      </w:r>
      <w:r w:rsidR="00706157" w:rsidRPr="00490FAB">
        <w:rPr>
          <w:sz w:val="22"/>
          <w:szCs w:val="22"/>
        </w:rPr>
        <w:t xml:space="preserve">both in static and dynamic </w:t>
      </w:r>
      <w:r w:rsidR="00706157" w:rsidRPr="00490FAB">
        <w:rPr>
          <w:sz w:val="22"/>
          <w:szCs w:val="22"/>
        </w:rPr>
        <w:lastRenderedPageBreak/>
        <w:t>terms the EUAs largely remain independent of other financial markets except for coal and natural gas, where there appears a weak</w:t>
      </w:r>
      <w:r w:rsidR="00497D17" w:rsidRPr="00490FAB">
        <w:rPr>
          <w:sz w:val="22"/>
          <w:szCs w:val="22"/>
        </w:rPr>
        <w:t xml:space="preserve"> connection between coal and natural gas itself as well, which can be attributed to fuel switching in the sector. We also show that in times of exogeneous shocks, the returns and volatility of EUAs become briefly connected with equity markets, fixed income, metals and non-energy commodities, before relatively quickly </w:t>
      </w:r>
      <w:proofErr w:type="gramStart"/>
      <w:r w:rsidR="00497D17" w:rsidRPr="00490FAB">
        <w:rPr>
          <w:sz w:val="22"/>
          <w:szCs w:val="22"/>
        </w:rPr>
        <w:t>returning back</w:t>
      </w:r>
      <w:proofErr w:type="gramEnd"/>
      <w:r w:rsidR="00497D17" w:rsidRPr="00490FAB">
        <w:rPr>
          <w:sz w:val="22"/>
          <w:szCs w:val="22"/>
        </w:rPr>
        <w:t xml:space="preserve"> to being independent again. </w:t>
      </w:r>
    </w:p>
    <w:p w14:paraId="3FB9ED48" w14:textId="392CA5C0" w:rsidR="000C2156" w:rsidRDefault="00497D17" w:rsidP="00490FAB">
      <w:pPr>
        <w:spacing w:after="0" w:line="240" w:lineRule="auto"/>
        <w:rPr>
          <w:sz w:val="22"/>
          <w:szCs w:val="22"/>
        </w:rPr>
      </w:pPr>
      <w:r w:rsidRPr="00490FAB">
        <w:rPr>
          <w:sz w:val="22"/>
          <w:szCs w:val="22"/>
        </w:rPr>
        <w:t xml:space="preserve">We see a similar pattern regarding connectedness with gas and coal when exogeneous shocks occur, though after a brief spike the relationship reverts to their long-term connectedness levels. Especially when we look at the behaviors from 2021 onwards </w:t>
      </w:r>
      <w:r w:rsidR="000C2156" w:rsidRPr="00490FAB">
        <w:rPr>
          <w:sz w:val="22"/>
          <w:szCs w:val="22"/>
        </w:rPr>
        <w:t xml:space="preserve">– </w:t>
      </w:r>
      <w:r w:rsidRPr="00490FAB">
        <w:rPr>
          <w:sz w:val="22"/>
          <w:szCs w:val="22"/>
        </w:rPr>
        <w:t>when</w:t>
      </w:r>
      <w:r w:rsidR="000C2156" w:rsidRPr="00490FAB">
        <w:rPr>
          <w:sz w:val="22"/>
          <w:szCs w:val="22"/>
        </w:rPr>
        <w:t xml:space="preserve"> </w:t>
      </w:r>
      <w:r w:rsidRPr="00490FAB">
        <w:rPr>
          <w:sz w:val="22"/>
          <w:szCs w:val="22"/>
        </w:rPr>
        <w:t>successive policy shocks occur</w:t>
      </w:r>
      <w:r w:rsidR="000C2156" w:rsidRPr="00490FAB">
        <w:rPr>
          <w:sz w:val="22"/>
          <w:szCs w:val="22"/>
        </w:rPr>
        <w:t xml:space="preserve"> -</w:t>
      </w:r>
      <w:r w:rsidRPr="00490FAB">
        <w:rPr>
          <w:sz w:val="22"/>
          <w:szCs w:val="22"/>
        </w:rPr>
        <w:t xml:space="preserve"> we observe th</w:t>
      </w:r>
      <w:r w:rsidR="000C2156" w:rsidRPr="00490FAB">
        <w:rPr>
          <w:sz w:val="22"/>
          <w:szCs w:val="22"/>
        </w:rPr>
        <w:t>at the</w:t>
      </w:r>
      <w:r w:rsidRPr="00490FAB">
        <w:rPr>
          <w:sz w:val="22"/>
          <w:szCs w:val="22"/>
        </w:rPr>
        <w:t xml:space="preserve"> impacts of these</w:t>
      </w:r>
      <w:r w:rsidR="000C2156" w:rsidRPr="00490FAB">
        <w:rPr>
          <w:sz w:val="22"/>
          <w:szCs w:val="22"/>
        </w:rPr>
        <w:t xml:space="preserve"> shocks</w:t>
      </w:r>
      <w:r w:rsidRPr="00490FAB">
        <w:rPr>
          <w:sz w:val="22"/>
          <w:szCs w:val="22"/>
        </w:rPr>
        <w:t xml:space="preserve"> </w:t>
      </w:r>
      <w:r w:rsidR="000C2156" w:rsidRPr="00490FAB">
        <w:rPr>
          <w:sz w:val="22"/>
          <w:szCs w:val="22"/>
        </w:rPr>
        <w:t xml:space="preserve">are </w:t>
      </w:r>
      <w:r w:rsidRPr="00490FAB">
        <w:rPr>
          <w:sz w:val="22"/>
          <w:szCs w:val="22"/>
        </w:rPr>
        <w:t xml:space="preserve">lower in magnitude but longer in duration. </w:t>
      </w:r>
      <w:r w:rsidR="000C2156" w:rsidRPr="00490FAB">
        <w:rPr>
          <w:sz w:val="22"/>
          <w:szCs w:val="22"/>
        </w:rPr>
        <w:t>This pattern</w:t>
      </w:r>
      <w:r w:rsidRPr="00490FAB">
        <w:rPr>
          <w:sz w:val="22"/>
          <w:szCs w:val="22"/>
        </w:rPr>
        <w:t xml:space="preserve"> likely due to policy factors that accelerate the deployment of renewable energy and phasing out of coal</w:t>
      </w:r>
      <w:r w:rsidR="000C2156" w:rsidRPr="00490FAB">
        <w:rPr>
          <w:sz w:val="22"/>
          <w:szCs w:val="22"/>
        </w:rPr>
        <w:t>. Our findings are significant because we demonstrate that while having some connection with coal and gas markets, the EUAs remain largely independent of not just equities but also fixed income, metals and other non-energy commodities, and oil, except briefly in times of exogeneous stress. This means, financial institutions with non-energy portfolios can improve their risk adjusted returns by participating in the EU-ETS. Such increased participation would in turn accelerate the pace of decarbonization and help the EU in achieving its climate goals. Thus, if implemented by financial institutions, the findings of this research can translate into a large, direct impact.</w:t>
      </w:r>
    </w:p>
    <w:p w14:paraId="3DE5BE28" w14:textId="77777777" w:rsidR="00490FAB" w:rsidRPr="00490FAB" w:rsidRDefault="00490FAB" w:rsidP="00490FAB">
      <w:pPr>
        <w:spacing w:after="0" w:line="240" w:lineRule="auto"/>
        <w:rPr>
          <w:sz w:val="22"/>
          <w:szCs w:val="22"/>
        </w:rPr>
      </w:pPr>
    </w:p>
    <w:p w14:paraId="6C55450E" w14:textId="583E1027" w:rsidR="000C2156" w:rsidRDefault="000C2156" w:rsidP="00490FAB">
      <w:pPr>
        <w:spacing w:after="0" w:line="240" w:lineRule="auto"/>
        <w:rPr>
          <w:sz w:val="22"/>
          <w:szCs w:val="22"/>
        </w:rPr>
      </w:pPr>
      <w:r w:rsidRPr="00490FAB">
        <w:rPr>
          <w:sz w:val="22"/>
          <w:szCs w:val="22"/>
        </w:rPr>
        <w:t xml:space="preserve">Since our study deals with EU-ETS </w:t>
      </w:r>
      <w:r w:rsidR="00770C81">
        <w:rPr>
          <w:sz w:val="22"/>
          <w:szCs w:val="22"/>
        </w:rPr>
        <w:t xml:space="preserve">in pursuit of achieving EU climate targets </w:t>
      </w:r>
      <w:r w:rsidRPr="00490FAB">
        <w:rPr>
          <w:sz w:val="22"/>
          <w:szCs w:val="22"/>
        </w:rPr>
        <w:t xml:space="preserve">and market connectedness, we believe it </w:t>
      </w:r>
      <w:r w:rsidR="00E42839">
        <w:rPr>
          <w:sz w:val="22"/>
          <w:szCs w:val="22"/>
        </w:rPr>
        <w:t>is</w:t>
      </w:r>
      <w:r w:rsidRPr="00490FAB">
        <w:rPr>
          <w:sz w:val="22"/>
          <w:szCs w:val="22"/>
        </w:rPr>
        <w:t xml:space="preserve"> </w:t>
      </w:r>
      <w:r w:rsidR="00E42839">
        <w:rPr>
          <w:sz w:val="22"/>
          <w:szCs w:val="22"/>
        </w:rPr>
        <w:t xml:space="preserve">in alignment with the aims of Nature Climate </w:t>
      </w:r>
      <w:proofErr w:type="gramStart"/>
      <w:r w:rsidR="00E42839">
        <w:rPr>
          <w:sz w:val="22"/>
          <w:szCs w:val="22"/>
        </w:rPr>
        <w:t>Change, and</w:t>
      </w:r>
      <w:proofErr w:type="gramEnd"/>
      <w:r w:rsidR="00E42839">
        <w:rPr>
          <w:sz w:val="22"/>
          <w:szCs w:val="22"/>
        </w:rPr>
        <w:t xml:space="preserve"> thus may be </w:t>
      </w:r>
      <w:r w:rsidRPr="00490FAB">
        <w:rPr>
          <w:sz w:val="22"/>
          <w:szCs w:val="22"/>
        </w:rPr>
        <w:t xml:space="preserve">a good fit for publication in </w:t>
      </w:r>
      <w:r w:rsidR="00E42839">
        <w:rPr>
          <w:sz w:val="22"/>
          <w:szCs w:val="22"/>
        </w:rPr>
        <w:t>your journal</w:t>
      </w:r>
      <w:r w:rsidRPr="00490FAB">
        <w:rPr>
          <w:sz w:val="22"/>
          <w:szCs w:val="22"/>
        </w:rPr>
        <w:t xml:space="preserve">. We feel that the findings of our study will be highly relevant to your audience since not only it can open the door for further research </w:t>
      </w:r>
      <w:r w:rsidR="00490FAB" w:rsidRPr="00490FAB">
        <w:rPr>
          <w:sz w:val="22"/>
          <w:szCs w:val="22"/>
        </w:rPr>
        <w:t>into</w:t>
      </w:r>
      <w:r w:rsidRPr="00490FAB">
        <w:rPr>
          <w:sz w:val="22"/>
          <w:szCs w:val="22"/>
        </w:rPr>
        <w:t xml:space="preserve"> </w:t>
      </w:r>
      <w:r w:rsidR="00490FAB" w:rsidRPr="00490FAB">
        <w:rPr>
          <w:sz w:val="22"/>
          <w:szCs w:val="22"/>
        </w:rPr>
        <w:t>portfolio integration of EUAs</w:t>
      </w:r>
      <w:r w:rsidR="00E42839">
        <w:rPr>
          <w:sz w:val="22"/>
          <w:szCs w:val="22"/>
        </w:rPr>
        <w:t xml:space="preserve"> in accelerating decarbonization</w:t>
      </w:r>
      <w:r w:rsidR="00490FAB" w:rsidRPr="00490FAB">
        <w:rPr>
          <w:sz w:val="22"/>
          <w:szCs w:val="22"/>
        </w:rPr>
        <w:t xml:space="preserve"> but also engender </w:t>
      </w:r>
      <w:r w:rsidR="00E42839">
        <w:rPr>
          <w:sz w:val="22"/>
          <w:szCs w:val="22"/>
        </w:rPr>
        <w:t xml:space="preserve">real </w:t>
      </w:r>
      <w:r w:rsidR="00490FAB" w:rsidRPr="00490FAB">
        <w:rPr>
          <w:sz w:val="22"/>
          <w:szCs w:val="22"/>
        </w:rPr>
        <w:t xml:space="preserve">impact </w:t>
      </w:r>
      <w:r w:rsidR="00E42839">
        <w:rPr>
          <w:sz w:val="22"/>
          <w:szCs w:val="22"/>
        </w:rPr>
        <w:t>towards that goal</w:t>
      </w:r>
      <w:r w:rsidR="00490FAB" w:rsidRPr="00490FAB">
        <w:rPr>
          <w:sz w:val="22"/>
          <w:szCs w:val="22"/>
        </w:rPr>
        <w:t xml:space="preserve"> via carbon markets.</w:t>
      </w:r>
    </w:p>
    <w:p w14:paraId="784D9E92" w14:textId="77777777" w:rsidR="00770C81" w:rsidRPr="00490FAB" w:rsidRDefault="00770C81" w:rsidP="00490FAB">
      <w:pPr>
        <w:spacing w:after="0" w:line="240" w:lineRule="auto"/>
        <w:rPr>
          <w:sz w:val="22"/>
          <w:szCs w:val="22"/>
        </w:rPr>
      </w:pPr>
    </w:p>
    <w:p w14:paraId="7FA6FFA3" w14:textId="246434FB" w:rsidR="009E4A36" w:rsidRDefault="009E4A36" w:rsidP="00490FAB">
      <w:pPr>
        <w:spacing w:after="0" w:line="240" w:lineRule="auto"/>
        <w:rPr>
          <w:sz w:val="22"/>
          <w:szCs w:val="22"/>
        </w:rPr>
      </w:pPr>
      <w:r>
        <w:rPr>
          <w:sz w:val="22"/>
          <w:szCs w:val="22"/>
        </w:rPr>
        <w:t>We confirm:</w:t>
      </w:r>
    </w:p>
    <w:p w14:paraId="4150885C" w14:textId="1C16EEB1" w:rsidR="009E4A36" w:rsidRDefault="00776B2A" w:rsidP="009E4A36">
      <w:pPr>
        <w:pStyle w:val="ListParagraph"/>
        <w:numPr>
          <w:ilvl w:val="0"/>
          <w:numId w:val="1"/>
        </w:numPr>
        <w:spacing w:after="0" w:line="240" w:lineRule="auto"/>
        <w:rPr>
          <w:sz w:val="22"/>
          <w:szCs w:val="22"/>
        </w:rPr>
      </w:pPr>
      <w:r>
        <w:rPr>
          <w:sz w:val="22"/>
          <w:szCs w:val="22"/>
        </w:rPr>
        <w:t xml:space="preserve">that </w:t>
      </w:r>
      <w:r w:rsidR="009E4A36">
        <w:rPr>
          <w:sz w:val="22"/>
          <w:szCs w:val="22"/>
        </w:rPr>
        <w:t>t</w:t>
      </w:r>
      <w:r w:rsidR="00490FAB" w:rsidRPr="009E4A36">
        <w:rPr>
          <w:sz w:val="22"/>
          <w:szCs w:val="22"/>
        </w:rPr>
        <w:t>he article “</w:t>
      </w:r>
      <w:r w:rsidR="00770C81" w:rsidRPr="009E4A36">
        <w:rPr>
          <w:sz w:val="22"/>
          <w:szCs w:val="22"/>
        </w:rPr>
        <w:t>European Carbon Market Connectedness and Risk Contagion: A Study of Return and Volatility Dynamics Between Post-Phase II European Union Allowances (EUAs) and Financial Markets and their Potential for Portfolio Diversification</w:t>
      </w:r>
      <w:r w:rsidR="00490FAB" w:rsidRPr="009E4A36">
        <w:rPr>
          <w:sz w:val="22"/>
          <w:szCs w:val="22"/>
        </w:rPr>
        <w:t xml:space="preserve">” has not been published elsewhere, and it reflects original research conducted by its </w:t>
      </w:r>
      <w:proofErr w:type="gramStart"/>
      <w:r w:rsidR="00490FAB" w:rsidRPr="009E4A36">
        <w:rPr>
          <w:sz w:val="22"/>
          <w:szCs w:val="22"/>
        </w:rPr>
        <w:t>authors</w:t>
      </w:r>
      <w:r w:rsidR="009E4A36">
        <w:rPr>
          <w:sz w:val="22"/>
          <w:szCs w:val="22"/>
        </w:rPr>
        <w:t>;</w:t>
      </w:r>
      <w:proofErr w:type="gramEnd"/>
      <w:r w:rsidR="00490FAB" w:rsidRPr="009E4A36">
        <w:rPr>
          <w:sz w:val="22"/>
          <w:szCs w:val="22"/>
        </w:rPr>
        <w:t xml:space="preserve"> </w:t>
      </w:r>
    </w:p>
    <w:p w14:paraId="47B44AD0" w14:textId="1BF5EF2B" w:rsidR="009E4A36" w:rsidRDefault="00776B2A" w:rsidP="009E4A36">
      <w:pPr>
        <w:pStyle w:val="ListParagraph"/>
        <w:numPr>
          <w:ilvl w:val="0"/>
          <w:numId w:val="1"/>
        </w:numPr>
        <w:spacing w:after="0" w:line="240" w:lineRule="auto"/>
        <w:rPr>
          <w:sz w:val="22"/>
          <w:szCs w:val="22"/>
        </w:rPr>
      </w:pPr>
      <w:r>
        <w:rPr>
          <w:sz w:val="22"/>
          <w:szCs w:val="22"/>
        </w:rPr>
        <w:t xml:space="preserve">that </w:t>
      </w:r>
      <w:r w:rsidR="009E4A36">
        <w:rPr>
          <w:sz w:val="22"/>
          <w:szCs w:val="22"/>
        </w:rPr>
        <w:t>t</w:t>
      </w:r>
      <w:r w:rsidR="009E4A36" w:rsidRPr="009E4A36">
        <w:rPr>
          <w:sz w:val="22"/>
          <w:szCs w:val="22"/>
        </w:rPr>
        <w:t>here are no related manuscripts either of us have under consideration or in press elsewhere</w:t>
      </w:r>
      <w:r w:rsidR="009E4A36">
        <w:rPr>
          <w:sz w:val="22"/>
          <w:szCs w:val="22"/>
        </w:rPr>
        <w:t>;</w:t>
      </w:r>
      <w:r>
        <w:rPr>
          <w:sz w:val="22"/>
          <w:szCs w:val="22"/>
        </w:rPr>
        <w:t xml:space="preserve"> and</w:t>
      </w:r>
      <w:r w:rsidR="009E4A36" w:rsidRPr="009E4A36">
        <w:rPr>
          <w:sz w:val="22"/>
          <w:szCs w:val="22"/>
        </w:rPr>
        <w:t xml:space="preserve"> </w:t>
      </w:r>
    </w:p>
    <w:p w14:paraId="679C72E1" w14:textId="5C64D63C" w:rsidR="00490FAB" w:rsidRPr="009E4A36" w:rsidRDefault="00776B2A" w:rsidP="009E4A36">
      <w:pPr>
        <w:pStyle w:val="ListParagraph"/>
        <w:numPr>
          <w:ilvl w:val="0"/>
          <w:numId w:val="1"/>
        </w:numPr>
        <w:spacing w:after="0" w:line="240" w:lineRule="auto"/>
        <w:rPr>
          <w:sz w:val="22"/>
          <w:szCs w:val="22"/>
        </w:rPr>
      </w:pPr>
      <w:r>
        <w:rPr>
          <w:sz w:val="22"/>
          <w:szCs w:val="22"/>
        </w:rPr>
        <w:t xml:space="preserve">that </w:t>
      </w:r>
      <w:r w:rsidR="009E4A36">
        <w:rPr>
          <w:sz w:val="22"/>
          <w:szCs w:val="22"/>
        </w:rPr>
        <w:t>n</w:t>
      </w:r>
      <w:r w:rsidR="00490FAB" w:rsidRPr="009E4A36">
        <w:rPr>
          <w:sz w:val="22"/>
          <w:szCs w:val="22"/>
        </w:rPr>
        <w:t xml:space="preserve">one of </w:t>
      </w:r>
      <w:r w:rsidR="009E4A36" w:rsidRPr="009E4A36">
        <w:rPr>
          <w:sz w:val="22"/>
          <w:szCs w:val="22"/>
        </w:rPr>
        <w:t>us</w:t>
      </w:r>
      <w:r w:rsidR="00770C81" w:rsidRPr="009E4A36">
        <w:rPr>
          <w:sz w:val="22"/>
          <w:szCs w:val="22"/>
        </w:rPr>
        <w:t xml:space="preserve"> had any prior discussions with a Nature Climate Change editor about the work described in the manuscript nor</w:t>
      </w:r>
      <w:r w:rsidR="00490FAB" w:rsidRPr="009E4A36">
        <w:rPr>
          <w:sz w:val="22"/>
          <w:szCs w:val="22"/>
        </w:rPr>
        <w:t xml:space="preserve"> have any conflict of interest to disclose concerning this study.</w:t>
      </w:r>
    </w:p>
    <w:p w14:paraId="33AEEB13" w14:textId="77777777" w:rsidR="00490FAB" w:rsidRPr="00490FAB" w:rsidRDefault="00490FAB" w:rsidP="00490FAB">
      <w:pPr>
        <w:spacing w:after="0" w:line="240" w:lineRule="auto"/>
        <w:rPr>
          <w:sz w:val="22"/>
          <w:szCs w:val="22"/>
        </w:rPr>
      </w:pPr>
    </w:p>
    <w:p w14:paraId="2BF4368D" w14:textId="0785ABAD" w:rsidR="00490FAB" w:rsidRDefault="00490FAB" w:rsidP="00490FAB">
      <w:pPr>
        <w:spacing w:after="0" w:line="240" w:lineRule="auto"/>
        <w:rPr>
          <w:sz w:val="22"/>
          <w:szCs w:val="22"/>
        </w:rPr>
      </w:pPr>
      <w:r w:rsidRPr="00490FAB">
        <w:rPr>
          <w:sz w:val="22"/>
          <w:szCs w:val="22"/>
        </w:rPr>
        <w:t>Thank you for your valuable time</w:t>
      </w:r>
      <w:r w:rsidR="00776B2A">
        <w:rPr>
          <w:sz w:val="22"/>
          <w:szCs w:val="22"/>
        </w:rPr>
        <w:t xml:space="preserve"> for considering our manuscript</w:t>
      </w:r>
      <w:r w:rsidRPr="00490FAB">
        <w:rPr>
          <w:sz w:val="22"/>
          <w:szCs w:val="22"/>
        </w:rPr>
        <w:t>.</w:t>
      </w:r>
    </w:p>
    <w:p w14:paraId="51215791" w14:textId="77777777" w:rsidR="00490FAB" w:rsidRPr="00490FAB" w:rsidRDefault="00490FAB" w:rsidP="00490FAB">
      <w:pPr>
        <w:spacing w:after="0" w:line="240" w:lineRule="auto"/>
        <w:rPr>
          <w:sz w:val="22"/>
          <w:szCs w:val="22"/>
        </w:rPr>
      </w:pPr>
    </w:p>
    <w:p w14:paraId="5F826DD9" w14:textId="77777777" w:rsidR="009A5C21" w:rsidRDefault="009A5C21" w:rsidP="009A5C21">
      <w:pPr>
        <w:spacing w:after="0" w:line="240" w:lineRule="auto"/>
        <w:jc w:val="right"/>
        <w:rPr>
          <w:sz w:val="22"/>
          <w:szCs w:val="22"/>
        </w:rPr>
      </w:pPr>
    </w:p>
    <w:p w14:paraId="4286E3CE" w14:textId="77777777" w:rsidR="00984C51" w:rsidRDefault="00984C51" w:rsidP="009A5C21">
      <w:pPr>
        <w:spacing w:after="0" w:line="240" w:lineRule="auto"/>
        <w:jc w:val="right"/>
        <w:rPr>
          <w:sz w:val="22"/>
          <w:szCs w:val="22"/>
        </w:rPr>
      </w:pPr>
    </w:p>
    <w:p w14:paraId="04656160" w14:textId="0A06D0DA" w:rsidR="00490FAB" w:rsidRDefault="00490FAB" w:rsidP="009A5C21">
      <w:pPr>
        <w:spacing w:after="0" w:line="240" w:lineRule="auto"/>
        <w:jc w:val="right"/>
        <w:rPr>
          <w:sz w:val="22"/>
          <w:szCs w:val="22"/>
        </w:rPr>
      </w:pPr>
      <w:r w:rsidRPr="00490FAB">
        <w:rPr>
          <w:sz w:val="22"/>
          <w:szCs w:val="22"/>
        </w:rPr>
        <w:t>Sincerely,</w:t>
      </w:r>
    </w:p>
    <w:p w14:paraId="7B9B9734" w14:textId="77777777" w:rsidR="00490FAB" w:rsidRPr="00490FAB" w:rsidRDefault="00490FAB" w:rsidP="009A5C21">
      <w:pPr>
        <w:spacing w:after="0" w:line="240" w:lineRule="auto"/>
        <w:jc w:val="right"/>
        <w:rPr>
          <w:sz w:val="22"/>
          <w:szCs w:val="22"/>
        </w:rPr>
      </w:pPr>
    </w:p>
    <w:p w14:paraId="15DB44C0" w14:textId="77777777" w:rsidR="009A5C21" w:rsidRDefault="009A5C21" w:rsidP="009A5C21">
      <w:pPr>
        <w:spacing w:after="0" w:line="240" w:lineRule="auto"/>
        <w:jc w:val="right"/>
        <w:rPr>
          <w:sz w:val="22"/>
          <w:szCs w:val="22"/>
        </w:rPr>
      </w:pPr>
    </w:p>
    <w:p w14:paraId="661FD987" w14:textId="4C9F49B3" w:rsidR="00490FAB" w:rsidRPr="00490FAB" w:rsidRDefault="00490FAB" w:rsidP="009A5C21">
      <w:pPr>
        <w:spacing w:after="0" w:line="240" w:lineRule="auto"/>
        <w:jc w:val="right"/>
        <w:rPr>
          <w:sz w:val="22"/>
          <w:szCs w:val="22"/>
        </w:rPr>
      </w:pPr>
      <w:r w:rsidRPr="00490FAB">
        <w:rPr>
          <w:sz w:val="22"/>
          <w:szCs w:val="22"/>
        </w:rPr>
        <w:t>Emre Usenmez</w:t>
      </w:r>
      <w:r w:rsidR="00770C81">
        <w:rPr>
          <w:rStyle w:val="FootnoteReference"/>
          <w:sz w:val="22"/>
          <w:szCs w:val="22"/>
        </w:rPr>
        <w:footnoteReference w:id="1"/>
      </w:r>
      <w:r w:rsidR="00776B2A">
        <w:rPr>
          <w:sz w:val="22"/>
          <w:szCs w:val="22"/>
        </w:rPr>
        <w:t xml:space="preserve"> </w:t>
      </w:r>
      <w:r w:rsidRPr="00490FAB">
        <w:rPr>
          <w:sz w:val="22"/>
          <w:szCs w:val="22"/>
        </w:rPr>
        <w:t>and Carlos Arcila Barrera</w:t>
      </w:r>
    </w:p>
    <w:p w14:paraId="06156B1F" w14:textId="5253A16B" w:rsidR="00CF4FDF" w:rsidRPr="007F1940" w:rsidRDefault="00CF4FDF" w:rsidP="007F1940">
      <w:pPr>
        <w:spacing w:after="0" w:line="240" w:lineRule="auto"/>
        <w:rPr>
          <w:sz w:val="22"/>
          <w:szCs w:val="22"/>
        </w:rPr>
      </w:pPr>
    </w:p>
    <w:sectPr w:rsidR="00CF4FDF" w:rsidRPr="007F19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AB7453" w14:textId="77777777" w:rsidR="002508AE" w:rsidRDefault="002508AE" w:rsidP="00770C81">
      <w:pPr>
        <w:spacing w:after="0" w:line="240" w:lineRule="auto"/>
      </w:pPr>
      <w:r>
        <w:separator/>
      </w:r>
    </w:p>
  </w:endnote>
  <w:endnote w:type="continuationSeparator" w:id="0">
    <w:p w14:paraId="52ECC7BB" w14:textId="77777777" w:rsidR="002508AE" w:rsidRDefault="002508AE" w:rsidP="00770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1C1742" w14:textId="77777777" w:rsidR="002508AE" w:rsidRDefault="002508AE" w:rsidP="00770C81">
      <w:pPr>
        <w:spacing w:after="0" w:line="240" w:lineRule="auto"/>
      </w:pPr>
      <w:r>
        <w:separator/>
      </w:r>
    </w:p>
  </w:footnote>
  <w:footnote w:type="continuationSeparator" w:id="0">
    <w:p w14:paraId="44E4E2D7" w14:textId="77777777" w:rsidR="002508AE" w:rsidRDefault="002508AE" w:rsidP="00770C81">
      <w:pPr>
        <w:spacing w:after="0" w:line="240" w:lineRule="auto"/>
      </w:pPr>
      <w:r>
        <w:continuationSeparator/>
      </w:r>
    </w:p>
  </w:footnote>
  <w:footnote w:id="1">
    <w:p w14:paraId="260A1F40" w14:textId="464C2227" w:rsidR="00770C81" w:rsidRDefault="00770C81" w:rsidP="009E4A36">
      <w:pPr>
        <w:pStyle w:val="FootnoteText"/>
      </w:pPr>
      <w:r>
        <w:rPr>
          <w:rStyle w:val="FootnoteReference"/>
        </w:rPr>
        <w:footnoteRef/>
      </w:r>
      <w:r>
        <w:t xml:space="preserve"> Corresponding author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E56ED9"/>
    <w:multiLevelType w:val="hybridMultilevel"/>
    <w:tmpl w:val="07326820"/>
    <w:lvl w:ilvl="0" w:tplc="D8167056">
      <w:start w:val="1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416829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FDF"/>
    <w:rsid w:val="000C2156"/>
    <w:rsid w:val="001F0B04"/>
    <w:rsid w:val="002508AE"/>
    <w:rsid w:val="002B6FAB"/>
    <w:rsid w:val="00490FAB"/>
    <w:rsid w:val="00496A1B"/>
    <w:rsid w:val="00497D17"/>
    <w:rsid w:val="00663E32"/>
    <w:rsid w:val="00706157"/>
    <w:rsid w:val="00770C81"/>
    <w:rsid w:val="00776B2A"/>
    <w:rsid w:val="007E3EED"/>
    <w:rsid w:val="007F1940"/>
    <w:rsid w:val="00943F2D"/>
    <w:rsid w:val="00984C51"/>
    <w:rsid w:val="009A5C21"/>
    <w:rsid w:val="009E4A36"/>
    <w:rsid w:val="009E5A55"/>
    <w:rsid w:val="00B4766E"/>
    <w:rsid w:val="00C01C3A"/>
    <w:rsid w:val="00C71F75"/>
    <w:rsid w:val="00CF4FDF"/>
    <w:rsid w:val="00DD2F38"/>
    <w:rsid w:val="00DE540F"/>
    <w:rsid w:val="00E07F5B"/>
    <w:rsid w:val="00E42839"/>
    <w:rsid w:val="00E54C09"/>
    <w:rsid w:val="00E55409"/>
    <w:rsid w:val="00EF2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C3EAE4"/>
  <w15:chartTrackingRefBased/>
  <w15:docId w15:val="{BB0535A4-0190-AB45-AE7E-0D8A8E766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F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4F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4F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4F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4F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4F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4F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4F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4F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F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4F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4F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4F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4F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4F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4F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4F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4FDF"/>
    <w:rPr>
      <w:rFonts w:eastAsiaTheme="majorEastAsia" w:cstheme="majorBidi"/>
      <w:color w:val="272727" w:themeColor="text1" w:themeTint="D8"/>
    </w:rPr>
  </w:style>
  <w:style w:type="paragraph" w:styleId="Title">
    <w:name w:val="Title"/>
    <w:basedOn w:val="Normal"/>
    <w:next w:val="Normal"/>
    <w:link w:val="TitleChar"/>
    <w:uiPriority w:val="10"/>
    <w:qFormat/>
    <w:rsid w:val="00CF4F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F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4F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4F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4FDF"/>
    <w:pPr>
      <w:spacing w:before="160"/>
      <w:jc w:val="center"/>
    </w:pPr>
    <w:rPr>
      <w:i/>
      <w:iCs/>
      <w:color w:val="404040" w:themeColor="text1" w:themeTint="BF"/>
    </w:rPr>
  </w:style>
  <w:style w:type="character" w:customStyle="1" w:styleId="QuoteChar">
    <w:name w:val="Quote Char"/>
    <w:basedOn w:val="DefaultParagraphFont"/>
    <w:link w:val="Quote"/>
    <w:uiPriority w:val="29"/>
    <w:rsid w:val="00CF4FDF"/>
    <w:rPr>
      <w:i/>
      <w:iCs/>
      <w:color w:val="404040" w:themeColor="text1" w:themeTint="BF"/>
    </w:rPr>
  </w:style>
  <w:style w:type="paragraph" w:styleId="ListParagraph">
    <w:name w:val="List Paragraph"/>
    <w:basedOn w:val="Normal"/>
    <w:uiPriority w:val="34"/>
    <w:qFormat/>
    <w:rsid w:val="00CF4FDF"/>
    <w:pPr>
      <w:ind w:left="720"/>
      <w:contextualSpacing/>
    </w:pPr>
  </w:style>
  <w:style w:type="character" w:styleId="IntenseEmphasis">
    <w:name w:val="Intense Emphasis"/>
    <w:basedOn w:val="DefaultParagraphFont"/>
    <w:uiPriority w:val="21"/>
    <w:qFormat/>
    <w:rsid w:val="00CF4FDF"/>
    <w:rPr>
      <w:i/>
      <w:iCs/>
      <w:color w:val="0F4761" w:themeColor="accent1" w:themeShade="BF"/>
    </w:rPr>
  </w:style>
  <w:style w:type="paragraph" w:styleId="IntenseQuote">
    <w:name w:val="Intense Quote"/>
    <w:basedOn w:val="Normal"/>
    <w:next w:val="Normal"/>
    <w:link w:val="IntenseQuoteChar"/>
    <w:uiPriority w:val="30"/>
    <w:qFormat/>
    <w:rsid w:val="00CF4F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4FDF"/>
    <w:rPr>
      <w:i/>
      <w:iCs/>
      <w:color w:val="0F4761" w:themeColor="accent1" w:themeShade="BF"/>
    </w:rPr>
  </w:style>
  <w:style w:type="character" w:styleId="IntenseReference">
    <w:name w:val="Intense Reference"/>
    <w:basedOn w:val="DefaultParagraphFont"/>
    <w:uiPriority w:val="32"/>
    <w:qFormat/>
    <w:rsid w:val="00CF4FDF"/>
    <w:rPr>
      <w:b/>
      <w:bCs/>
      <w:smallCaps/>
      <w:color w:val="0F4761" w:themeColor="accent1" w:themeShade="BF"/>
      <w:spacing w:val="5"/>
    </w:rPr>
  </w:style>
  <w:style w:type="paragraph" w:styleId="Header">
    <w:name w:val="header"/>
    <w:basedOn w:val="Normal"/>
    <w:link w:val="HeaderChar"/>
    <w:uiPriority w:val="99"/>
    <w:unhideWhenUsed/>
    <w:rsid w:val="00CF4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FDF"/>
  </w:style>
  <w:style w:type="paragraph" w:customStyle="1" w:styleId="p1">
    <w:name w:val="p1"/>
    <w:basedOn w:val="Normal"/>
    <w:rsid w:val="00496A1B"/>
    <w:pPr>
      <w:spacing w:after="0" w:line="240" w:lineRule="auto"/>
    </w:pPr>
    <w:rPr>
      <w:rFonts w:ascii="Helvetica" w:eastAsia="Times New Roman" w:hAnsi="Helvetica" w:cs="Times New Roman"/>
      <w:color w:val="000000"/>
      <w:kern w:val="0"/>
      <w:sz w:val="12"/>
      <w:szCs w:val="12"/>
      <w14:ligatures w14:val="none"/>
    </w:rPr>
  </w:style>
  <w:style w:type="character" w:styleId="Hyperlink">
    <w:name w:val="Hyperlink"/>
    <w:basedOn w:val="DefaultParagraphFont"/>
    <w:uiPriority w:val="99"/>
    <w:unhideWhenUsed/>
    <w:rsid w:val="00490FAB"/>
    <w:rPr>
      <w:color w:val="467886" w:themeColor="hyperlink"/>
      <w:u w:val="single"/>
    </w:rPr>
  </w:style>
  <w:style w:type="character" w:styleId="UnresolvedMention">
    <w:name w:val="Unresolved Mention"/>
    <w:basedOn w:val="DefaultParagraphFont"/>
    <w:uiPriority w:val="99"/>
    <w:semiHidden/>
    <w:unhideWhenUsed/>
    <w:rsid w:val="00490FAB"/>
    <w:rPr>
      <w:color w:val="605E5C"/>
      <w:shd w:val="clear" w:color="auto" w:fill="E1DFDD"/>
    </w:rPr>
  </w:style>
  <w:style w:type="paragraph" w:styleId="FootnoteText">
    <w:name w:val="footnote text"/>
    <w:basedOn w:val="Normal"/>
    <w:link w:val="FootnoteTextChar"/>
    <w:uiPriority w:val="99"/>
    <w:unhideWhenUsed/>
    <w:rsid w:val="009E4A36"/>
    <w:pPr>
      <w:spacing w:after="0" w:line="240" w:lineRule="auto"/>
    </w:pPr>
    <w:rPr>
      <w:sz w:val="18"/>
      <w:szCs w:val="20"/>
    </w:rPr>
  </w:style>
  <w:style w:type="character" w:customStyle="1" w:styleId="FootnoteTextChar">
    <w:name w:val="Footnote Text Char"/>
    <w:basedOn w:val="DefaultParagraphFont"/>
    <w:link w:val="FootnoteText"/>
    <w:uiPriority w:val="99"/>
    <w:rsid w:val="009E4A36"/>
    <w:rPr>
      <w:sz w:val="18"/>
      <w:szCs w:val="20"/>
    </w:rPr>
  </w:style>
  <w:style w:type="character" w:styleId="FootnoteReference">
    <w:name w:val="footnote reference"/>
    <w:basedOn w:val="DefaultParagraphFont"/>
    <w:uiPriority w:val="99"/>
    <w:semiHidden/>
    <w:unhideWhenUsed/>
    <w:rsid w:val="00770C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988024">
      <w:bodyDiv w:val="1"/>
      <w:marLeft w:val="0"/>
      <w:marRight w:val="0"/>
      <w:marTop w:val="0"/>
      <w:marBottom w:val="0"/>
      <w:divBdr>
        <w:top w:val="none" w:sz="0" w:space="0" w:color="auto"/>
        <w:left w:val="none" w:sz="0" w:space="0" w:color="auto"/>
        <w:bottom w:val="none" w:sz="0" w:space="0" w:color="auto"/>
        <w:right w:val="none" w:sz="0" w:space="0" w:color="auto"/>
      </w:divBdr>
    </w:div>
    <w:div w:id="717431938">
      <w:bodyDiv w:val="1"/>
      <w:marLeft w:val="0"/>
      <w:marRight w:val="0"/>
      <w:marTop w:val="0"/>
      <w:marBottom w:val="0"/>
      <w:divBdr>
        <w:top w:val="none" w:sz="0" w:space="0" w:color="auto"/>
        <w:left w:val="none" w:sz="0" w:space="0" w:color="auto"/>
        <w:bottom w:val="none" w:sz="0" w:space="0" w:color="auto"/>
        <w:right w:val="none" w:sz="0" w:space="0" w:color="auto"/>
      </w:divBdr>
    </w:div>
    <w:div w:id="209454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BD7ED-210A-F349-B0C5-CDD54007F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Usenmez</dc:creator>
  <cp:keywords/>
  <dc:description/>
  <cp:lastModifiedBy>Emre Usenmez</cp:lastModifiedBy>
  <cp:revision>4</cp:revision>
  <cp:lastPrinted>2025-03-16T12:09:00Z</cp:lastPrinted>
  <dcterms:created xsi:type="dcterms:W3CDTF">2025-03-16T12:09:00Z</dcterms:created>
  <dcterms:modified xsi:type="dcterms:W3CDTF">2025-03-16T12:15:00Z</dcterms:modified>
</cp:coreProperties>
</file>