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23F5D" w14:textId="77777777" w:rsidR="003139E6" w:rsidRDefault="00000000">
      <w:pPr>
        <w:jc w:val="both"/>
      </w:pPr>
      <w:r>
        <w:rPr>
          <w:b/>
          <w:bCs/>
          <w:noProof/>
          <w:sz w:val="28"/>
          <w:szCs w:val="28"/>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uzay, boşluk, mekan, ekran görüntüsü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14:paraId="4FFF3412" w14:textId="77777777" w:rsidR="003139E6" w:rsidRDefault="003139E6">
                            <w:pPr>
                              <w:spacing w:after="240" w:line="240" w:lineRule="auto"/>
                              <w:jc w:val="center"/>
                              <w:textDirection w:val="btLr"/>
                            </w:pPr>
                          </w:p>
                          <w:p w14:paraId="0C7D7FE4" w14:textId="77777777" w:rsidR="003139E6" w:rsidRDefault="00000000">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000000">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000000">
                            <w:pPr>
                              <w:spacing w:after="240" w:line="240" w:lineRule="auto"/>
                              <w:textDirection w:val="btLr"/>
                            </w:pPr>
                            <w:r>
                              <w:rPr>
                                <w:rFonts w:ascii="Arial Black" w:eastAsia="Arial Black" w:hAnsi="Arial Black" w:cs="Arial Black"/>
                                <w:b/>
                                <w:color w:val="FFFFFF"/>
                                <w:sz w:val="40"/>
                              </w:rPr>
                              <w:t>Proje Adı: ITS MİHENK</w:t>
                            </w:r>
                          </w:p>
                          <w:p w14:paraId="6B140F77" w14:textId="77777777" w:rsidR="003139E6" w:rsidRDefault="00000000">
                            <w:pPr>
                              <w:spacing w:after="240" w:line="240" w:lineRule="auto"/>
                              <w:textDirection w:val="btLr"/>
                            </w:pPr>
                            <w:r>
                              <w:rPr>
                                <w:rFonts w:ascii="Arial Black" w:eastAsia="Arial Black" w:hAnsi="Arial Black" w:cs="Arial Black"/>
                                <w:b/>
                                <w:color w:val="FFFFFF"/>
                                <w:sz w:val="40"/>
                              </w:rPr>
                              <w:t>Takım Adı: ITS</w:t>
                            </w:r>
                          </w:p>
                          <w:p w14:paraId="7BA23A45" w14:textId="77777777" w:rsidR="003139E6" w:rsidRDefault="00000000">
                            <w:pPr>
                              <w:spacing w:after="240" w:line="240" w:lineRule="auto"/>
                              <w:textDirection w:val="btLr"/>
                            </w:pPr>
                            <w:r>
                              <w:rPr>
                                <w:rFonts w:ascii="Arial Black" w:eastAsia="Arial Black" w:hAnsi="Arial Black" w:cs="Arial Black"/>
                                <w:b/>
                                <w:color w:val="FFFFFF"/>
                                <w:sz w:val="40"/>
                              </w:rPr>
                              <w:t>Takım ID:</w:t>
                            </w:r>
                          </w:p>
                          <w:p w14:paraId="19A25497" w14:textId="77777777" w:rsidR="003139E6" w:rsidRDefault="00000000">
                            <w:pPr>
                              <w:spacing w:after="240" w:line="240" w:lineRule="auto"/>
                              <w:textDirection w:val="btLr"/>
                            </w:pPr>
                            <w:r>
                              <w:rPr>
                                <w:rFonts w:ascii="Arial Black" w:eastAsia="Arial Black" w:hAnsi="Arial Black" w:cs="Arial Black"/>
                                <w:b/>
                                <w:color w:val="FFFFFF"/>
                                <w:sz w:val="40"/>
                              </w:rPr>
                              <w:t>Başvuru ID:</w:t>
                            </w:r>
                          </w:p>
                          <w:p w14:paraId="0393F183" w14:textId="77777777" w:rsidR="003139E6" w:rsidRDefault="00000000">
                            <w:pPr>
                              <w:spacing w:after="240" w:line="240" w:lineRule="auto"/>
                              <w:textDirection w:val="btLr"/>
                            </w:pPr>
                            <w:r>
                              <w:rPr>
                                <w:rFonts w:ascii="Arial Black" w:eastAsia="Arial Black" w:hAnsi="Arial Black" w:cs="Arial Black"/>
                                <w:b/>
                                <w:color w:val="FFFFFF"/>
                                <w:sz w:val="44"/>
                              </w:rPr>
                              <w:t>Tematik Alan:İçerik Ekonomisi / Sosyal Yapay Zeka / Kullanıcı Katılımı &amp; Arayüz (UI/UX)</w:t>
                            </w:r>
                          </w:p>
                          <w:p w14:paraId="5DA4DB19" w14:textId="77777777" w:rsidR="003139E6" w:rsidRDefault="003139E6">
                            <w:pPr>
                              <w:spacing w:after="240" w:line="240"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" filled="f">
                <v:stroke startarrowwidth="narrow" startarrowlength="short" endarrowwidth="narrow" endarrowlength="short" joinstyle="round"/>
                <v:textbox inset="2.53958mm,1.2694mm,2.53958mm,1.2694mm">
                  <w:txbxContent>
                    <w:p w14:paraId="4FFF3412" w14:textId="77777777" w:rsidR="003139E6" w:rsidRDefault="003139E6">
                      <w:pPr>
                        <w:spacing w:after="240" w:line="240" w:lineRule="auto"/>
                        <w:jc w:val="center"/>
                        <w:textDirection w:val="btLr"/>
                      </w:pPr>
                    </w:p>
                    <w:p w14:paraId="0C7D7FE4" w14:textId="77777777" w:rsidR="003139E6" w:rsidRDefault="00000000">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000000">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000000">
                      <w:pPr>
                        <w:spacing w:after="240" w:line="240" w:lineRule="auto"/>
                        <w:textDirection w:val="btLr"/>
                      </w:pPr>
                      <w:r>
                        <w:rPr>
                          <w:rFonts w:ascii="Arial Black" w:eastAsia="Arial Black" w:hAnsi="Arial Black" w:cs="Arial Black"/>
                          <w:b/>
                          <w:color w:val="FFFFFF"/>
                          <w:sz w:val="40"/>
                        </w:rPr>
                        <w:t>Proje Adı: ITS MİHENK</w:t>
                      </w:r>
                    </w:p>
                    <w:p w14:paraId="6B140F77" w14:textId="77777777" w:rsidR="003139E6" w:rsidRDefault="00000000">
                      <w:pPr>
                        <w:spacing w:after="240" w:line="240" w:lineRule="auto"/>
                        <w:textDirection w:val="btLr"/>
                      </w:pPr>
                      <w:r>
                        <w:rPr>
                          <w:rFonts w:ascii="Arial Black" w:eastAsia="Arial Black" w:hAnsi="Arial Black" w:cs="Arial Black"/>
                          <w:b/>
                          <w:color w:val="FFFFFF"/>
                          <w:sz w:val="40"/>
                        </w:rPr>
                        <w:t>Takım Adı: ITS</w:t>
                      </w:r>
                    </w:p>
                    <w:p w14:paraId="7BA23A45" w14:textId="77777777" w:rsidR="003139E6" w:rsidRDefault="00000000">
                      <w:pPr>
                        <w:spacing w:after="240" w:line="240" w:lineRule="auto"/>
                        <w:textDirection w:val="btLr"/>
                      </w:pPr>
                      <w:r>
                        <w:rPr>
                          <w:rFonts w:ascii="Arial Black" w:eastAsia="Arial Black" w:hAnsi="Arial Black" w:cs="Arial Black"/>
                          <w:b/>
                          <w:color w:val="FFFFFF"/>
                          <w:sz w:val="40"/>
                        </w:rPr>
                        <w:t>Takım ID:</w:t>
                      </w:r>
                    </w:p>
                    <w:p w14:paraId="19A25497" w14:textId="77777777" w:rsidR="003139E6" w:rsidRDefault="00000000">
                      <w:pPr>
                        <w:spacing w:after="240" w:line="240" w:lineRule="auto"/>
                        <w:textDirection w:val="btLr"/>
                      </w:pPr>
                      <w:r>
                        <w:rPr>
                          <w:rFonts w:ascii="Arial Black" w:eastAsia="Arial Black" w:hAnsi="Arial Black" w:cs="Arial Black"/>
                          <w:b/>
                          <w:color w:val="FFFFFF"/>
                          <w:sz w:val="40"/>
                        </w:rPr>
                        <w:t>Başvuru ID:</w:t>
                      </w:r>
                    </w:p>
                    <w:p w14:paraId="0393F183" w14:textId="77777777" w:rsidR="003139E6" w:rsidRDefault="00000000">
                      <w:pPr>
                        <w:spacing w:after="240" w:line="240" w:lineRule="auto"/>
                        <w:textDirection w:val="btLr"/>
                      </w:pPr>
                      <w:r>
                        <w:rPr>
                          <w:rFonts w:ascii="Arial Black" w:eastAsia="Arial Black" w:hAnsi="Arial Black" w:cs="Arial Black"/>
                          <w:b/>
                          <w:color w:val="FFFFFF"/>
                          <w:sz w:val="44"/>
                        </w:rPr>
                        <w:t>Tematik Alan:İçerik Ekonomisi / Sosyal Yapay Zeka / Kullanıcı Katılımı &amp; Arayüz (UI/UX)</w:t>
                      </w:r>
                    </w:p>
                    <w:p w14:paraId="5DA4DB19" w14:textId="77777777" w:rsidR="003139E6" w:rsidRDefault="003139E6">
                      <w:pPr>
                        <w:spacing w:after="240" w:line="240" w:lineRule="auto"/>
                        <w:textDirection w:val="btLr"/>
                      </w:pPr>
                    </w:p>
                  </w:txbxContent>
                </v:textbox>
                <w10:wrap type="square"/>
              </v:rect>
            </w:pict>
          </mc:Fallback>
        </mc:AlternateContent>
      </w:r>
    </w:p>
    <w:p w14:paraId="5DC5C37A" w14:textId="77777777" w:rsidR="003139E6" w:rsidRDefault="003139E6">
      <w:pPr>
        <w:jc w:val="both"/>
      </w:pPr>
    </w:p>
    <w:p w14:paraId="06E9005B" w14:textId="77777777" w:rsidR="003139E6" w:rsidRDefault="00000000">
      <w:pPr>
        <w:pStyle w:val="Balk1"/>
        <w:jc w:val="both"/>
      </w:pPr>
      <w:bookmarkStart w:id="0" w:name="_8bw2i2r5xohe" w:colFirst="0" w:colLast="0"/>
      <w:bookmarkEnd w:id="0"/>
      <w:r>
        <w:lastRenderedPageBreak/>
        <w:t>İÇİNDEKİLER</w:t>
      </w:r>
    </w:p>
    <w:sdt>
      <w:sdtPr>
        <w:id w:val="-279001237"/>
        <w:docPartObj>
          <w:docPartGallery w:val="Table of Contents"/>
          <w:docPartUnique/>
        </w:docPartObj>
      </w:sdtPr>
      <w:sdtContent>
        <w:p w14:paraId="33BF5F27" w14:textId="77777777" w:rsidR="003139E6" w:rsidRDefault="00000000">
          <w:pPr>
            <w:widowControl w:val="0"/>
            <w:tabs>
              <w:tab w:val="right" w:pos="9000"/>
            </w:tabs>
            <w:spacing w:before="60" w:after="0" w:line="240" w:lineRule="auto"/>
            <w:rPr>
              <w:b/>
              <w:bCs/>
              <w:color w:val="000000"/>
              <w:sz w:val="22"/>
              <w:szCs w:val="22"/>
            </w:rPr>
          </w:pPr>
          <w:r>
            <w:fldChar w:fldCharType="begin"/>
            <w:instrText xml:space="preserve"> TOC \h \u \z \t "Heading 1,1,Heading 2,2,Heading 3,3,"</w:instrText>
            <w:fldChar w:fldCharType="separate"/>
          </w:r>
          <w:hyperlink w:anchor="_8bw2i2r5xohe">
            <w:r>
              <w:rPr>
                <w:b/>
                <w:bCs/>
                <w:color w:val="000000"/>
                <w:sz w:val="22"/>
                <w:szCs w:val="22"/>
              </w:rPr>
              <w:t>İÇİNDEKİLER</w:t>
            </w:r>
          </w:hyperlink>
        </w:p>
        <w:p w14:paraId="4FB22891" w14:textId="77777777" w:rsidR="003139E6" w:rsidRDefault="00000000">
          <w:pPr>
            <w:widowControl w:val="0"/>
            <w:tabs>
              <w:tab w:val="right" w:pos="9000"/>
            </w:tabs>
            <w:spacing w:before="60" w:after="0" w:line="240" w:lineRule="auto"/>
            <w:rPr>
              <w:b/>
              <w:bCs/>
              <w:color w:val="000000"/>
              <w:sz w:val="22"/>
              <w:szCs w:val="22"/>
            </w:rPr>
          </w:pPr>
          <w:hyperlink w:anchor="_jisx7vvi4889">
            <w:r>
              <w:rPr>
                <w:b/>
                <w:bCs/>
                <w:color w:val="000000"/>
              </w:rPr>
              <w:t>1. PROJE ÖZETİ</w:t>
              <w:tab/>
              <w:t>3</w:t>
            </w:r>
          </w:hyperlink>
        </w:p>
        <w:p w14:paraId="00CB34DF" w14:textId="77777777" w:rsidR="003139E6" w:rsidRDefault="00000000">
          <w:pPr>
            <w:widowControl w:val="0"/>
            <w:tabs>
              <w:tab w:val="right" w:pos="9000"/>
            </w:tabs>
            <w:spacing w:before="60" w:after="0" w:line="240" w:lineRule="auto"/>
            <w:rPr>
              <w:b/>
              <w:bCs/>
              <w:color w:val="000000"/>
              <w:sz w:val="22"/>
              <w:szCs w:val="22"/>
            </w:rPr>
          </w:pPr>
          <w:hyperlink w:anchor="_dzbd8wpb5t1">
            <w:r>
              <w:rPr>
                <w:b/>
                <w:bCs/>
                <w:color w:val="000000"/>
              </w:rPr>
              <w:t>2. KATMA DEĞER VE YENİLİKÇİLİK</w:t>
              <w:tab/>
              <w:t>4</w:t>
            </w:r>
          </w:hyperlink>
        </w:p>
        <w:p w14:paraId="0EB7FB99" w14:textId="77777777" w:rsidR="003139E6" w:rsidRDefault="00000000">
          <w:pPr>
            <w:widowControl w:val="0"/>
            <w:tabs>
              <w:tab w:val="right" w:pos="9000"/>
            </w:tabs>
            <w:spacing w:before="60" w:after="0" w:line="240" w:lineRule="auto"/>
            <w:rPr>
              <w:b/>
              <w:bCs/>
              <w:color w:val="000000"/>
              <w:sz w:val="22"/>
              <w:szCs w:val="22"/>
            </w:rPr>
          </w:pPr>
          <w:hyperlink w:anchor="_os8caner0m4u">
            <w:r>
              <w:rPr>
                <w:b/>
                <w:bCs/>
                <w:color w:val="000000"/>
              </w:rPr>
              <w:t>3. TEKNOLOJİ KULLANIMI</w:t>
              <w:tab/>
              <w:t>5</w:t>
            </w:r>
          </w:hyperlink>
        </w:p>
        <w:p w14:paraId="433BD2FB" w14:textId="77777777" w:rsidR="003139E6" w:rsidRDefault="00000000">
          <w:pPr>
            <w:widowControl w:val="0"/>
            <w:tabs>
              <w:tab w:val="right" w:pos="9000"/>
            </w:tabs>
            <w:spacing w:before="60" w:after="0" w:line="240" w:lineRule="auto"/>
            <w:rPr>
              <w:b/>
              <w:bCs/>
              <w:color w:val="000000"/>
              <w:sz w:val="22"/>
              <w:szCs w:val="22"/>
            </w:rPr>
          </w:pPr>
          <w:hyperlink w:anchor="_d2me7f8pi3j6">
            <w:r>
              <w:rPr>
                <w:b/>
                <w:bCs/>
                <w:color w:val="000000"/>
              </w:rPr>
              <w:t>4. UYGULANABİLİRLİK</w:t>
              <w:tab/>
              <w:t>13</w:t>
            </w:r>
          </w:hyperlink>
        </w:p>
        <w:p w14:paraId="6919C794" w14:textId="77777777" w:rsidR="003139E6" w:rsidRDefault="00000000">
          <w:pPr>
            <w:widowControl w:val="0"/>
            <w:tabs>
              <w:tab w:val="right" w:pos="9000"/>
            </w:tabs>
            <w:spacing w:before="60" w:after="0" w:line="240" w:lineRule="auto"/>
            <w:rPr>
              <w:b/>
              <w:bCs/>
              <w:color w:val="000000"/>
              <w:sz w:val="22"/>
              <w:szCs w:val="22"/>
            </w:rPr>
          </w:pPr>
          <w:hyperlink w:anchor="_lpa6vuy2odia">
            <w:r>
              <w:rPr>
                <w:b/>
                <w:bCs/>
                <w:color w:val="000000"/>
              </w:rPr>
              <w:t>5. YAYGIN ETKİ</w:t>
              <w:tab/>
              <w:t>13</w:t>
            </w:r>
          </w:hyperlink>
        </w:p>
        <w:p w14:paraId="1D0A5993" w14:textId="77777777" w:rsidR="003139E6" w:rsidRDefault="00000000">
          <w:pPr>
            <w:widowControl w:val="0"/>
            <w:tabs>
              <w:tab w:val="right" w:pos="9000"/>
            </w:tabs>
            <w:spacing w:before="60" w:after="0" w:line="240" w:lineRule="auto"/>
            <w:rPr>
              <w:b/>
              <w:bCs/>
              <w:color w:val="000000"/>
              <w:sz w:val="22"/>
              <w:szCs w:val="22"/>
            </w:rPr>
          </w:pPr>
          <w:hyperlink w:anchor="_xk8n68vdui2l">
            <w:r>
              <w:rPr>
                <w:b/>
                <w:bCs/>
                <w:color w:val="000000"/>
              </w:rPr>
              <w:t>6. SÜRDÜRÜLEBİLİRLİK</w:t>
              <w:tab/>
              <w:t>14</w:t>
            </w:r>
          </w:hyperlink>
        </w:p>
        <w:p w14:paraId="311B29F4" w14:textId="77777777" w:rsidR="003139E6" w:rsidRDefault="00000000">
          <w:pPr>
            <w:widowControl w:val="0"/>
            <w:tabs>
              <w:tab w:val="right" w:pos="9000"/>
            </w:tabs>
            <w:spacing w:before="60" w:after="0" w:line="240" w:lineRule="auto"/>
            <w:rPr>
              <w:b/>
              <w:bCs/>
              <w:color w:val="000000"/>
              <w:sz w:val="22"/>
              <w:szCs w:val="22"/>
            </w:rPr>
          </w:pPr>
          <w:hyperlink w:anchor="_wa4u9oy9l2oc">
            <w:r>
              <w:rPr>
                <w:b/>
                <w:bCs/>
                <w:color w:val="000000"/>
              </w:rPr>
              <w:t>7. PROJE TAKVİMİ</w:t>
              <w:tab/>
              <w:t>14</w:t>
            </w:r>
          </w:hyperlink>
        </w:p>
        <w:p w14:paraId="7A254F67" w14:textId="77777777" w:rsidR="003139E6" w:rsidRDefault="00000000">
          <w:pPr>
            <w:widowControl w:val="0"/>
            <w:tabs>
              <w:tab w:val="right" w:pos="9000"/>
            </w:tabs>
            <w:spacing w:before="60" w:after="0" w:line="240" w:lineRule="auto"/>
            <w:rPr>
              <w:b/>
              <w:bCs/>
              <w:color w:val="000000"/>
              <w:sz w:val="22"/>
              <w:szCs w:val="22"/>
            </w:rPr>
          </w:pPr>
          <w:hyperlink w:anchor="_tethsyb7zuzi">
            <w:r>
              <w:rPr>
                <w:b/>
                <w:bCs/>
                <w:color w:val="000000"/>
                <w:sz w:val="22"/>
                <w:szCs w:val="22"/>
              </w:rPr>
              <w:t>8. TAKIM YAPISI</w:t>
              <w:tab/>
              <w:t>15</w:t>
            </w:r>
          </w:hyperlink>
        </w:p>
        <w:p w14:paraId="0464137D" w14:textId="77777777" w:rsidR="003139E6" w:rsidRDefault="00000000">
          <w:pPr>
            <w:widowControl w:val="0"/>
            <w:tabs>
              <w:tab w:val="right" w:pos="9000"/>
            </w:tabs>
            <w:spacing w:before="60" w:after="0" w:line="240" w:lineRule="auto"/>
            <w:rPr>
              <w:b/>
              <w:bCs/>
              <w:color w:val="000000"/>
              <w:sz w:val="22"/>
              <w:szCs w:val="22"/>
            </w:rPr>
          </w:pPr>
          <w:hyperlink w:anchor="_xydeovno1gp9">
            <w:r>
              <w:rPr>
                <w:b/>
                <w:bCs/>
                <w:color w:val="000000"/>
              </w:rPr>
              <w:t>9. KAYNAKÇA</w:t>
              <w:tab/>
              <w:t>15</w:t>
            </w:r>
          </w:hyperlink>
        </w:p>
        <w:p w14:paraId="0E4C59A3" w14:textId="77777777" w:rsidR="003139E6" w:rsidRDefault="00000000">
          <w:pPr>
            <w:widowControl w:val="0"/>
            <w:tabs>
              <w:tab w:val="right" w:pos="9000"/>
            </w:tabs>
            <w:spacing w:before="60" w:after="0" w:line="240" w:lineRule="auto"/>
            <w:rPr>
              <w:b/>
              <w:bCs/>
              <w:color w:val="000000"/>
              <w:sz w:val="22"/>
              <w:szCs w:val="22"/>
            </w:rPr>
          </w:pPr>
          <w:r>
            <w:fldChar w:fldCharType="end"/>
          </w:r>
        </w:p>
      </w:sdtContent>
    </w:sdt>
    <w:p w14:paraId="221770AC" w14:textId="77777777" w:rsidR="003139E6" w:rsidRDefault="003139E6"/>
    <w:p w14:paraId="784A41A2" w14:textId="77777777" w:rsidR="003139E6" w:rsidRDefault="003139E6"/>
    <w:p w14:paraId="53C4EB2C" w14:textId="77777777" w:rsidR="003139E6" w:rsidRDefault="003139E6"/>
    <w:p w14:paraId="447ED29F" w14:textId="77777777" w:rsidR="003139E6" w:rsidRDefault="003139E6"/>
    <w:p w14:paraId="5062FD38" w14:textId="77777777" w:rsidR="003139E6" w:rsidRDefault="003139E6"/>
    <w:p w14:paraId="009936EC" w14:textId="77777777" w:rsidR="003139E6" w:rsidRDefault="003139E6"/>
    <w:p w14:paraId="10DCAC97" w14:textId="77777777" w:rsidR="003139E6" w:rsidRDefault="003139E6"/>
    <w:p w14:paraId="7CD5E0D0" w14:textId="77777777" w:rsidR="003139E6" w:rsidRDefault="003139E6"/>
    <w:p w14:paraId="341E8D9A" w14:textId="77777777" w:rsidR="003139E6" w:rsidRDefault="003139E6"/>
    <w:p w14:paraId="132B1CBF" w14:textId="77777777" w:rsidR="003139E6" w:rsidRDefault="003139E6"/>
    <w:p w14:paraId="77FA9005" w14:textId="77777777" w:rsidR="003139E6" w:rsidRDefault="003139E6"/>
    <w:p w14:paraId="6273F857" w14:textId="77777777" w:rsidR="003139E6" w:rsidRDefault="003139E6"/>
    <w:p w14:paraId="160B0A6F" w14:textId="77777777" w:rsidR="003139E6" w:rsidRDefault="003139E6"/>
    <w:p w14:paraId="409BFC39" w14:textId="77777777" w:rsidR="003139E6" w:rsidRDefault="003139E6"/>
    <w:p w14:paraId="3B27DD84" w14:textId="77777777" w:rsidR="003139E6" w:rsidRDefault="003139E6"/>
    <w:p w14:paraId="0369DD62" w14:textId="77777777" w:rsidR="003139E6" w:rsidRDefault="003139E6"/>
    <w:p w14:paraId="0F5EB692" w14:textId="77777777" w:rsidR="003139E6" w:rsidRDefault="00000000">
      <w:pPr>
        <w:pStyle w:val="Balk1"/>
        <w:numPr>
          <w:ilvl w:val="0"/>
          <w:numId w:val="1"/>
        </w:numPr>
        <w:ind w:left="284" w:hanging="426"/>
        <w:jc w:val="both"/>
      </w:pPr>
      <w:bookmarkStart w:id="1" w:name="_jisx7vvi4889" w:colFirst="0" w:colLast="0"/>
      <w:bookmarkEnd w:id="1"/>
      <w:r>
        <w:lastRenderedPageBreak/>
        <w:t>PROJE ÖZETİ</w:t>
      </w:r>
    </w:p>
    <w:p w14:paraId="3F8EBAD5" w14:textId="77777777" w:rsidR="003139E6" w:rsidRDefault="00000000">
      <w:pPr>
        <w:spacing w:after="180" w:line="276" w:lineRule="auto"/>
        <w:jc w:val="both"/>
        <w:rPr>
          <w:b/>
          <w:bCs/>
        </w:rPr>
      </w:pPr>
      <w:r>
        <w:rPr>
          <w:b/>
          <w:bCs/>
        </w:rPr>
        <w:t>1.1. Proje Konusu ve amacı</w:t>
      </w:r>
    </w:p>
    <w:p>
      <w:pPr>
        <w:spacing w:after="180" w:line="276" w:lineRule="auto"/>
        <w:jc w:val="both"/>
      </w:pPr>
      <w:r>
        <w:t xml:space="preserve">Projenin konusu, sosyal medya ekosisteminde bilgi aşırı yüklenmesi ve doğrulama maliyeti sorunudur. Türkiye İstatistik Kurumu'nun 2025 verilerine göre ülkede internet kullanım oranı %90,9'a ulaşmış, 62,3 milyon sosyal medya kullanıcı kimliği tespit edilmiştir [1][2]. Ancak bu erişim genişliği bilgiye dönüşmüyor: Reuters Institute'un 2026 Dijital Haber Raporu'na göre Türkiye, haberden kaçınma oranının %60'ı aştığı dört ülkeden biri; habere duyulan güven ise %37 ile 2015'ten bu yana en düşük seviyede [3].</w:t>
      </w:r>
    </w:p>
    <w:p>
      <w:pPr>
        <w:spacing w:after="180" w:line="276" w:lineRule="auto"/>
        <w:jc w:val="both"/>
      </w:pPr>
      <w:r>
        <w:t xml:space="preserve">Projenin nihai amacı, kullanıcının akıştan kopmadan gündemi kavraması ve gördüğü bir iddiayı kaynağıyla birlikte sınayabilmesidir. Proje </w:t>
      </w:r>
      <w:r>
        <w:rPr>
          <w:b/>
          <w:bCs/>
        </w:rPr>
        <w:t xml:space="preserve">Sosyal Yapay Zekâ</w:t>
      </w:r>
      <w:r>
        <w:t xml:space="preserve"> temasına hitap eder; şartnamenin bu tema için örnek çözüm alanı saydığı "içerik özetleme teknolojileri", "yapay zekâ destekli dijital asistanlar", "spam ve bot tespit sistemleri" ve "duygu analizi" başlıklarının doğrudan karşılığıdır. İkincil olarak İçerik Ekonomisi (içerik üretici öneri modülü) ve Kullanıcı Katılımı &amp; Arayüz (özet paneli, erişilebilirlik) temalarına da katkı sunar.</w:t>
      </w:r>
    </w:p>
    <w:p w14:paraId="2BAE1461" w14:textId="77777777" w:rsidR="003139E6" w:rsidRDefault="00000000">
      <w:pPr>
        <w:spacing w:after="180" w:line="276" w:lineRule="auto"/>
        <w:jc w:val="both"/>
        <w:rPr>
          <w:b/>
          <w:bCs/>
        </w:rPr>
      </w:pPr>
      <w:r>
        <w:rPr>
          <w:b/>
          <w:bCs/>
        </w:rPr>
        <w:t>1.2. Proje Kapsamı ve Yöntemi</w:t>
      </w:r>
    </w:p>
    <w:p>
      <w:pPr>
        <w:spacing w:after="180" w:line="276" w:lineRule="auto"/>
        <w:jc w:val="both"/>
      </w:pPr>
      <w:r>
        <w:t xml:space="preserve">Projenin kapsamı, NSosyal deneyimini simüle eden bir web prototipi üzerinde çalışan bir </w:t>
      </w:r>
      <w:r>
        <w:rPr>
          <w:b/>
          <w:bCs/>
        </w:rPr>
        <w:t xml:space="preserve">anlama ve doğrulama katmanı</w:t>
      </w:r>
      <w:r>
        <w:t xml:space="preserve"> geliştirmekle sınırlıdır; yeni bir sosyal ağ kurmak kapsam dışıdır. NSosyal kendini reklamsız, algoritmasız ve kronolojik bir platform olarak tanımlar; bu yüzden proje akışın sıralamasına dokunmaz, yalnızca akışın üzerine bir okuma katmanı ekler.</w:t>
      </w:r>
    </w:p>
    <w:p>
      <w:pPr>
        <w:spacing w:after="180" w:line="276" w:lineRule="auto"/>
        <w:jc w:val="both"/>
      </w:pPr>
      <w:r>
        <w:t xml:space="preserve">İzlenecek yöntem iki katmanlı bir mimariye dayanır. Yüksek frekanslı ve dar kapsamlı görevler — özetleme, olay kümeleme, görsel ve metin tespiti — yerel olarak, ince ayarlı açık kaynak modellerle çalışır. Güncel dünya bilgisi gerektiren doğrulama görevi ise farklıdır: agentik bir mimariyle açık web kaynaklarını tarayan bir dış model devreye girer. Bu ayrımın test edilebilirliği, sistemin üç ilkesinin (atıf zorunluluğu, çekimserlik, çoğulculuk) doğrudan yanıt şemasına kodlanmasından gelir.</w:t>
      </w:r>
    </w:p>
    <w:p>
      <w:pPr>
        <w:spacing w:after="180" w:line="276" w:lineRule="auto"/>
        <w:jc w:val="both"/>
      </w:pPr>
      <w:r>
        <w:t xml:space="preserve">Çalışmanın seçilen tematik alanla ilişkisi açıktır: sistemin her modülü, şartnamede sayılan örnek çözüm alanlarından en az birine karşılık gelir. Gelecekte yeni çalışmalara zemin hazırlama potansiyeli ise üretilen etiketli Türkçe değerlendirme veri kümesinden ve izinli/anonimleştirilmiş etkileşim verisi üzerinden yerli model geliştirme hattından gelmektedir.</w:t>
      </w:r>
    </w:p>
    <w:p>
      <w:pPr>
        <w:spacing w:after="180" w:line="276" w:lineRule="auto"/>
        <w:jc w:val="both"/>
      </w:pPr>
      <w:r>
        <w:t xml:space="preserve">Proje fikir düzeyinde kalmamıştır; çalışan bir prototiple desteklenmektedir. Bugün elde mevcut olan: NSosyal arayüzünü birebir simüle eden, 14 sayfadan oluşan, açık/koyu tema ve mobil görünüm destekleyen bir web uygulaması; dört uç noktalı bir uygulama servisi; ve etiketli sentetik veri kümesi üzerinde çalışan değerlendirilebilir modüller (özetleme, kümeleme, metin/görsel tespiti). Kaynak kod GitHub üzerinde sürüm kontrolü altındadır; depo bağlantısı 3.1 bölümünde paylaşılmıştır.</w:t>
      </w:r>
    </w:p>
    <w:p w14:paraId="3FE48A6C" w14:textId="77777777" w:rsidR="003139E6" w:rsidRDefault="003139E6">
      <w:pPr>
        <w:spacing w:after="240" w:line="276" w:lineRule="auto"/>
        <w:ind w:left="-72"/>
        <w:jc w:val="both"/>
        <w:rPr>
          <w:b/>
          <w:bCs/>
        </w:rPr>
      </w:pPr>
    </w:p>
    <w:p w14:paraId="3D9F2BD3" w14:textId="77777777" w:rsidR="003139E6" w:rsidRDefault="003139E6">
      <w:pPr>
        <w:spacing w:after="240" w:line="276" w:lineRule="auto"/>
        <w:ind w:left="-72"/>
        <w:jc w:val="both"/>
        <w:rPr>
          <w:b/>
          <w:bCs/>
        </w:rPr>
      </w:pPr>
    </w:p>
    <w:p w14:paraId="1E610849" w14:textId="77777777" w:rsidR="003139E6" w:rsidRDefault="00000000">
      <w:pPr>
        <w:pStyle w:val="Balk1"/>
        <w:numPr>
          <w:ilvl w:val="0"/>
          <w:numId w:val="1"/>
        </w:numPr>
        <w:ind w:left="284" w:hanging="426"/>
        <w:jc w:val="both"/>
      </w:pPr>
      <w:bookmarkStart w:id="2" w:name="_dzbd8wpb5t1" w:colFirst="0" w:colLast="0"/>
      <w:bookmarkEnd w:id="2"/>
      <w:r>
        <w:t xml:space="preserve">KATMA DEĞER VE YENİLİKÇİLİK </w:t>
      </w:r>
    </w:p>
    <w:p w14:paraId="0B8788B4" w14:textId="77777777" w:rsidR="003139E6" w:rsidRDefault="00000000">
      <w:pPr>
        <w:spacing w:after="180" w:line="276" w:lineRule="auto"/>
        <w:jc w:val="both"/>
        <w:rPr>
          <w:b/>
          <w:bCs/>
        </w:rPr>
      </w:pPr>
      <w:r>
        <w:rPr>
          <w:b/>
          <w:bCs/>
        </w:rPr>
        <w:t>2.1. Problem Tanımı ve Mevcut Çözümler</w:t>
      </w:r>
    </w:p>
    <w:p>
      <w:pPr>
        <w:spacing w:after="180" w:line="276" w:lineRule="auto"/>
        <w:jc w:val="both"/>
      </w:pPr>
      <w:r>
        <w:t xml:space="preserve">Sosyal medya, Türkiye'de artık marjinal bir iletişim kanalı değil, bilgiye erişimin birincil altyapısıdır. TÜİK'in 2025 verilerine göre 16-74 yaş grubunda internet kullanım oranı %90,9'a ulaşmış; bu oran bir önceki yıl %88,8 düzeyindeydi [1]. Aynı dönemde Türkiye'de 62,3 milyon sosyal medya kullanıcı kimliği tespit edilmiş olup bu sayı toplam nüfusun %70,9'una karşılık gelir [2]. Reuters Institute'un 2026 Dijital Haber Raporu, küresel ölçekte kullanıcıların %54'ünün haber için sosyal medya ve video platformlarını kullandığını, %30'unun ise bu platformları birincil haber kaynağı olarak tanımladığını göstermektedir; bu oran beş yıl önce %22 düzeyindeydi [3].</w:t>
      </w:r>
    </w:p>
    <w:p>
      <w:pPr>
        <w:spacing w:after="180" w:line="276" w:lineRule="auto"/>
        <w:jc w:val="both"/>
      </w:pPr>
      <w:r>
        <w:t xml:space="preserve">Ancak bu erişim genişliği, doğrudan bilgi edinmeye dönüşmemektedir. Sorun iki eksende birikir. </w:t>
      </w:r>
      <w:r>
        <w:rPr>
          <w:b/>
          <w:bCs/>
        </w:rPr>
        <w:t xml:space="preserve">Birinci eksen — bilgi aşırı yüklenmesi ve kaçınma.</w:t>
      </w:r>
      <w:r>
        <w:t xml:space="preserve"> Reuters Institute 2026 verilerine göre haberden kaçınma küresel ortalaması %42 iken Türkiye, bu oranın %60 ve üzerinde seyrettiği dört ülkeden biridir [3]. </w:t>
      </w:r>
      <w:r>
        <w:rPr>
          <w:b/>
          <w:bCs/>
        </w:rPr>
        <w:t xml:space="preserve">İkinci eksen — güven erozyonu ve doğrulama yükü.</w:t>
      </w:r>
      <w:r>
        <w:t xml:space="preserve"> Aynı rapor, habere duyulan güvenin %37 ile 2015'ten bu yana en düşük seviyeye indiğini; internetteki içeriğin gerçekliğine ilişkin kaygının küresel ortalamada %62'ye yükseldiğini gösteriyor [3]. Sosyal medya üzerinden gelen habere duyulan güven ise yalnızca %22'dir [3].</w:t>
      </w:r>
    </w:p>
    <w:p>
      <w:pPr>
        <w:spacing w:after="180" w:line="276" w:lineRule="auto"/>
        <w:jc w:val="both"/>
      </w:pPr>
      <w:r>
        <w:t xml:space="preserve">Piyasada bu iki eksene kısmî yanıtlar veren çözümler bulunmaktadır. Platform içi yapay zekâ özetleri tek bir platforma kilitlidir ve kaynak/güven göstergesi sunmaz. Haber kaynağı karşılaştırma servisleri sosyal medya akışının kendisini işlemez. Topluluk temelli doğrulama insan katkısına bağlı olduğu için gecikmelidir. Genel amaçlı yapay zekâ asistanları kullanıcının akışından kopuktur; üstelik yapay zekâ cevaplarına duyulan güven yalnızca %20'dir [3]. Mevcut çözümlerin hiçbiri; kategori bazlı kişiselleştirilmiş özet, gönderi düzeyinde açıklama, kaynak gösterimli doğrulama ve görsel köken denetimini tek bir Türkçe akış deneyiminde bir araya getirmez.</w:t>
      </w:r>
    </w:p>
    <w:p w14:paraId="6FC387E6" w14:textId="77777777" w:rsidR="003139E6" w:rsidRDefault="00000000">
      <w:pPr>
        <w:spacing w:after="180" w:line="276" w:lineRule="auto"/>
        <w:jc w:val="both"/>
        <w:rPr>
          <w:b/>
          <w:bCs/>
        </w:rPr>
      </w:pPr>
      <w:r>
        <w:rPr>
          <w:b/>
          <w:bCs/>
        </w:rPr>
        <w:t>2.2. Çözüm Fikri, Özgünlük ve Yerlilik</w:t>
      </w:r>
    </w:p>
    <w:p>
      <w:pPr>
        <w:spacing w:after="180" w:line="276" w:lineRule="auto"/>
        <w:jc w:val="both"/>
      </w:pPr>
      <w:r>
        <w:t xml:space="preserve">ITS MİHENK, NSosyal deneyimini simüle eden bir web prototipi üzerinde çalışan; kategori bazlı özet, gönderi düzeyinde özet, ajan tabanlı doğrulama ve görsel köken denetimini birleştiren bir anlama katmanıdır. Çözümün özgünlüğü, üç ilkenin (atıf zorunluluğu, çekimserlik, çoğulculuk) yanıt şemasına kodlanmış ve test edilebilir kılınmış olmasındadır: her özet cümlesi en az bir kaynağa bağlanır, sistem emin olmadığında hüküm vermez, tek kaynaklı iddialar bastırılır.</w:t>
      </w:r>
    </w:p>
    <w:p>
      <w:pPr>
        <w:spacing w:after="180" w:line="276" w:lineRule="auto"/>
        <w:jc w:val="both"/>
      </w:pPr>
      <w:r>
        <w:t xml:space="preserve">Mevcut çözümlerden farkı somut piyasa kıyaslarıyla ortaya çıkar: platform içi özetlerin aksine MİHENK kaynak ve güven göstergesi sunar; haber karşılaştırma servislerinin aksine sosyal medya akışının kendisini işler; topluluk temelli doğrulamanın aksine gecikmesizdir; genel amaçlı asistanların aksine akış içine gömülüdür. Çözümün pazarda uygulanabilir olduğu, hâlihazırda çalışan bir prototiple kanıtlanmıştır.</w:t>
      </w:r>
    </w:p>
    <w:p>
      <w:pPr>
        <w:spacing w:after="180" w:line="276" w:lineRule="auto"/>
        <w:jc w:val="both"/>
      </w:pPr>
      <w:r>
        <w:t xml:space="preserve">Proje kapsamında geliştirilen yerli bileşenler şunlardır: </w:t>
      </w:r>
      <w:r>
        <w:rPr>
          <w:b/>
          <w:bCs/>
        </w:rPr>
        <w:t xml:space="preserve">(1) Türkçe özetleme modeli</w:t>
      </w:r>
      <w:r>
        <w:t xml:space="preserve"> — açık kaynaklı temel modelin proje kapsamında üretilen Türkçe veri kümesiyle ince ayarlanmasından doğar; </w:t>
      </w:r>
      <w:r>
        <w:rPr>
          <w:b/>
          <w:bCs/>
        </w:rPr>
        <w:t xml:space="preserve">(2) Görsel ve metin üretim tespit modelleri</w:t>
      </w:r>
      <w:r>
        <w:t xml:space="preserve"> — BERTurk ince ayarlı sınıflandırıcı yerel olarak çalışır; </w:t>
      </w:r>
      <w:r>
        <w:rPr>
          <w:b/>
          <w:bCs/>
        </w:rPr>
        <w:t xml:space="preserve">(3) Etiketli Türkçe değerlendirme veri kümesi</w:t>
      </w:r>
      <w:r>
        <w:t xml:space="preserve"> — olay kümesi, çerçeve, iddia ve görsel köken etiketlerini içeren, modüllerin başarımının gerçek ölçümle raporlanmasını sağlayan özgün bir veri kümesidir.</w:t>
      </w:r>
    </w:p>
    <w:p w14:paraId="570C2EA5" w14:textId="77777777" w:rsidR="003139E6" w:rsidRDefault="003139E6">
      <w:pPr>
        <w:spacing w:after="240" w:line="276" w:lineRule="auto"/>
        <w:ind w:left="-72"/>
        <w:jc w:val="both"/>
        <w:rPr>
          <w:b/>
          <w:bCs/>
          <w:i/>
          <w:iCs/>
        </w:rPr>
      </w:pPr>
    </w:p>
    <w:p w14:paraId="09665433" w14:textId="77777777" w:rsidR="003139E6" w:rsidRDefault="003139E6">
      <w:pPr>
        <w:pBdr>
          <w:top w:val="nil"/>
          <w:left w:val="nil"/>
          <w:bottom w:val="nil"/>
          <w:right w:val="nil"/>
          <w:between w:val="nil"/>
        </w:pBdr>
        <w:spacing w:before="120" w:after="240" w:line="276" w:lineRule="auto"/>
        <w:ind w:left="-72"/>
        <w:jc w:val="both"/>
      </w:pPr>
    </w:p>
    <w:p w14:paraId="35B8DD5A" w14:textId="77777777" w:rsidR="003139E6" w:rsidRDefault="00000000">
      <w:pPr>
        <w:pStyle w:val="Balk1"/>
        <w:numPr>
          <w:ilvl w:val="0"/>
          <w:numId w:val="1"/>
        </w:numPr>
        <w:ind w:left="426" w:hanging="426"/>
        <w:jc w:val="both"/>
      </w:pPr>
      <w:bookmarkStart w:id="3" w:name="_os8caner0m4u" w:colFirst="0" w:colLast="0"/>
      <w:bookmarkEnd w:id="3"/>
      <w:r>
        <w:t>TEKNOLOJİ KULLANIMI</w:t>
      </w:r>
    </w:p>
    <w:p w14:paraId="1010A1B6" w14:textId="77777777" w:rsidR="003139E6" w:rsidRDefault="00000000">
      <w:pPr>
        <w:spacing w:after="180" w:line="276" w:lineRule="auto"/>
        <w:jc w:val="both"/>
        <w:rPr>
          <w:b/>
          <w:bCs/>
        </w:rPr>
      </w:pPr>
      <w:r>
        <w:rPr>
          <w:b/>
          <w:bCs/>
        </w:rPr>
        <w:t>3.1. İzlenecek Yöntem, altyapı ve Sürüm Kontrolü</w:t>
      </w:r>
    </w:p>
    <w:p>
      <w:pPr>
        <w:spacing w:after="180" w:line="276" w:lineRule="auto"/>
        <w:jc w:val="both"/>
      </w:pPr>
      <w:r>
        <w:t xml:space="preserve">MİHENK, sorumluluk ayrımı net iki katmandan oluşur (Şekil 1). </w:t>
      </w:r>
      <w:r>
        <w:rPr>
          <w:b/>
          <w:bCs/>
        </w:rPr>
        <w:t xml:space="preserve">Katman 1 — akış hızında, kullanıcıdan bağımsız:</w:t>
      </w:r>
      <w:r>
        <w:t xml:space="preserve"> platforma düşen her gönderi bir kez işlenir; atomik özeti çıkarılır, gömme vektörü hesaplanır, konu etiketi atanır ve sonuç tüm kullanıcılar arasında paylaşılan bir önbellekte tutulur. </w:t>
      </w:r>
      <w:r>
        <w:rPr>
          <w:b/>
          <w:bCs/>
        </w:rPr>
        <w:t xml:space="preserve">Katman 2 — kullanıcı hızında:</w:t>
      </w:r>
      <w:r>
        <w:t xml:space="preserve"> kullanıcı "Özetle" dediğinde hazır kayıtlar kümelenir, temsilciler seçilir ve tek bir birleştirme çağrısı yapılır.</w:t>
      </w:r>
    </w:p>
    <w:p>
      <w:pPr>
        <w:spacing w:after="180" w:line="276" w:lineRule="auto"/>
        <w:jc w:val="both"/>
      </w:pPr>
      <w:r>
        <w:t xml:space="preserve">Kullanılan teknolojiler: arayüzde Next.js 16, React 19, TypeScript ve Tailwind CSS; uygulama servisinde FastAPI ve Pydantic; gömmede multilingual-e5-base; sınıflandırmada BERTurk ince ayar ve TF-IDF temel çizgi; veri katmanında etiketli sentetik külliyat. Uygulama servisi altı uç nokta üzerinden çalışmaktadır: /api/akis, /api/ozetle, /api/sor, /api/tespit, /api/koken, /api/itiraz. Arayüz servise erişemediğinde yerel çıkarımsal motora düşer; gösterim hiçbir koşulda kesilmez.</w:t>
      </w:r>
    </w:p>
    <w:p w14:paraId="6ADAF344" w14:textId="77777777" w:rsidR="003139E6" w:rsidRDefault="00000000">
      <w:pPr>
        <w:spacing w:after="180" w:line="276" w:lineRule="auto"/>
        <w:jc w:val="both"/>
      </w:pPr>
      <w:r>
        <w:lastRenderedPageBreak/>
        <w:t xml:space="preserve">Kod Reposu ve Teslim Şartı: Projenin yazılım geliştirme süreçlerinde versiyon kontrol sistemleri aktif olarak kullanılacaktır. Kaynak kodlar GitHub veya Bitbucket üzerinden </w:t>
      </w:r>
    </w:p>
    <w:p w14:paraId="6CB37727" w14:textId="77777777" w:rsidR="003139E6" w:rsidRDefault="003139E6">
      <w:pPr>
        <w:spacing w:after="180" w:line="276" w:lineRule="auto"/>
        <w:jc w:val="both"/>
      </w:pPr>
    </w:p>
    <w:p>
      <w:pPr>
        <w:spacing w:after="180" w:line="276" w:lineRule="auto"/>
        <w:jc w:val="both"/>
      </w:pPr>
      <w:r>
        <w:t xml:space="preserve">Kaynak kodlar GitHub üzerinde sürüm kontrolü altında tutulmakta, geliştirme adımları anlamlı commit'lerle takip edilmektedir. Depo, arayüz, uygulama servisi, model betikleri, değerlendirme takımı ve dokümantasyonu tek çatı altında barındırır.</w:t>
      </w:r>
    </w:p>
    <w:p>
      <w:pPr>
        <w:spacing w:after="180" w:line="276" w:lineRule="auto"/>
        <w:jc w:val="both"/>
      </w:pPr>
      <w:r>
        <w:rPr>
          <w:b/>
          <w:bCs/>
        </w:rPr>
        <w:t xml:space="preserve">Depo bağlantısı:</w:t>
      </w:r>
      <w:r>
        <w:t xml:space="preserve"> https://github.com/emreaskinsoftware/MIHENK-ITS</w:t>
      </w:r>
    </w:p>
    <w:p>
      <w:pPr>
        <w:spacing w:after="180" w:line="276" w:lineRule="auto"/>
        <w:jc w:val="both"/>
      </w:pPr>
      <w:r>
        <w:t xml:space="preserve">API anahtarları hiçbir koşulda depoya girmez; yalnızca ortam değişkeni olarak sağlanır.</w:t>
      </w:r>
    </w:p>
    <w:p>
      <w:pPr>
        <w:spacing w:before="240" w:after="60"/>
        <w:jc w:val="center"/>
      </w:pPr>
      <w:r>
        <w:drawing>
          <wp:inline xmlns:wp="http://schemas.openxmlformats.org/drawingml/2006/wordprocessingDrawing" distT="0" distB="0" distL="0" distR="0">
            <wp:extent cx="5486400" cy="3740727"/>
            <wp:effectExtent l="0" t="0" r="0" b="0"/>
            <wp:docPr id="901" name="Seki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ekil1"/>
                    <pic:cNvPicPr/>
                  </pic:nvPicPr>
                  <pic:blipFill>
                    <a:blip xmlns:r="http://schemas.openxmlformats.org/officeDocument/2006/relationships" r:embed="rId101"/>
                    <a:stretch>
                      <a:fillRect/>
                    </a:stretch>
                  </pic:blipFill>
                  <pic:spPr>
                    <a:xfrm>
                      <a:off x="0" y="0"/>
                      <a:ext cx="5486400" cy="3740727"/>
                    </a:xfrm>
                    <a:prstGeom prst="rect">
                      <a:avLst/>
                    </a:prstGeom>
                  </pic:spPr>
                </pic:pic>
              </a:graphicData>
            </a:graphic>
          </wp:inline>
        </w:drawing>
      </w:r>
    </w:p>
    <w:p>
      <w:pPr>
        <w:spacing w:before="0" w:after="200"/>
        <w:jc w:val="center"/>
      </w:pPr>
      <w:r>
        <w:rPr>
          <w:b/>
          <w:sz w:val="20"/>
        </w:rPr>
        <w:t xml:space="preserve">Şekil 1. </w:t>
      </w:r>
      <w:r>
        <w:rPr>
          <w:sz w:val="20"/>
        </w:rPr>
        <w:t>MİHENK Sistem Mimarisi — Katman 1 (yerel) ve Katman 2 (agentik) ayrımı</w:t>
      </w:r>
    </w:p>
    <w:p w14:paraId="5D9EB711" w14:textId="77777777" w:rsidR="003139E6" w:rsidRDefault="00000000">
      <w:pPr>
        <w:spacing w:after="180" w:line="276" w:lineRule="auto"/>
        <w:jc w:val="both"/>
        <w:rPr>
          <w:b/>
          <w:bCs/>
        </w:rPr>
      </w:pPr>
      <w:r>
        <w:rPr>
          <w:b/>
          <w:bCs/>
        </w:rPr>
        <w:t>3.2. Model ve Veri Doğrulama</w:t>
      </w:r>
    </w:p>
    <w:p>
      <w:pPr>
        <w:spacing w:after="180" w:line="276" w:lineRule="auto"/>
        <w:jc w:val="both"/>
      </w:pPr>
      <w:r>
        <w:rPr>
          <w:b/>
          <w:bCs/>
        </w:rPr>
        <w:t xml:space="preserve">Önemli çerçeve notu:</w:t>
      </w:r>
      <w:r>
        <w:t xml:space="preserve"> Bu bölümdeki tüm sayısal sonuçlar, kontrollü bir simülasyon veri kümesi üzerinde yürütülen TEORİK ön hesaplamalardır. Sistem henüz gerçek NSosyal akış verisiyle deneysel olarak sınanmamıştır; bu ölçümler, seçilen yöntemlerin ve eşiklerin tasarım aşamasında gerekçelendirilmesi amacıyla üretilmiştir. Gerçek performans, mentörlük sürecinde (2-7 Eylül 2026) planlanan saha testleriyle belirlenecektir.</w:t>
      </w:r>
    </w:p>
    <w:p>
      <w:pPr>
        <w:spacing w:after="180" w:line="276" w:lineRule="auto"/>
        <w:jc w:val="both"/>
      </w:pPr>
      <w:r>
        <w:t xml:space="preserve">Değerlendirme külliyatı, olay kümeleri etrafında üretilen etiketli sentetik veriden oluşur; her gönderi olay kimliği, çerçeve türü, yapay üretim ve iddia doğruluğu etiketleri taşır. Tespit modelinin eğitim/test bölmesi şablon-ayrık olacak şekilde tasarlanmıştır — test örneklerinin eğitimde görülmemiş kalıplardan üretilmesi, ezberin başarım gibi görünmesini engellemeyi hedeflemektedir.</w:t>
      </w:r>
    </w:p>
    <w:p>
      <w:pPr>
        <w:spacing w:after="180" w:line="276" w:lineRule="auto"/>
        <w:jc w:val="both"/>
      </w:pPr>
      <w:r>
        <w:t xml:space="preserve">Planlanan aşırı öğrenme önlemleri: (1) şablon-ayrık bölme, (2) kümeleme eşiğinin taranıp seçilen değerin gerekçelendirilmesi (Şekil 4), (3) belirsizlik bandı kalibrasyonunun akış dağılımında yapılması, (4) her modelin bir temel çizgiyle birlikte raporlanması.</w:t>
      </w:r>
    </w:p>
    <w:p>
      <w:pPr>
        <w:spacing w:after="180" w:line="276" w:lineRule="auto"/>
        <w:jc w:val="both"/>
      </w:pPr>
      <w:r>
        <w:t xml:space="preserve">Teorik ön hesaplamalar Şekil 2-5'te sunulmuştur: yapay üretim metin tespitinde BERTurk ince ayarın temel çizgiye kıyasla üstünlük göstermesi öngörülmektedir (Şekil 2); kümeleme eşiğinin 0,13 olarak seçilmesi, bölünmenin birleşmeye tercih edilmesi ilkesiyle gerekçelendirilmiştir (Şekil 4); çekimserlik oranının kısa metinlerde daha yüksek çıkması beklenmektedir — bu bir hata değil, tasarımın öngördüğü bir davranıştır (Şekil 3); istem enjeksiyonu savunmasının kurgusal senaryo testinde başarılı olması hedeflenmektedir (Şekil 5).</w:t>
      </w:r>
    </w:p>
    <w:p>
      <w:pPr>
        <w:spacing w:after="180" w:line="276" w:lineRule="auto"/>
        <w:jc w:val="both"/>
      </w:pPr>
      <w:r>
        <w:rPr>
          <w:b/>
          <w:bCs/>
        </w:rPr>
        <w:t xml:space="preserve">Ölçümlerin niteliği:</w:t>
      </w:r>
      <w:r>
        <w:t xml:space="preserve"> Şekil 2 ve Şekil 5'teki değerler simülasyon tasarımının ürettiği üst sınır niteliğindedir ve gerçek kullanıcı davranışını henüz yansıtmamaktadır. Gerçek akış verisinde tespit başarımının düşmesi, çekimserlik oranının artması ve enjeksiyon savunmasında öngörülmemiş saldırı türleriyle karşılaşılması beklenmektedir. Bu nedenle sistem, yüksek teorik başarıma değil düşük yanlış pozitife ve çekimserliğe yaslanacak biçimde tasarlanmıştır. Mentörlük sürecinde bu ön hesaplamaların gerçek örneklem üzerinde deneysel olarak yinelenmesi ve raporlanması hedeflenmektedir.</w:t>
      </w:r>
    </w:p>
    <w:p>
      <w:pPr>
        <w:spacing w:before="240" w:after="60"/>
        <w:jc w:val="center"/>
      </w:pPr>
      <w:r>
        <w:drawing>
          <wp:inline xmlns:wp="http://schemas.openxmlformats.org/drawingml/2006/wordprocessingDrawing" distT="0" distB="0" distL="0" distR="0">
            <wp:extent cx="5486400" cy="3169920"/>
            <wp:effectExtent l="0" t="0" r="0" b="0"/>
            <wp:docPr id="902" name="Seki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ekil2"/>
                    <pic:cNvPicPr/>
                  </pic:nvPicPr>
                  <pic:blipFill>
                    <a:blip xmlns:r="http://schemas.openxmlformats.org/officeDocument/2006/relationships" r:embed="rId102"/>
                    <a:stretch>
                      <a:fillRect/>
                    </a:stretch>
                  </pic:blipFill>
                  <pic:spPr>
                    <a:xfrm>
                      <a:off x="0" y="0"/>
                      <a:ext cx="5486400" cy="3169920"/>
                    </a:xfrm>
                    <a:prstGeom prst="rect">
                      <a:avLst/>
                    </a:prstGeom>
                  </pic:spPr>
                </pic:pic>
              </a:graphicData>
            </a:graphic>
          </wp:inline>
        </w:drawing>
      </w:r>
    </w:p>
    <w:p>
      <w:pPr>
        <w:spacing w:before="0" w:after="200"/>
        <w:jc w:val="center"/>
      </w:pPr>
      <w:r>
        <w:rPr>
          <w:b/>
          <w:sz w:val="20"/>
        </w:rPr>
        <w:t xml:space="preserve">Şekil 2. </w:t>
      </w:r>
      <w:r>
        <w:rPr>
          <w:sz w:val="20"/>
        </w:rPr>
        <w:t>Yapay Üretim Metin Tespiti — Model Karşılaştırması (n=245: 132 yapay, 113 insan)</w:t>
      </w:r>
    </w:p>
    <w:p>
      <w:pPr>
        <w:spacing w:before="240" w:after="60"/>
        <w:jc w:val="center"/>
      </w:pPr>
      <w:r>
        <w:drawing>
          <wp:inline xmlns:wp="http://schemas.openxmlformats.org/drawingml/2006/wordprocessingDrawing" distT="0" distB="0" distL="0" distR="0">
            <wp:extent cx="5486400" cy="3048000"/>
            <wp:effectExtent l="0" t="0" r="0" b="0"/>
            <wp:docPr id="903" name="Sekil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ekil3"/>
                    <pic:cNvPicPr/>
                  </pic:nvPicPr>
                  <pic:blipFill>
                    <a:blip xmlns:r="http://schemas.openxmlformats.org/officeDocument/2006/relationships" r:embed="rId104"/>
                    <a:stretch>
                      <a:fillRect/>
                    </a:stretch>
                  </pic:blipFill>
                  <pic:spPr>
                    <a:xfrm>
                      <a:off x="0" y="0"/>
                      <a:ext cx="5486400" cy="3048000"/>
                    </a:xfrm>
                    <a:prstGeom prst="rect">
                      <a:avLst/>
                    </a:prstGeom>
                  </pic:spPr>
                </pic:pic>
              </a:graphicData>
            </a:graphic>
          </wp:inline>
        </w:drawing>
      </w:r>
    </w:p>
    <w:p>
      <w:pPr>
        <w:spacing w:before="0" w:after="200"/>
        <w:jc w:val="center"/>
      </w:pPr>
      <w:r>
        <w:rPr>
          <w:b/>
          <w:sz w:val="20"/>
        </w:rPr>
        <w:t xml:space="preserve">Şekil 3. </w:t>
      </w:r>
      <w:r>
        <w:rPr>
          <w:sz w:val="20"/>
        </w:rPr>
        <w:t>Kümeleme Eşik Taraması ve Seçilen Eşik Gerekçesi (gömme: multilingual-e5-base)</w:t>
      </w:r>
    </w:p>
    <w:p>
      <w:pPr>
        <w:spacing w:before="240" w:after="60"/>
        <w:jc w:val="center"/>
      </w:pPr>
      <w:r>
        <w:drawing>
          <wp:inline xmlns:wp="http://schemas.openxmlformats.org/drawingml/2006/wordprocessingDrawing" distT="0" distB="0" distL="0" distR="0">
            <wp:extent cx="5486400" cy="3048000"/>
            <wp:effectExtent l="0" t="0" r="0" b="0"/>
            <wp:docPr id="904" name="Sekil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Sekil4"/>
                    <pic:cNvPicPr/>
                  </pic:nvPicPr>
                  <pic:blipFill>
                    <a:blip xmlns:r="http://schemas.openxmlformats.org/officeDocument/2006/relationships" r:embed="rId103"/>
                    <a:stretch>
                      <a:fillRect/>
                    </a:stretch>
                  </pic:blipFill>
                  <pic:spPr>
                    <a:xfrm>
                      <a:off x="0" y="0"/>
                      <a:ext cx="5486400" cy="3048000"/>
                    </a:xfrm>
                    <a:prstGeom prst="rect">
                      <a:avLst/>
                    </a:prstGeom>
                  </pic:spPr>
                </pic:pic>
              </a:graphicData>
            </a:graphic>
          </wp:inline>
        </w:drawing>
      </w:r>
    </w:p>
    <w:p>
      <w:pPr>
        <w:spacing w:before="0" w:after="200"/>
        <w:jc w:val="center"/>
      </w:pPr>
      <w:r>
        <w:rPr>
          <w:b/>
          <w:sz w:val="20"/>
        </w:rPr>
        <w:t xml:space="preserve">Şekil 4. </w:t>
      </w:r>
      <w:r>
        <w:rPr>
          <w:sz w:val="20"/>
        </w:rPr>
        <w:t>Uzunluk Kovasına Göre Çekimserlik Oranı — Çekimserlik Bir Hata Değil, Raporlanan Bir Metriktir</w:t>
      </w:r>
    </w:p>
    <w:p>
      <w:pPr>
        <w:spacing w:before="240" w:after="60"/>
        <w:jc w:val="center"/>
      </w:pPr>
      <w:r>
        <w:drawing>
          <wp:inline xmlns:wp="http://schemas.openxmlformats.org/drawingml/2006/wordprocessingDrawing" distT="0" distB="0" distL="0" distR="0">
            <wp:extent cx="5486400" cy="3291840"/>
            <wp:effectExtent l="0" t="0" r="0" b="0"/>
            <wp:docPr id="905" name="Seki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ekil5"/>
                    <pic:cNvPicPr/>
                  </pic:nvPicPr>
                  <pic:blipFill>
                    <a:blip xmlns:r="http://schemas.openxmlformats.org/officeDocument/2006/relationships" r:embed="rId105"/>
                    <a:stretch>
                      <a:fillRect/>
                    </a:stretch>
                  </pic:blipFill>
                  <pic:spPr>
                    <a:xfrm>
                      <a:off x="0" y="0"/>
                      <a:ext cx="5486400" cy="3291840"/>
                    </a:xfrm>
                    <a:prstGeom prst="rect">
                      <a:avLst/>
                    </a:prstGeom>
                  </pic:spPr>
                </pic:pic>
              </a:graphicData>
            </a:graphic>
          </wp:inline>
        </w:drawing>
      </w:r>
    </w:p>
    <w:p>
      <w:pPr>
        <w:spacing w:before="0" w:after="200"/>
        <w:jc w:val="center"/>
      </w:pPr>
      <w:r>
        <w:rPr>
          <w:b/>
          <w:sz w:val="20"/>
        </w:rPr>
        <w:t xml:space="preserve">Şekil 5. </w:t>
      </w:r>
      <w:r>
        <w:rPr>
          <w:sz w:val="20"/>
        </w:rPr>
        <w:t>İstem Enjeksiyonu Savunma Oranı — 9 Saldırı Türü, 40/40 (%100)</w:t>
      </w:r>
    </w:p>
    <w:p w14:paraId="7461DB81" w14:textId="77777777" w:rsidR="003139E6" w:rsidRDefault="00000000">
      <w:pPr>
        <w:spacing w:after="180" w:line="276" w:lineRule="auto"/>
        <w:jc w:val="both"/>
        <w:rPr>
          <w:b/>
          <w:bCs/>
          <w:i/>
          <w:iCs/>
        </w:rPr>
      </w:pPr>
      <w:r>
        <w:rPr>
          <w:b/>
          <w:bCs/>
        </w:rPr>
        <w:t>3.3. Kullanıcı Deneyimi (UI/UX) Tasarımı</w:t>
      </w:r>
    </w:p>
    <w:p>
      <w:pPr>
        <w:spacing w:after="180" w:line="276" w:lineRule="auto"/>
        <w:jc w:val="both"/>
      </w:pPr>
      <w:r>
        <w:t xml:space="preserve">NSosyal kendini reklamsız, algoritmasız ve kronolojik bir akış olarak tanımlamaktadır. MİHENK bu kimliğe karşı değil, üstüne konumlanır: </w:t>
      </w:r>
      <w:r>
        <w:rPr>
          <w:b/>
          <w:bCs/>
        </w:rPr>
        <w:t xml:space="preserve">akış sırası değişmez</w:t>
      </w:r>
      <w:r>
        <w:t xml:space="preserve">; sistem sıralamaya müdahale etmez, akışın üzerine oturan bir okuma katmanı sunar. Bu ilke özet panelinin kendi başlığında da "Akış sırası değişmez — bu yalnızca bir okuma katmanıdır" ifadesiyle kullanıcıya açıkça bildirilmektedir.</w:t>
      </w:r>
    </w:p>
    <w:p>
      <w:pPr>
        <w:spacing w:after="180" w:line="276" w:lineRule="auto"/>
        <w:jc w:val="both"/>
      </w:pPr>
      <w:r>
        <w:t xml:space="preserve">Dört temel kullanıcı akışı tasarlanmıştır: (1) gündemi kavrama — özet paneli, kategori sekmesi, çerçeve dağılımı; (2) iddia sınama — "Doğrula" düğmesi, sonuç ve kaynak listesi (Şekil 7); (3) bağlamı anlama — gönderi detay sayfası, aynı olaydaki tüm gönderiler; (4) içerik üretici — paylaşım zamanı ve konu önerileri (Şekil 8). Arayüz tasarım kararları gerekçelendirilmiştir: MİHENK eylemleri platformun mavi kimliğinden ayrışması için mor aksanla işaretlenmiş; "Doğrula" yalnızca sınanabilir iddia içeren gönderilerde gösterilmiştir; atıf denetiminden geçemeyip silinen cümle sayısı gizlenmemiştir.</w:t>
      </w:r>
    </w:p>
    <w:p>
      <w:pPr>
        <w:spacing w:after="180" w:line="276" w:lineRule="auto"/>
        <w:jc w:val="both"/>
      </w:pPr>
      <w:r>
        <w:t xml:space="preserve">Erişilebilirlik, sonradan eklenen bir katman değil tasarım kısıtı olarak ele alınmıştır (Şekil 9): açık/koyu tema, %85-150 aralığında yazı boyutu, yüksek kontrast modu, hareketi azaltma seçeneği; kod düzeyinde ARIA rolleri, görünür klavye odak halkaları ve "ana içeriğe geç" bağlantısı uygulanmıştır. Kullanılabilirlik testi, tıklanabilir prototip üzerinde görev tabanlı olarak planlanmış olup sonuçları docs/KULLANILABILIRLIK_TESTI.md belgesinde raporlanmaktadır. Sistem mobil görünümü de desteklemektedir (Şekil 10).</w:t>
      </w:r>
    </w:p>
    <w:p w14:paraId="4685D6C8" w14:textId="77777777" w:rsidR="003139E6" w:rsidRDefault="003139E6">
      <w:pPr>
        <w:pBdr>
          <w:top w:val="nil"/>
          <w:left w:val="nil"/>
          <w:bottom w:val="nil"/>
          <w:right w:val="nil"/>
          <w:between w:val="nil"/>
        </w:pBdr>
        <w:spacing w:before="120" w:after="240" w:line="276" w:lineRule="auto"/>
        <w:ind w:left="-72"/>
        <w:jc w:val="both"/>
        <w:rPr>
          <w:b/>
          <w:bCs/>
        </w:rPr>
      </w:pPr>
    </w:p>
    <w:p>
      <w:pPr>
        <w:spacing w:before="240" w:after="60"/>
        <w:jc w:val="center"/>
      </w:pPr>
      <w:r>
        <w:drawing>
          <wp:inline xmlns:wp="http://schemas.openxmlformats.org/drawingml/2006/wordprocessingDrawing" distT="0" distB="0" distL="0" distR="0">
            <wp:extent cx="5486400" cy="3429000"/>
            <wp:effectExtent l="0" t="0" r="0" b="0"/>
            <wp:docPr id="906" name="Seki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Sekil6"/>
                    <pic:cNvPicPr/>
                  </pic:nvPicPr>
                  <pic:blipFill>
                    <a:blip xmlns:r="http://schemas.openxmlformats.org/officeDocument/2006/relationships" r:embed="rId106"/>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6. </w:t>
      </w:r>
      <w:r>
        <w:rPr>
          <w:sz w:val="20"/>
        </w:rPr>
        <w:t>Ana Akış ve MİHENK Özet Paneli — Çerçeve Dengesi Gösterimi</w:t>
      </w:r>
    </w:p>
    <w:p>
      <w:pPr>
        <w:spacing w:before="240" w:after="60"/>
        <w:jc w:val="center"/>
      </w:pPr>
      <w:r>
        <w:drawing>
          <wp:inline xmlns:wp="http://schemas.openxmlformats.org/drawingml/2006/wordprocessingDrawing" distT="0" distB="0" distL="0" distR="0">
            <wp:extent cx="5486400" cy="3429000"/>
            <wp:effectExtent l="0" t="0" r="0" b="0"/>
            <wp:docPr id="907" name="Sekil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Sekil7"/>
                    <pic:cNvPicPr/>
                  </pic:nvPicPr>
                  <pic:blipFill>
                    <a:blip xmlns:r="http://schemas.openxmlformats.org/officeDocument/2006/relationships" r:embed="rId107"/>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7. </w:t>
      </w:r>
      <w:r>
        <w:rPr>
          <w:sz w:val="20"/>
        </w:rPr>
        <w:t>MİHENK Doğrulama Paneli — Sonuç, Güven Göstergesi ve Kaynak Listesi</w:t>
      </w:r>
    </w:p>
    <w:p>
      <w:pPr>
        <w:spacing w:before="240" w:after="60"/>
        <w:jc w:val="center"/>
      </w:pPr>
      <w:r>
        <w:drawing>
          <wp:inline xmlns:wp="http://schemas.openxmlformats.org/drawingml/2006/wordprocessingDrawing" distT="0" distB="0" distL="0" distR="0">
            <wp:extent cx="5486400" cy="3429000"/>
            <wp:effectExtent l="0" t="0" r="0" b="0"/>
            <wp:docPr id="908" name="Seki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Sekil8"/>
                    <pic:cNvPicPr/>
                  </pic:nvPicPr>
                  <pic:blipFill>
                    <a:blip xmlns:r="http://schemas.openxmlformats.org/officeDocument/2006/relationships" r:embed="rId108"/>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8. </w:t>
      </w:r>
      <w:r>
        <w:rPr>
          <w:sz w:val="20"/>
        </w:rPr>
        <w:t>İçerik Üretici Paneli — Paylaşım Zamanı ve Konu Önerileri</w:t>
      </w:r>
    </w:p>
    <w:p>
      <w:pPr>
        <w:spacing w:before="240" w:after="60"/>
        <w:jc w:val="center"/>
      </w:pPr>
      <w:r>
        <w:drawing>
          <wp:inline xmlns:wp="http://schemas.openxmlformats.org/drawingml/2006/wordprocessingDrawing" distT="0" distB="0" distL="0" distR="0">
            <wp:extent cx="5486400" cy="3429000"/>
            <wp:effectExtent l="0" t="0" r="0" b="0"/>
            <wp:docPr id="909" name="Sekil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Sekil9"/>
                    <pic:cNvPicPr/>
                  </pic:nvPicPr>
                  <pic:blipFill>
                    <a:blip xmlns:r="http://schemas.openxmlformats.org/officeDocument/2006/relationships" r:embed="rId109"/>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9. </w:t>
      </w:r>
      <w:r>
        <w:rPr>
          <w:sz w:val="20"/>
        </w:rPr>
        <w:t>Erişilebilirlik ve Görünüm Ayarları</w:t>
      </w:r>
    </w:p>
    <w:p>
      <w:pPr>
        <w:spacing w:before="240" w:after="60"/>
        <w:jc w:val="center"/>
      </w:pPr>
      <w:r>
        <w:drawing>
          <wp:inline xmlns:wp="http://schemas.openxmlformats.org/drawingml/2006/wordprocessingDrawing" distT="0" distB="0" distL="0" distR="0">
            <wp:extent cx="5486400" cy="11873132"/>
            <wp:effectExtent l="0" t="0" r="0" b="0"/>
            <wp:docPr id="910" name="Seki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Sekil10"/>
                    <pic:cNvPicPr/>
                  </pic:nvPicPr>
                  <pic:blipFill>
                    <a:blip xmlns:r="http://schemas.openxmlformats.org/officeDocument/2006/relationships" r:embed="rId110"/>
                    <a:stretch>
                      <a:fillRect/>
                    </a:stretch>
                  </pic:blipFill>
                  <pic:spPr>
                    <a:xfrm>
                      <a:off x="0" y="0"/>
                      <a:ext cx="5486400" cy="11873132"/>
                    </a:xfrm>
                    <a:prstGeom prst="rect">
                      <a:avLst/>
                    </a:prstGeom>
                  </pic:spPr>
                </pic:pic>
              </a:graphicData>
            </a:graphic>
          </wp:inline>
        </w:drawing>
      </w:r>
    </w:p>
    <w:p>
      <w:pPr>
        <w:spacing w:before="0" w:after="200"/>
        <w:jc w:val="center"/>
      </w:pPr>
      <w:r>
        <w:rPr>
          <w:b/>
          <w:sz w:val="20"/>
        </w:rPr>
        <w:t xml:space="preserve">Şekil 10. </w:t>
      </w:r>
      <w:r>
        <w:rPr>
          <w:sz w:val="20"/>
        </w:rPr>
        <w:t>Mobil Görünüm — Akış ve Özet Paneli</w:t>
      </w:r>
    </w:p>
    <w:p w14:paraId="178D9D03" w14:textId="77777777" w:rsidR="003139E6" w:rsidRDefault="00000000">
      <w:pPr>
        <w:pStyle w:val="Balk1"/>
        <w:numPr>
          <w:ilvl w:val="0"/>
          <w:numId w:val="1"/>
        </w:numPr>
        <w:ind w:left="426" w:hanging="426"/>
        <w:jc w:val="both"/>
      </w:pPr>
      <w:bookmarkStart w:id="4" w:name="_d2me7f8pi3j6" w:colFirst="0" w:colLast="0"/>
      <w:bookmarkEnd w:id="4"/>
      <w:r>
        <w:t>UYGULANABİLİRLİK</w:t>
      </w:r>
    </w:p>
    <w:p w14:paraId="2ECD3436" w14:textId="77777777" w:rsidR="003139E6" w:rsidRDefault="00000000">
      <w:pPr>
        <w:spacing w:after="180" w:line="276" w:lineRule="auto"/>
        <w:jc w:val="both"/>
        <w:rPr>
          <w:b/>
          <w:bCs/>
        </w:rPr>
      </w:pPr>
      <w:r>
        <w:rPr>
          <w:b/>
          <w:bCs/>
        </w:rPr>
        <w:t>4.1. Verimlilik ve Etkinlik</w:t>
      </w:r>
    </w:p>
    <w:p>
      <w:pPr>
        <w:spacing w:after="180" w:line="276" w:lineRule="auto"/>
        <w:jc w:val="both"/>
      </w:pPr>
      <w:r>
        <w:t xml:space="preserve">MİHENK'in verimlilik iddiası ölçülebilir bir varsayıma dayanır: kullanıcı, bir olayı kavramak için akıştaki 10-20 gönderiyi tek tek okumak yerine, olay başına üretilen tek bir dengeli özeti okur. Prototipte üretilen 13 olay kümesinin ortalama gönderi sayısı 12'dir; bu, okunması gereken içerik hacminde kabaca 10 kata varan bir azalmaya karşılık gelir. Doğrulama tarafında kullanıcının akıştan çıkıp ayrı bir arama motoruna geçmesi gerekmez; sonuç ve kaynak akış içinde tek etkileşimle sunulur.</w:t>
      </w:r>
    </w:p>
    <w:p>
      <w:pPr>
        <w:spacing w:after="180" w:line="276" w:lineRule="auto"/>
        <w:jc w:val="both"/>
      </w:pPr>
      <w:r>
        <w:t xml:space="preserve">İçerik üreticileri için verimlilik, toplulaştırılmış etkileşim verisinden çıkarılan paylaşım zamanı ve konu önerileriyle sağlanır. Etkinlik, çekimserlik oranı ve yanlış pozitif oranı gibi ölçülebilir büyüklüklerle raporlanmakta (Bölüm 3.2), iddia edilen faydanın öznel değil sayısal bir dayanağı vardır.</w:t>
      </w:r>
    </w:p>
    <w:p w14:paraId="184997F2" w14:textId="77777777" w:rsidR="003139E6" w:rsidRDefault="00000000">
      <w:pPr>
        <w:spacing w:after="180" w:line="276" w:lineRule="auto"/>
        <w:jc w:val="both"/>
        <w:rPr>
          <w:b/>
          <w:bCs/>
        </w:rPr>
      </w:pPr>
      <w:r>
        <w:rPr>
          <w:b/>
          <w:bCs/>
        </w:rPr>
        <w:t>4.2. Hedef Kitle</w:t>
      </w:r>
    </w:p>
    <w:p>
      <w:pPr>
        <w:spacing w:after="180" w:line="276" w:lineRule="auto"/>
        <w:jc w:val="both"/>
      </w:pPr>
      <w:r>
        <w:t xml:space="preserve">Hedef kitle üç katmanlıdır: (1) günlük gündemi takip etmek isteyen ancak sınırlı zamanı olan genel kullanıcı kitlesi — Türkiye'de internet kullanım oranı %90,9 olup bu kitle geniştir [1]; (2) doğruluğu önemseyen ve dolaşımdaki iddiaları sınamak isteyen kullanıcılar — internet içeriğinin gerçekliğine ilişkin kaygı küresel ölçekte %62'dir [3]; (3) paylaşım stratejisini veriyle şekillendirmek isteyen içerik üreticileri. Ürünün bu kitleyle uyumu, NSosyal'in mevcut kullanıcı tabanına doğrudan konumlanmasından gelir; MİHENK yeni bir kullanıcı kazanımı gerektirmez.</w:t>
      </w:r>
    </w:p>
    <w:p w14:paraId="518FA3F4" w14:textId="77777777" w:rsidR="003139E6" w:rsidRDefault="00000000">
      <w:pPr>
        <w:spacing w:after="180" w:line="276" w:lineRule="auto"/>
        <w:jc w:val="both"/>
        <w:rPr>
          <w:b/>
          <w:bCs/>
        </w:rPr>
      </w:pPr>
      <w:r>
        <w:rPr>
          <w:b/>
          <w:bCs/>
        </w:rPr>
        <w:t>4.3. Teknolojik Yenilik ve Uygulanabilirlik</w:t>
      </w:r>
    </w:p>
    <w:p>
      <w:pPr>
        <w:spacing w:after="180" w:line="276" w:lineRule="auto"/>
        <w:jc w:val="both"/>
      </w:pPr>
      <w:r>
        <w:t xml:space="preserve">Teknolojik yenilik, üç ilkenin (atıf zorunluluğu, çekimserlik, çoğulculuk) yanıt şemasına kodlanmış ve testlerle doğrulanmış olmasındadır (Bölüm 3.1-3.2); bu, özetleme araçlarının "iyi görünen ama doğrulanamayan" çıktı üretme sorununa yapısal bir çözümdür. Projenin hayata geçirilebilir olduğu, çalışan bir prototiple kanıtlanmıştır. Ölçeklenebilirlik, iki katmanlı mimariden gelir: Katman 1 kullanıcı sayısından bağımsız çalışır ve maliyeti doğrusal büyümez; yalnızca Katman 2'deki çağrılar kullanıcı etkileşimiyle orantılı artar.</w:t>
      </w:r>
    </w:p>
    <w:p w14:paraId="05DE06FC" w14:textId="77777777" w:rsidR="003139E6" w:rsidRDefault="003139E6">
      <w:pPr>
        <w:spacing w:after="240" w:line="276" w:lineRule="auto"/>
        <w:ind w:left="-72"/>
        <w:jc w:val="both"/>
        <w:rPr>
          <w:b/>
          <w:bCs/>
        </w:rPr>
      </w:pPr>
    </w:p>
    <w:p w14:paraId="31BEB489" w14:textId="77777777" w:rsidR="003139E6" w:rsidRDefault="00000000">
      <w:pPr>
        <w:pStyle w:val="Balk1"/>
        <w:numPr>
          <w:ilvl w:val="0"/>
          <w:numId w:val="1"/>
        </w:numPr>
        <w:ind w:left="426" w:hanging="426"/>
        <w:jc w:val="both"/>
      </w:pPr>
      <w:bookmarkStart w:id="5" w:name="_lpa6vuy2odia" w:colFirst="0" w:colLast="0"/>
      <w:bookmarkEnd w:id="5"/>
      <w:r>
        <w:t>YAYGIN ETKİ</w:t>
      </w:r>
    </w:p>
    <w:p w14:paraId="7C20AE14" w14:textId="77777777" w:rsidR="003139E6" w:rsidRDefault="00000000">
      <w:pPr>
        <w:spacing w:after="180" w:line="276" w:lineRule="auto"/>
        <w:jc w:val="both"/>
        <w:rPr>
          <w:b/>
          <w:bCs/>
        </w:rPr>
      </w:pPr>
      <w:r>
        <w:rPr>
          <w:b/>
          <w:bCs/>
        </w:rPr>
        <w:t>5.1. Toplumsal Fayda ve Erişim Potansiyeli</w:t>
      </w:r>
    </w:p>
    <w:p>
      <w:pPr>
        <w:spacing w:after="180" w:line="276" w:lineRule="auto"/>
        <w:jc w:val="both"/>
      </w:pPr>
      <w:r>
        <w:t xml:space="preserve">MİHENK'in geniş kullanıcı kitlelerine ulaşma potansiyeli, NSosyal'in mevcut kullanıcı tabanına doğrudan konumlanmasından gelir. Sosyal medya ekosistemine katkısı, bilgi aşırı yüklenmesi ve doğrulama maliyeti gibi platform-bağımsız iki soruna somut bir çözüm mekanizması sunmasıdır.</w:t>
      </w:r>
    </w:p>
    <w:p>
      <w:pPr>
        <w:spacing w:after="180" w:line="276" w:lineRule="auto"/>
        <w:jc w:val="both"/>
      </w:pPr>
      <w:r>
        <w:t xml:space="preserve">Toplumsal fayda oluşturma kapasitesi iki örnekle açıklanabilir: sistem "doğrulanamadı" ile "yanlış"ı ayırt ederek hem yanlış bilginin yayılmasını azaltır hem de belirsiz bilginin yanlış damgalanmasını önler; bot ve manipülasyon işaretleri içeriği gizlemeden yalnızca bağlam sunarak ifade özgürlüğünü kısıtlamadan farkındalık artırır. Dijital yaşam kalitesine etkisi, kullanıcıyı ekranda tutmak yerine ihtiyacı olan bilgiye en kısa yoldan ulaştırmayı hedefleyen tasarım felsefesinden gelir; bu, NSosyal'in reklamsız ve algoritmasız kimliğiyle doğrudan örtüşür.</w:t>
      </w:r>
    </w:p>
    <w:p w14:paraId="3679FEB1" w14:textId="77777777" w:rsidR="003139E6" w:rsidRDefault="003139E6">
      <w:pPr>
        <w:spacing w:after="240" w:line="276" w:lineRule="auto"/>
        <w:jc w:val="both"/>
        <w:rPr>
          <w:b/>
          <w:bCs/>
        </w:rPr>
      </w:pPr>
    </w:p>
    <w:p w14:paraId="012C97FC" w14:textId="77777777" w:rsidR="003139E6" w:rsidRDefault="003139E6">
      <w:pPr>
        <w:spacing w:before="120" w:after="240"/>
        <w:jc w:val="both"/>
      </w:pPr>
    </w:p>
    <w:p w14:paraId="26CF3D32" w14:textId="77777777" w:rsidR="003139E6" w:rsidRDefault="00000000">
      <w:pPr>
        <w:pStyle w:val="Balk1"/>
        <w:numPr>
          <w:ilvl w:val="0"/>
          <w:numId w:val="1"/>
        </w:numPr>
        <w:ind w:left="426" w:hanging="426"/>
        <w:jc w:val="both"/>
      </w:pPr>
      <w:bookmarkStart w:id="6" w:name="_xk8n68vdui2l" w:colFirst="0" w:colLast="0"/>
      <w:bookmarkEnd w:id="6"/>
      <w:r>
        <w:t>SÜRDÜRÜLEBİLİRLİK</w:t>
      </w:r>
    </w:p>
    <w:p w14:paraId="776B65CD" w14:textId="77777777" w:rsidR="003139E6" w:rsidRDefault="00000000">
      <w:pPr>
        <w:spacing w:after="180" w:line="276" w:lineRule="auto"/>
        <w:jc w:val="both"/>
        <w:rPr>
          <w:b/>
          <w:bCs/>
        </w:rPr>
      </w:pPr>
      <w:r>
        <w:rPr>
          <w:b/>
          <w:bCs/>
        </w:rPr>
        <w:t>6.1. Ticarileştirme Potansiyeli ve İş Modeli</w:t>
      </w:r>
    </w:p>
    <w:p>
      <w:pPr>
        <w:spacing w:after="180" w:line="276" w:lineRule="auto"/>
        <w:jc w:val="both"/>
      </w:pPr>
      <w:r>
        <w:t xml:space="preserve">MİHENK'in gelir modeli üç katmanlıdır: </w:t>
      </w:r>
      <w:r>
        <w:rPr>
          <w:b/>
          <w:bCs/>
        </w:rPr>
        <w:t xml:space="preserve">(1) İçerik üretici analitiği (B2C, isteğe bağlı)</w:t>
      </w:r>
      <w:r>
        <w:t xml:space="preserve"> — temel özet ve doğrulama tüm kullanıcılara ücretsizdir, gelişmiş analitik isteğe bağlı abonelik katmanına taşınabilir; </w:t>
      </w:r>
      <w:r>
        <w:rPr>
          <w:b/>
          <w:bCs/>
        </w:rPr>
        <w:t xml:space="preserve">(2) Kurumsal doğrulama API'si (B2B)</w:t>
      </w:r>
      <w:r>
        <w:t xml:space="preserve"> — haber kuruluşları ve markalar kendi içeriklerini doğrulama motoru üzerinden API erişimiyle taratabilir; </w:t>
      </w:r>
      <w:r>
        <w:rPr>
          <w:b/>
          <w:bCs/>
        </w:rPr>
        <w:t xml:space="preserve">(3) Platform lisanslama</w:t>
      </w:r>
      <w:r>
        <w:t xml:space="preserve"> — istemci-servis ayrımlı mimari, ileride başka platformlara lisanslanabilir bir "doğrulama katmanı" ürünü olma potansiyeli taşır. Ürünün mevcut pazar şartlarında üretilebilirliği, prototipin hâlihazırda çalışıyor olmasından gelir.</w:t>
      </w:r>
    </w:p>
    <w:p w14:paraId="601AA99C" w14:textId="77777777" w:rsidR="003139E6" w:rsidRDefault="00000000">
      <w:pPr>
        <w:spacing w:after="180" w:line="276" w:lineRule="auto"/>
        <w:jc w:val="both"/>
        <w:rPr>
          <w:b/>
          <w:bCs/>
        </w:rPr>
      </w:pPr>
      <w:r>
        <w:rPr>
          <w:b/>
          <w:bCs/>
        </w:rPr>
        <w:t>6.2. Finansal, Teknik ve Sosyal Sürdürülebilirlik</w:t>
      </w:r>
    </w:p>
    <w:p>
      <w:pPr>
        <w:spacing w:after="180" w:line="276" w:lineRule="auto"/>
        <w:jc w:val="both"/>
      </w:pPr>
      <w:r>
        <w:rPr>
          <w:b/>
          <w:bCs/>
        </w:rPr>
        <w:t xml:space="preserve">Finansal sürdürülebilirlik</w:t>
      </w:r>
      <w:r>
        <w:t xml:space="preserve">, maliyet yapısının kullanıcı sayısıyla doğrusal büyümemesinden gelir; en sık çalışan bileşenler yerel modellerle yürütüldüğü için birim maliyet düşüktür. </w:t>
      </w:r>
      <w:r>
        <w:rPr>
          <w:b/>
          <w:bCs/>
        </w:rPr>
        <w:t xml:space="preserve">Teknik sürdürülebilirlik</w:t>
      </w:r>
      <w:r>
        <w:t xml:space="preserve">, istemci ile uygulama servisinin tiplenmiş bir API sözleşmesi üzerinden ayrıştırılmasından gelir; model bileşenleri birbirinden bağımsız modüllerdir. </w:t>
      </w:r>
      <w:r>
        <w:rPr>
          <w:b/>
          <w:bCs/>
        </w:rPr>
        <w:t xml:space="preserve">Sosyal sürdürülebilirlik</w:t>
      </w:r>
      <w:r>
        <w:t xml:space="preserve">, çekimserlik oranı ve tespit başarımının düzenli yeniden ölçülebilmesinden, kullanıcı itiraz mekanizmasından (/api/itiraz) ve KVKK kapsamında her an değiştirilebilir rıza tercihleri ile "unutulma hakkı" uç noktasından (/api/yonetisim/unut) gelir [6].</w:t>
      </w:r>
    </w:p>
    <w:p w14:paraId="123D3A67" w14:textId="77777777" w:rsidR="003139E6" w:rsidRDefault="003139E6">
      <w:pPr>
        <w:spacing w:before="120" w:after="240" w:line="276" w:lineRule="auto"/>
        <w:jc w:val="both"/>
        <w:rPr>
          <w:b/>
          <w:bCs/>
        </w:rPr>
      </w:pPr>
    </w:p>
    <w:p w14:paraId="51F64561" w14:textId="77777777" w:rsidR="003139E6" w:rsidRDefault="00000000">
      <w:pPr>
        <w:pStyle w:val="Balk1"/>
        <w:numPr>
          <w:ilvl w:val="0"/>
          <w:numId w:val="1"/>
        </w:numPr>
        <w:tabs>
          <w:tab w:val="left" w:pos="142"/>
        </w:tabs>
        <w:ind w:left="426" w:hanging="426"/>
        <w:jc w:val="both"/>
      </w:pPr>
      <w:bookmarkStart w:id="7" w:name="_wa4u9oy9l2oc" w:colFirst="0" w:colLast="0"/>
      <w:bookmarkEnd w:id="7"/>
      <w:r>
        <w:t xml:space="preserve">PROJE TAKVİMİ </w:t>
      </w:r>
    </w:p>
    <w:p w14:paraId="6FD06A69" w14:textId="77777777" w:rsidR="003139E6" w:rsidRDefault="00000000">
      <w:pPr>
        <w:spacing w:after="180" w:line="276" w:lineRule="auto"/>
        <w:jc w:val="both"/>
        <w:rPr>
          <w:b/>
          <w:bCs/>
        </w:rPr>
      </w:pPr>
      <w:r>
        <w:rPr>
          <w:b/>
          <w:bCs/>
        </w:rPr>
        <w:t>7.1. İş Paketleri ve Zamanlama</w:t>
      </w:r>
    </w:p>
    <w:p>
      <w:pPr>
        <w:spacing w:after="180" w:line="276" w:lineRule="auto"/>
        <w:jc w:val="both"/>
      </w:pPr>
      <w:r>
        <w:t xml:space="preserve">Proje takvimi, yarışma takviminde belirtilen tarihlerle çelişmeyecek şekilde planlanmıştır. Aşağıdaki tablo iş paketlerini, alt faaliyetlerini ve kilometre taşlarını gösterir.</w:t>
      </w:r>
    </w:p>
    <w:tbl>
      <w:tblPr>
        <w:tblW w:w="10000" w:type="dxa"/>
        <w:tblBorders>
          <w:top w:val="single" w:sz="4" w:color="8A8A8A"/>
          <w:left w:val="single" w:sz="4" w:color="8A8A8A"/>
          <w:bottom w:val="single" w:sz="4" w:color="8A8A8A"/>
          <w:right w:val="single" w:sz="4" w:color="8A8A8A"/>
          <w:insideH w:val="single" w:sz="4" w:color="8A8A8A"/>
          <w:insideV w:val="single" w:sz="4" w:color="8A8A8A"/>
        </w:tblBorders>
        <w:tblLayout w:type="fixed"/>
      </w:tblPr>
      <w:tblGrid>
        <w:gridCol w:w="3200"/>
        <w:gridCol w:w="4200"/>
        <w:gridCol w:w="2600"/>
      </w:tblGrid>
      <w:tr>
        <w:tc>
          <w:tcPr>
            <w:tcW w:w="3200" w:type="dxa"/>
            <w:shd w:val="clear" w:fill="EDEDED"/>
          </w:tcPr>
          <w:p>
            <w:pPr>
              <w:spacing w:after="40" w:line="240" w:lineRule="auto"/>
              <w:rPr>
                <w:sz w:val="19"/>
              </w:rPr>
            </w:pPr>
            <w:r>
              <w:rPr>
                <w:b/>
                <w:bCs/>
                <w:sz w:val="19"/>
              </w:rPr>
              <w:t xml:space="preserve">İş Paketi / Kilometre Taşı</w:t>
            </w:r>
          </w:p>
        </w:tc>
        <w:tc>
          <w:tcPr>
            <w:tcW w:w="4200" w:type="dxa"/>
            <w:shd w:val="clear" w:fill="EDEDED"/>
          </w:tcPr>
          <w:p>
            <w:pPr>
              <w:spacing w:after="40" w:line="240" w:lineRule="auto"/>
              <w:rPr>
                <w:sz w:val="19"/>
              </w:rPr>
            </w:pPr>
            <w:r>
              <w:rPr>
                <w:b/>
                <w:bCs/>
                <w:sz w:val="19"/>
              </w:rPr>
              <w:t xml:space="preserve">Alt Faaliyet</w:t>
            </w:r>
          </w:p>
        </w:tc>
        <w:tc>
          <w:tcPr>
            <w:tcW w:w="2600" w:type="dxa"/>
            <w:shd w:val="clear" w:fill="EDEDED"/>
          </w:tcPr>
          <w:p>
            <w:pPr>
              <w:spacing w:after="40" w:line="240" w:lineRule="auto"/>
              <w:rPr>
                <w:sz w:val="19"/>
              </w:rPr>
            </w:pPr>
            <w:r>
              <w:rPr>
                <w:b/>
                <w:bCs/>
                <w:sz w:val="19"/>
              </w:rPr>
              <w:t xml:space="preserve">Dönem</w:t>
            </w:r>
          </w:p>
        </w:tc>
      </w:tr>
      <w:tr>
        <w:tc>
          <w:tcPr>
            <w:tcW w:w="3200" w:type="dxa"/>
          </w:tcPr>
          <w:p>
            <w:pPr>
              <w:spacing w:after="40" w:line="240" w:lineRule="auto"/>
              <w:rPr>
                <w:sz w:val="19"/>
              </w:rPr>
            </w:pPr>
            <w:r>
              <w:rPr>
                <w:sz w:val="19"/>
              </w:rPr>
              <w:t xml:space="preserve">İP1 — Temel Altyapı</w:t>
            </w:r>
          </w:p>
        </w:tc>
        <w:tc>
          <w:tcPr>
            <w:tcW w:w="4200" w:type="dxa"/>
          </w:tcPr>
          <w:p>
            <w:pPr>
              <w:spacing w:after="40" w:line="240" w:lineRule="auto"/>
              <w:rPr>
                <w:sz w:val="19"/>
              </w:rPr>
            </w:pPr>
            <w:r>
              <w:rPr>
                <w:sz w:val="19"/>
              </w:rPr>
              <w:t xml:space="preserve">Simülasyon veri kümesi, arayüz iskeleti, API sözleşmesi</w:t>
            </w:r>
          </w:p>
        </w:tc>
        <w:tc>
          <w:tcPr>
            <w:tcW w:w="2600" w:type="dxa"/>
          </w:tcPr>
          <w:p>
            <w:pPr>
              <w:spacing w:after="40" w:line="240" w:lineRule="auto"/>
              <w:rPr>
                <w:sz w:val="19"/>
              </w:rPr>
            </w:pPr>
            <w:r>
              <w:rPr>
                <w:sz w:val="19"/>
              </w:rPr>
              <w:t xml:space="preserve">Tamamlandı</w:t>
            </w:r>
          </w:p>
        </w:tc>
      </w:tr>
      <w:tr>
        <w:tc>
          <w:tcPr>
            <w:tcW w:w="3200" w:type="dxa"/>
          </w:tcPr>
          <w:p>
            <w:pPr>
              <w:spacing w:after="40" w:line="240" w:lineRule="auto"/>
              <w:rPr>
                <w:sz w:val="19"/>
              </w:rPr>
            </w:pPr>
            <w:r>
              <w:rPr>
                <w:sz w:val="19"/>
              </w:rPr>
              <w:t xml:space="preserve">İP2 — Teknik Rapor</w:t>
            </w:r>
          </w:p>
        </w:tc>
        <w:tc>
          <w:tcPr>
            <w:tcW w:w="4200" w:type="dxa"/>
          </w:tcPr>
          <w:p>
            <w:pPr>
              <w:spacing w:after="40" w:line="240" w:lineRule="auto"/>
              <w:rPr>
                <w:sz w:val="19"/>
              </w:rPr>
            </w:pPr>
            <w:r>
              <w:rPr>
                <w:sz w:val="19"/>
              </w:rPr>
              <w:t xml:space="preserve">Bölüm yazımı, uyum denetimi, görsel üretimi, format kontrolü</w:t>
            </w:r>
          </w:p>
        </w:tc>
        <w:tc>
          <w:tcPr>
            <w:tcW w:w="2600" w:type="dxa"/>
          </w:tcPr>
          <w:p>
            <w:pPr>
              <w:spacing w:after="40" w:line="240" w:lineRule="auto"/>
              <w:rPr>
                <w:sz w:val="19"/>
              </w:rPr>
            </w:pPr>
            <w:r>
              <w:rPr>
                <w:sz w:val="19"/>
              </w:rPr>
              <w:t xml:space="preserve">Tamamlandı — 24 Ağustos teslim</w:t>
            </w:r>
          </w:p>
        </w:tc>
      </w:tr>
      <w:tr>
        <w:tc>
          <w:tcPr>
            <w:tcW w:w="3200" w:type="dxa"/>
          </w:tcPr>
          <w:p>
            <w:pPr>
              <w:spacing w:after="40" w:line="240" w:lineRule="auto"/>
              <w:rPr>
                <w:sz w:val="19"/>
              </w:rPr>
            </w:pPr>
            <w:r>
              <w:rPr>
                <w:sz w:val="19"/>
              </w:rPr>
              <w:t xml:space="preserve">İP3 — Mentörlük Entegrasyonu</w:t>
            </w:r>
          </w:p>
        </w:tc>
        <w:tc>
          <w:tcPr>
            <w:tcW w:w="4200" w:type="dxa"/>
          </w:tcPr>
          <w:p>
            <w:pPr>
              <w:spacing w:after="40" w:line="240" w:lineRule="auto"/>
              <w:rPr>
                <w:sz w:val="19"/>
              </w:rPr>
            </w:pPr>
            <w:r>
              <w:rPr>
                <w:sz w:val="19"/>
              </w:rPr>
              <w:t xml:space="preserve">Mentör geri bildirimlerinin mimariye işlenmesi</w:t>
            </w:r>
          </w:p>
        </w:tc>
        <w:tc>
          <w:tcPr>
            <w:tcW w:w="2600" w:type="dxa"/>
          </w:tcPr>
          <w:p>
            <w:pPr>
              <w:spacing w:after="40" w:line="240" w:lineRule="auto"/>
              <w:rPr>
                <w:sz w:val="19"/>
              </w:rPr>
            </w:pPr>
            <w:r>
              <w:rPr>
                <w:sz w:val="19"/>
              </w:rPr>
              <w:t xml:space="preserve">2-7 Eylül 2026</w:t>
            </w:r>
          </w:p>
        </w:tc>
      </w:tr>
      <w:tr>
        <w:tc>
          <w:tcPr>
            <w:tcW w:w="3200" w:type="dxa"/>
          </w:tcPr>
          <w:p>
            <w:pPr>
              <w:spacing w:after="40" w:line="240" w:lineRule="auto"/>
              <w:rPr>
                <w:sz w:val="19"/>
              </w:rPr>
            </w:pPr>
            <w:r>
              <w:rPr>
                <w:sz w:val="19"/>
              </w:rPr>
              <w:t xml:space="preserve">İP4 — Model Olgunlaştırma</w:t>
            </w:r>
          </w:p>
        </w:tc>
        <w:tc>
          <w:tcPr>
            <w:tcW w:w="4200" w:type="dxa"/>
          </w:tcPr>
          <w:p>
            <w:pPr>
              <w:spacing w:after="40" w:line="240" w:lineRule="auto"/>
              <w:rPr>
                <w:sz w:val="19"/>
              </w:rPr>
            </w:pPr>
            <w:r>
              <w:rPr>
                <w:sz w:val="19"/>
              </w:rPr>
              <w:t xml:space="preserve">Modellerin gerçek akış verisiyle yeniden kalibrasyonu</w:t>
            </w:r>
          </w:p>
        </w:tc>
        <w:tc>
          <w:tcPr>
            <w:tcW w:w="2600" w:type="dxa"/>
          </w:tcPr>
          <w:p>
            <w:pPr>
              <w:spacing w:after="40" w:line="240" w:lineRule="auto"/>
              <w:rPr>
                <w:sz w:val="19"/>
              </w:rPr>
            </w:pPr>
            <w:r>
              <w:rPr>
                <w:sz w:val="19"/>
              </w:rPr>
              <w:t xml:space="preserve">2-10 Eylül 2026</w:t>
            </w:r>
          </w:p>
        </w:tc>
      </w:tr>
      <w:tr>
        <w:tc>
          <w:tcPr>
            <w:tcW w:w="3200" w:type="dxa"/>
          </w:tcPr>
          <w:p>
            <w:pPr>
              <w:spacing w:after="40" w:line="240" w:lineRule="auto"/>
              <w:rPr>
                <w:sz w:val="19"/>
              </w:rPr>
            </w:pPr>
            <w:r>
              <w:rPr>
                <w:sz w:val="19"/>
              </w:rPr>
              <w:t xml:space="preserve">İP5 — Arayüz Tamamlama</w:t>
            </w:r>
          </w:p>
        </w:tc>
        <w:tc>
          <w:tcPr>
            <w:tcW w:w="4200" w:type="dxa"/>
          </w:tcPr>
          <w:p>
            <w:pPr>
              <w:spacing w:after="40" w:line="240" w:lineRule="auto"/>
              <w:rPr>
                <w:sz w:val="19"/>
              </w:rPr>
            </w:pPr>
            <w:r>
              <w:rPr>
                <w:sz w:val="19"/>
              </w:rPr>
              <w:t xml:space="preserve">İçerik üretici, KVKK akışı, erişilebilirlik son hâli</w:t>
            </w:r>
          </w:p>
        </w:tc>
        <w:tc>
          <w:tcPr>
            <w:tcW w:w="2600" w:type="dxa"/>
          </w:tcPr>
          <w:p>
            <w:pPr>
              <w:spacing w:after="40" w:line="240" w:lineRule="auto"/>
              <w:rPr>
                <w:sz w:val="19"/>
              </w:rPr>
            </w:pPr>
            <w:r>
              <w:rPr>
                <w:sz w:val="19"/>
              </w:rPr>
              <w:t xml:space="preserve">2-10 Eylül 2026</w:t>
            </w:r>
          </w:p>
        </w:tc>
      </w:tr>
      <w:tr>
        <w:tc>
          <w:tcPr>
            <w:tcW w:w="3200" w:type="dxa"/>
          </w:tcPr>
          <w:p>
            <w:pPr>
              <w:spacing w:after="40" w:line="240" w:lineRule="auto"/>
              <w:rPr>
                <w:sz w:val="19"/>
              </w:rPr>
            </w:pPr>
            <w:r>
              <w:rPr>
                <w:sz w:val="19"/>
              </w:rPr>
              <w:t xml:space="preserve">İP6 — Kullanılabilirlik Testi</w:t>
            </w:r>
          </w:p>
        </w:tc>
        <w:tc>
          <w:tcPr>
            <w:tcW w:w="4200" w:type="dxa"/>
          </w:tcPr>
          <w:p>
            <w:pPr>
              <w:spacing w:after="40" w:line="240" w:lineRule="auto"/>
              <w:rPr>
                <w:sz w:val="19"/>
              </w:rPr>
            </w:pPr>
            <w:r>
              <w:rPr>
                <w:sz w:val="19"/>
              </w:rPr>
              <w:t xml:space="preserve">5 kullanıcıyla görev tabanlı test</w:t>
            </w:r>
          </w:p>
        </w:tc>
        <w:tc>
          <w:tcPr>
            <w:tcW w:w="2600" w:type="dxa"/>
          </w:tcPr>
          <w:p>
            <w:pPr>
              <w:spacing w:after="40" w:line="240" w:lineRule="auto"/>
              <w:rPr>
                <w:sz w:val="19"/>
              </w:rPr>
            </w:pPr>
            <w:r>
              <w:rPr>
                <w:sz w:val="19"/>
              </w:rPr>
              <w:t xml:space="preserve">8-11 Eylül 2026</w:t>
            </w:r>
          </w:p>
        </w:tc>
      </w:tr>
      <w:tr>
        <w:tc>
          <w:tcPr>
            <w:tcW w:w="3200" w:type="dxa"/>
          </w:tcPr>
          <w:p>
            <w:pPr>
              <w:spacing w:after="40" w:line="240" w:lineRule="auto"/>
              <w:rPr>
                <w:sz w:val="19"/>
              </w:rPr>
            </w:pPr>
            <w:r>
              <w:rPr>
                <w:sz w:val="19"/>
              </w:rPr>
              <w:t xml:space="preserve">İP7 — Entegrasyon ve Uçtan Uca Test</w:t>
            </w:r>
          </w:p>
        </w:tc>
        <w:tc>
          <w:tcPr>
            <w:tcW w:w="4200" w:type="dxa"/>
          </w:tcPr>
          <w:p>
            <w:pPr>
              <w:spacing w:after="40" w:line="240" w:lineRule="auto"/>
              <w:rPr>
                <w:sz w:val="19"/>
              </w:rPr>
            </w:pPr>
            <w:r>
              <w:rPr>
                <w:sz w:val="19"/>
              </w:rPr>
              <w:t xml:space="preserve">Arayüz-servis entegrasyonu, demo provası</w:t>
            </w:r>
          </w:p>
        </w:tc>
        <w:tc>
          <w:tcPr>
            <w:tcW w:w="2600" w:type="dxa"/>
          </w:tcPr>
          <w:p>
            <w:pPr>
              <w:spacing w:after="40" w:line="240" w:lineRule="auto"/>
              <w:rPr>
                <w:sz w:val="19"/>
              </w:rPr>
            </w:pPr>
            <w:r>
              <w:rPr>
                <w:sz w:val="19"/>
              </w:rPr>
              <w:t xml:space="preserve">11-13 Eylül 2026</w:t>
            </w:r>
          </w:p>
        </w:tc>
      </w:tr>
      <w:tr>
        <w:tc>
          <w:tcPr>
            <w:tcW w:w="3200" w:type="dxa"/>
          </w:tcPr>
          <w:p>
            <w:pPr>
              <w:spacing w:after="40" w:line="240" w:lineRule="auto"/>
              <w:rPr>
                <w:sz w:val="19"/>
              </w:rPr>
            </w:pPr>
            <w:r>
              <w:rPr>
                <w:sz w:val="19"/>
              </w:rPr>
              <w:t xml:space="preserve">İP8 — Final Sunum Hazırlığı</w:t>
            </w:r>
          </w:p>
        </w:tc>
        <w:tc>
          <w:tcPr>
            <w:tcW w:w="4200" w:type="dxa"/>
          </w:tcPr>
          <w:p>
            <w:pPr>
              <w:spacing w:after="40" w:line="240" w:lineRule="auto"/>
              <w:rPr>
                <w:sz w:val="19"/>
              </w:rPr>
            </w:pPr>
            <w:r>
              <w:rPr>
                <w:sz w:val="19"/>
              </w:rPr>
              <w:t xml:space="preserve">Sunum dosyası, demo videosu, canlı demo provası</w:t>
            </w:r>
          </w:p>
        </w:tc>
        <w:tc>
          <w:tcPr>
            <w:tcW w:w="2600" w:type="dxa"/>
          </w:tcPr>
          <w:p>
            <w:pPr>
              <w:spacing w:after="40" w:line="240" w:lineRule="auto"/>
              <w:rPr>
                <w:sz w:val="19"/>
              </w:rPr>
            </w:pPr>
            <w:r>
              <w:rPr>
                <w:sz w:val="19"/>
              </w:rPr>
              <w:t xml:space="preserve">11-14 Eylül 2026</w:t>
            </w:r>
          </w:p>
        </w:tc>
      </w:tr>
      <w:tr>
        <w:tc>
          <w:tcPr>
            <w:tcW w:w="3200" w:type="dxa"/>
          </w:tcPr>
          <w:p>
            <w:pPr>
              <w:spacing w:after="40" w:line="240" w:lineRule="auto"/>
              <w:rPr>
                <w:sz w:val="19"/>
              </w:rPr>
            </w:pPr>
            <w:r>
              <w:rPr>
                <w:sz w:val="19"/>
              </w:rPr>
              <w:t xml:space="preserve">Kilometre Taşı — Final Sunum Teslimi</w:t>
            </w:r>
          </w:p>
        </w:tc>
        <w:tc>
          <w:tcPr>
            <w:tcW w:w="4200" w:type="dxa"/>
          </w:tcPr>
          <w:p>
            <w:pPr>
              <w:spacing w:after="40" w:line="240" w:lineRule="auto"/>
              <w:rPr>
                <w:sz w:val="19"/>
              </w:rPr>
            </w:pPr>
            <w:r>
              <w:rPr>
                <w:sz w:val="19"/>
              </w:rPr>
              <w:t xml:space="preserve">—</w:t>
            </w:r>
          </w:p>
        </w:tc>
        <w:tc>
          <w:tcPr>
            <w:tcW w:w="2600" w:type="dxa"/>
          </w:tcPr>
          <w:p>
            <w:pPr>
              <w:spacing w:after="40" w:line="240" w:lineRule="auto"/>
              <w:rPr>
                <w:sz w:val="19"/>
              </w:rPr>
            </w:pPr>
            <w:r>
              <w:rPr>
                <w:sz w:val="19"/>
              </w:rPr>
              <w:t xml:space="preserve">14 Eylül 2026</w:t>
            </w:r>
          </w:p>
        </w:tc>
      </w:tr>
      <w:tr>
        <w:tc>
          <w:tcPr>
            <w:tcW w:w="3200" w:type="dxa"/>
          </w:tcPr>
          <w:p>
            <w:pPr>
              <w:spacing w:after="40" w:line="240" w:lineRule="auto"/>
              <w:rPr>
                <w:sz w:val="19"/>
              </w:rPr>
            </w:pPr>
            <w:r>
              <w:rPr>
                <w:sz w:val="19"/>
              </w:rPr>
              <w:t xml:space="preserve">Kilometre Taşı — Canlı Sunum</w:t>
            </w:r>
          </w:p>
        </w:tc>
        <w:tc>
          <w:tcPr>
            <w:tcW w:w="4200" w:type="dxa"/>
          </w:tcPr>
          <w:p>
            <w:pPr>
              <w:spacing w:after="40" w:line="240" w:lineRule="auto"/>
              <w:rPr>
                <w:sz w:val="19"/>
              </w:rPr>
            </w:pPr>
            <w:r>
              <w:rPr>
                <w:sz w:val="19"/>
              </w:rPr>
              <w:t xml:space="preserve">—</w:t>
            </w:r>
          </w:p>
        </w:tc>
        <w:tc>
          <w:tcPr>
            <w:tcW w:w="2600" w:type="dxa"/>
          </w:tcPr>
          <w:p>
            <w:pPr>
              <w:spacing w:after="40" w:line="240" w:lineRule="auto"/>
              <w:rPr>
                <w:sz w:val="19"/>
              </w:rPr>
            </w:pPr>
            <w:r>
              <w:rPr>
                <w:sz w:val="19"/>
              </w:rPr>
              <w:t xml:space="preserve">20 Eylül 2026</w:t>
            </w:r>
          </w:p>
        </w:tc>
      </w:tr>
      <w:tr>
        <w:tc>
          <w:tcPr>
            <w:tcW w:w="3200" w:type="dxa"/>
          </w:tcPr>
          <w:p>
            <w:pPr>
              <w:spacing w:after="40" w:line="240" w:lineRule="auto"/>
              <w:rPr>
                <w:sz w:val="19"/>
              </w:rPr>
            </w:pPr>
            <w:r>
              <w:rPr>
                <w:sz w:val="19"/>
              </w:rPr>
              <w:t xml:space="preserve">İP9 — Festival Hazırlığı</w:t>
            </w:r>
          </w:p>
        </w:tc>
        <w:tc>
          <w:tcPr>
            <w:tcW w:w="4200" w:type="dxa"/>
          </w:tcPr>
          <w:p>
            <w:pPr>
              <w:spacing w:after="40" w:line="240" w:lineRule="auto"/>
              <w:rPr>
                <w:sz w:val="19"/>
              </w:rPr>
            </w:pPr>
            <w:r>
              <w:rPr>
                <w:sz w:val="19"/>
              </w:rPr>
              <w:t xml:space="preserve">Stant materyali, canlı demo altyapısı</w:t>
            </w:r>
          </w:p>
        </w:tc>
        <w:tc>
          <w:tcPr>
            <w:tcW w:w="2600" w:type="dxa"/>
          </w:tcPr>
          <w:p>
            <w:pPr>
              <w:spacing w:after="40" w:line="240" w:lineRule="auto"/>
              <w:rPr>
                <w:sz w:val="19"/>
              </w:rPr>
            </w:pPr>
            <w:r>
              <w:rPr>
                <w:sz w:val="19"/>
              </w:rPr>
              <w:t xml:space="preserve">20-29 Eylül 2026</w:t>
            </w:r>
          </w:p>
        </w:tc>
      </w:tr>
      <w:tr>
        <w:tc>
          <w:tcPr>
            <w:tcW w:w="3200" w:type="dxa"/>
          </w:tcPr>
          <w:p>
            <w:pPr>
              <w:spacing w:after="40" w:line="240" w:lineRule="auto"/>
              <w:rPr>
                <w:sz w:val="19"/>
              </w:rPr>
            </w:pPr>
            <w:r>
              <w:rPr>
                <w:sz w:val="19"/>
              </w:rPr>
              <w:t xml:space="preserve">Kilometre Taşı — TEKNOFEST Şanlıurfa</w:t>
            </w:r>
          </w:p>
        </w:tc>
        <w:tc>
          <w:tcPr>
            <w:tcW w:w="4200" w:type="dxa"/>
          </w:tcPr>
          <w:p>
            <w:pPr>
              <w:spacing w:after="40" w:line="240" w:lineRule="auto"/>
              <w:rPr>
                <w:sz w:val="19"/>
              </w:rPr>
            </w:pPr>
            <w:r>
              <w:rPr>
                <w:sz w:val="19"/>
              </w:rPr>
              <w:t xml:space="preserve">—</w:t>
            </w:r>
          </w:p>
        </w:tc>
        <w:tc>
          <w:tcPr>
            <w:tcW w:w="2600" w:type="dxa"/>
          </w:tcPr>
          <w:p>
            <w:pPr>
              <w:spacing w:after="40" w:line="240" w:lineRule="auto"/>
              <w:rPr>
                <w:sz w:val="19"/>
              </w:rPr>
            </w:pPr>
            <w:r>
              <w:rPr>
                <w:sz w:val="19"/>
              </w:rPr>
              <w:t xml:space="preserve">30 Eylül - 4 Ekim 2026</w:t>
            </w:r>
          </w:p>
        </w:tc>
      </w:tr>
    </w:tbl>
    <w:p>
      <w:pPr>
        <w:spacing w:after="120" w:line="240" w:lineRule="auto"/>
      </w:pPr>
    </w:p>
    <w:p w14:paraId="73A318C1" w14:textId="77777777" w:rsidR="003139E6" w:rsidRDefault="003139E6">
      <w:pPr>
        <w:spacing w:after="0" w:line="276" w:lineRule="auto"/>
        <w:jc w:val="both"/>
        <w:rPr>
          <w:b/>
          <w:bCs/>
        </w:rPr>
      </w:pPr>
    </w:p>
    <w:p w14:paraId="52F995B4" w14:textId="77777777" w:rsidR="003139E6" w:rsidRDefault="003139E6">
      <w:pPr>
        <w:spacing w:line="276" w:lineRule="auto"/>
        <w:jc w:val="both"/>
      </w:pPr>
    </w:p>
    <w:p w14:paraId="4BF10251" w14:textId="77777777" w:rsidR="003139E6" w:rsidRDefault="00000000">
      <w:pPr>
        <w:pStyle w:val="Balk1"/>
        <w:numPr>
          <w:ilvl w:val="0"/>
          <w:numId w:val="1"/>
        </w:numPr>
        <w:ind w:left="426"/>
        <w:jc w:val="both"/>
      </w:pPr>
      <w:bookmarkStart w:id="8" w:name="_tethsyb7zuzi" w:colFirst="0" w:colLast="0"/>
      <w:bookmarkEnd w:id="8"/>
      <w:r>
        <w:t>TAKIM YAPISI</w:t>
      </w:r>
    </w:p>
    <w:p w14:paraId="77F2B4CA" w14:textId="77777777" w:rsidR="003139E6" w:rsidRDefault="00000000">
      <w:pPr>
        <w:spacing w:after="180" w:line="276" w:lineRule="auto"/>
        <w:jc w:val="both"/>
        <w:rPr>
          <w:b/>
          <w:bCs/>
        </w:rPr>
      </w:pPr>
      <w:r>
        <w:rPr>
          <w:b/>
          <w:bCs/>
        </w:rPr>
        <w:t>8.1. Takım Organizasyonu ve Roller</w:t>
      </w:r>
    </w:p>
    <w:p>
      <w:pPr>
        <w:spacing w:after="180" w:line="276" w:lineRule="auto"/>
        <w:jc w:val="both"/>
      </w:pPr>
      <w:r>
        <w:t xml:space="preserve">Ekip üyelerinin görev dağılımı aşağıda tabulaştırılmıştır.</w:t>
      </w:r>
    </w:p>
    <w:tbl>
      <w:tblPr>
        <w:tblW w:w="10000" w:type="dxa"/>
        <w:tblBorders>
          <w:top w:val="single" w:sz="4" w:color="8A8A8A"/>
          <w:left w:val="single" w:sz="4" w:color="8A8A8A"/>
          <w:bottom w:val="single" w:sz="4" w:color="8A8A8A"/>
          <w:right w:val="single" w:sz="4" w:color="8A8A8A"/>
          <w:insideH w:val="single" w:sz="4" w:color="8A8A8A"/>
          <w:insideV w:val="single" w:sz="4" w:color="8A8A8A"/>
        </w:tblBorders>
        <w:tblLayout w:type="fixed"/>
      </w:tblPr>
      <w:tblGrid>
        <w:gridCol w:w="2400"/>
        <w:gridCol w:w="3200"/>
        <w:gridCol w:w="4400"/>
      </w:tblGrid>
      <w:tr>
        <w:tc>
          <w:tcPr>
            <w:tcW w:w="2400" w:type="dxa"/>
            <w:shd w:val="clear" w:fill="EDEDED"/>
          </w:tcPr>
          <w:p>
            <w:pPr>
              <w:spacing w:after="40" w:line="240" w:lineRule="auto"/>
              <w:rPr>
                <w:sz w:val="19"/>
              </w:rPr>
            </w:pPr>
            <w:r>
              <w:rPr>
                <w:b/>
                <w:bCs/>
                <w:sz w:val="19"/>
              </w:rPr>
              <w:t xml:space="preserve">Rol</w:t>
            </w:r>
          </w:p>
        </w:tc>
        <w:tc>
          <w:tcPr>
            <w:tcW w:w="3200" w:type="dxa"/>
            <w:shd w:val="clear" w:fill="EDEDED"/>
          </w:tcPr>
          <w:p>
            <w:pPr>
              <w:spacing w:after="40" w:line="240" w:lineRule="auto"/>
              <w:rPr>
                <w:sz w:val="19"/>
              </w:rPr>
            </w:pPr>
            <w:r>
              <w:rPr>
                <w:b/>
                <w:bCs/>
                <w:sz w:val="19"/>
              </w:rPr>
              <w:t xml:space="preserve">Disiplin</w:t>
            </w:r>
          </w:p>
        </w:tc>
        <w:tc>
          <w:tcPr>
            <w:tcW w:w="4400" w:type="dxa"/>
            <w:shd w:val="clear" w:fill="EDEDED"/>
          </w:tcPr>
          <w:p>
            <w:pPr>
              <w:spacing w:after="40" w:line="240" w:lineRule="auto"/>
              <w:rPr>
                <w:sz w:val="19"/>
              </w:rPr>
            </w:pPr>
            <w:r>
              <w:rPr>
                <w:b/>
                <w:bCs/>
                <w:sz w:val="19"/>
              </w:rPr>
              <w:t xml:space="preserve">Projeye Katkısı</w:t>
            </w:r>
          </w:p>
        </w:tc>
      </w:tr>
      <w:tr>
        <w:tc>
          <w:tcPr>
            <w:tcW w:w="2400" w:type="dxa"/>
          </w:tcPr>
          <w:p>
            <w:pPr>
              <w:spacing w:after="40" w:line="240" w:lineRule="auto"/>
              <w:rPr>
                <w:sz w:val="19"/>
              </w:rPr>
            </w:pPr>
            <w:r>
              <w:rPr>
                <w:sz w:val="19"/>
              </w:rPr>
              <w:t xml:space="preserve">Takım Kaptanı</w:t>
            </w:r>
          </w:p>
        </w:tc>
        <w:tc>
          <w:tcPr>
            <w:tcW w:w="3200" w:type="dxa"/>
          </w:tcPr>
          <w:p>
            <w:pPr>
              <w:spacing w:after="40" w:line="240" w:lineRule="auto"/>
              <w:rPr>
                <w:sz w:val="19"/>
              </w:rPr>
            </w:pPr>
            <w:r>
              <w:rPr>
                <w:sz w:val="19"/>
              </w:rPr>
              <w:t xml:space="preserve">Yazılım Mühendisliği — Frontend/Ürün</w:t>
            </w:r>
          </w:p>
        </w:tc>
        <w:tc>
          <w:tcPr>
            <w:tcW w:w="4400" w:type="dxa"/>
          </w:tcPr>
          <w:p>
            <w:pPr>
              <w:spacing w:after="40" w:line="240" w:lineRule="auto"/>
              <w:rPr>
                <w:sz w:val="19"/>
              </w:rPr>
            </w:pPr>
            <w:r>
              <w:rPr>
                <w:sz w:val="19"/>
              </w:rPr>
              <w:t xml:space="preserve">NSosyal simülasyon arayüzü, UI/UX, kullanıcı akışları, kullanılabilirlik testi, proje koordinasyonu</w:t>
            </w:r>
          </w:p>
        </w:tc>
      </w:tr>
      <w:tr>
        <w:tc>
          <w:tcPr>
            <w:tcW w:w="2400" w:type="dxa"/>
          </w:tcPr>
          <w:p>
            <w:pPr>
              <w:spacing w:after="40" w:line="240" w:lineRule="auto"/>
              <w:rPr>
                <w:sz w:val="19"/>
              </w:rPr>
            </w:pPr>
            <w:r>
              <w:rPr>
                <w:sz w:val="19"/>
              </w:rPr>
              <w:t xml:space="preserve">YZ Geliştirme ve Entegrasyon Sorumlusu</w:t>
            </w:r>
          </w:p>
        </w:tc>
        <w:tc>
          <w:tcPr>
            <w:tcW w:w="3200" w:type="dxa"/>
          </w:tcPr>
          <w:p>
            <w:pPr>
              <w:spacing w:after="40" w:line="240" w:lineRule="auto"/>
              <w:rPr>
                <w:sz w:val="19"/>
              </w:rPr>
            </w:pPr>
            <w:r>
              <w:rPr>
                <w:sz w:val="19"/>
              </w:rPr>
              <w:t xml:space="preserve">Yazılım Mühendisliği — YZ/Backend</w:t>
            </w:r>
          </w:p>
        </w:tc>
        <w:tc>
          <w:tcPr>
            <w:tcW w:w="4400" w:type="dxa"/>
          </w:tcPr>
          <w:p>
            <w:pPr>
              <w:spacing w:after="40" w:line="240" w:lineRule="auto"/>
              <w:rPr>
                <w:sz w:val="19"/>
              </w:rPr>
            </w:pPr>
            <w:r>
              <w:rPr>
                <w:sz w:val="19"/>
              </w:rPr>
              <w:t xml:space="preserve">Özetleme/tespit/kümeleme modelleri, agentik doğrulama mimarisi, model değerlendirme, KVKK ve güvenlik</w:t>
            </w:r>
          </w:p>
        </w:tc>
      </w:tr>
      <w:tr>
        <w:tc>
          <w:tcPr>
            <w:tcW w:w="2400" w:type="dxa"/>
          </w:tcPr>
          <w:p>
            <w:pPr>
              <w:spacing w:after="40" w:line="240" w:lineRule="auto"/>
              <w:rPr>
                <w:sz w:val="19"/>
              </w:rPr>
            </w:pPr>
            <w:r>
              <w:rPr>
                <w:sz w:val="19"/>
              </w:rPr>
              <w:t xml:space="preserve">Akademik Danışman</w:t>
            </w:r>
          </w:p>
        </w:tc>
        <w:tc>
          <w:tcPr>
            <w:tcW w:w="3200" w:type="dxa"/>
          </w:tcPr>
          <w:p>
            <w:pPr>
              <w:spacing w:after="40" w:line="240" w:lineRule="auto"/>
              <w:rPr>
                <w:sz w:val="19"/>
              </w:rPr>
            </w:pPr>
            <w:r>
              <w:rPr>
                <w:sz w:val="19"/>
              </w:rPr>
              <w:t xml:space="preserve">Öğretim Üyesi</w:t>
            </w:r>
          </w:p>
        </w:tc>
        <w:tc>
          <w:tcPr>
            <w:tcW w:w="4400" w:type="dxa"/>
          </w:tcPr>
          <w:p>
            <w:pPr>
              <w:spacing w:after="40" w:line="240" w:lineRule="auto"/>
              <w:rPr>
                <w:sz w:val="19"/>
              </w:rPr>
            </w:pPr>
            <w:r>
              <w:rPr>
                <w:sz w:val="19"/>
              </w:rPr>
              <w:t xml:space="preserve">Teknik ve akademik süreç danışmanlığı; final sürecinde rehberlik</w:t>
            </w:r>
          </w:p>
        </w:tc>
      </w:tr>
    </w:tbl>
    <w:p>
      <w:pPr>
        <w:spacing w:after="120" w:line="240" w:lineRule="auto"/>
      </w:pPr>
    </w:p>
    <w:p>
      <w:pPr>
        <w:spacing w:after="180" w:line="276" w:lineRule="auto"/>
        <w:jc w:val="both"/>
        <w:rPr>
          <w:i/>
          <w:iCs/>
          <w:color w:val="595959"/>
        </w:rPr>
      </w:pPr>
      <w:r>
        <w:rPr>
          <w:i/>
          <w:iCs/>
          <w:color w:val="595959"/>
        </w:rPr>
        <w:t xml:space="preserve">Değerlendirme esasları gereği takım üyelerinin isim ve fotoğraf gibi kişisel bilgilerine bu bölümde yer verilmemiştir. Takım, yazılım geliştirme ve yapay zekâ disiplinlerini kapsayan iki üyeden oluşmaktadır; mentörlük sürecinde ek bir üyenin katılımı değerlendirilmektedir.</w:t>
      </w:r>
    </w:p>
    <w:p w14:paraId="1D50791C" w14:textId="77777777" w:rsidR="003139E6" w:rsidRDefault="003139E6">
      <w:pPr>
        <w:spacing w:line="276" w:lineRule="auto"/>
        <w:jc w:val="both"/>
        <w:rPr>
          <w:b/>
          <w:bCs/>
        </w:rPr>
      </w:pPr>
    </w:p>
    <w:p w14:paraId="3342EFEE" w14:textId="77777777" w:rsidR="003139E6" w:rsidRDefault="00000000">
      <w:pPr>
        <w:pStyle w:val="Balk1"/>
        <w:numPr>
          <w:ilvl w:val="0"/>
          <w:numId w:val="1"/>
        </w:numPr>
        <w:ind w:left="426"/>
        <w:jc w:val="both"/>
      </w:pPr>
      <w:bookmarkStart w:id="9" w:name="_xydeovno1gp9" w:colFirst="0" w:colLast="0"/>
      <w:bookmarkEnd w:id="9"/>
      <w:r>
        <w:t>KAYNAKÇA</w:t>
      </w:r>
    </w:p>
    <w:p>
      <w:pPr>
        <w:spacing w:after="180" w:line="276" w:lineRule="auto"/>
        <w:jc w:val="both"/>
      </w:pPr>
      <w:r>
        <w:t xml:space="preserve">[1] Türkiye İstatistik Kurumu, Hanehalkı Bilişim Teknolojileri (BT) Kullanım Araştırması 2025, 27.08.2025, Erişim: 22.08.2026, https://www.tuik.gov.tr</w:t>
      </w:r>
    </w:p>
    <w:p>
      <w:pPr>
        <w:spacing w:after="180" w:line="276" w:lineRule="auto"/>
        <w:jc w:val="both"/>
      </w:pPr>
      <w:r>
        <w:t xml:space="preserve">[2] Kemp, S., Digital 2026: Turkey, DataReportal, 2026, Erişim: 22.08.2026, https://datareportal.com/reports/digital-2026-turkey</w:t>
      </w:r>
    </w:p>
    <w:p>
      <w:pPr>
        <w:spacing w:after="180" w:line="276" w:lineRule="auto"/>
        <w:jc w:val="both"/>
      </w:pPr>
      <w:r>
        <w:t xml:space="preserve">[3] Reuters Institute for the Study of Journalism, Digital News Report 2026, University of Oxford, 2026, Erişim: 22.08.2026, https://reutersinstitute.politics.ox.ac.uk/digital-news-report/2026/dnr-executive-summary</w:t>
      </w:r>
    </w:p>
    <w:p>
      <w:pPr>
        <w:spacing w:after="180" w:line="276" w:lineRule="auto"/>
        <w:jc w:val="both"/>
      </w:pPr>
      <w:r>
        <w:t xml:space="preserve">[4] Schweter, S., BERTurk — BERT models for Turkish, 2020, Erişim: 22.08.2026, https://doi.org/10.5281/zenodo.3770924</w:t>
      </w:r>
    </w:p>
    <w:p>
      <w:pPr>
        <w:spacing w:after="180" w:line="276" w:lineRule="auto"/>
        <w:jc w:val="both"/>
      </w:pPr>
      <w:r>
        <w:t xml:space="preserve">[5] Wang, L. ve diğerleri, (2024) Multilingual E5 Text Embeddings: A Technical Report, arXiv:2402.05672, https://doi.org/10.48550/arXiv.2402.05672</w:t>
      </w:r>
    </w:p>
    <w:p>
      <w:pPr>
        <w:spacing w:after="180" w:line="276" w:lineRule="auto"/>
        <w:jc w:val="both"/>
      </w:pPr>
      <w:r>
        <w:t xml:space="preserve">[6] 6698 Sayılı Kişisel Verilerin Korunması Kanunu, T.C. Resmî Gazete, 07.04.2016, Erişim: 22.08.2026, https://www.mevzuat.gov.tr/mevzuat?MevzuatNo=6698&amp;MevzuatTur=1&amp;MevzuatTertip=5</w:t>
      </w:r>
    </w:p>
    <w:p w14:paraId="26B64029" w14:textId="77777777" w:rsidR="003139E6" w:rsidRDefault="00000000">
      <w:pPr>
        <w:numPr>
          <w:ilvl w:val="0"/>
          <w:numId w:val="2"/>
        </w:numPr>
        <w:spacing w:before="240" w:after="0" w:line="276" w:lineRule="auto"/>
      </w:pPr>
      <w:r>
        <w:lastRenderedPageBreak/>
        <w:t>Dijital/Web Kaynak: Yazarların Soyadı, adlarının Baş Harfi., Yazının Başlığı, Yazının Tarihi, Erişim Tarihi, Erişim adresi.</w:t>
      </w:r>
    </w:p>
    <w:p w14:paraId="38C82A6E" w14:textId="77777777" w:rsidR="003139E6" w:rsidRDefault="00000000">
      <w:pPr>
        <w:numPr>
          <w:ilvl w:val="0"/>
          <w:numId w:val="2"/>
        </w:numPr>
        <w:spacing w:after="0" w:line="276" w:lineRule="auto"/>
      </w:pPr>
      <w:r>
        <w:t>akademik Kaynak: Yazarların Soyadı, adlarının Baş Harfi., (Basım Tarihi) Yazının Başlığı, (Varsa) Derginin adı, (Varsa) Sayısı, Sayfa numarası, DOI.</w:t>
      </w:r>
    </w:p>
    <w:p w14:paraId="72108703" w14:textId="77777777" w:rsidR="003139E6" w:rsidRDefault="00000000">
      <w:pPr>
        <w:numPr>
          <w:ilvl w:val="0"/>
          <w:numId w:val="2"/>
        </w:numPr>
        <w:spacing w:after="240" w:line="276" w:lineRule="auto"/>
      </w:pPr>
      <w:r>
        <w:t>Önceki yarışma/rapor alıntıları metin içinde şu formatta belirtilir: (Yıl, Yarışma adı, Kategori, Takım adı).</w:t>
      </w:r>
    </w:p>
    <w:p w14:paraId="7F18821C" w14:textId="77777777" w:rsidR="003139E6" w:rsidRDefault="003139E6">
      <w:pPr>
        <w:spacing w:line="276" w:lineRule="auto"/>
        <w:jc w:val="both"/>
      </w:pPr>
    </w:p>
    <w:p w14:paraId="6A446E78" w14:textId="77777777" w:rsidR="003139E6" w:rsidRDefault="003139E6">
      <w:pPr>
        <w:pStyle w:val="Balk1"/>
        <w:jc w:val="both"/>
      </w:pPr>
      <w:bookmarkStart w:id="10" w:name="_1mc7qrenibrm" w:colFirst="0" w:colLast="0"/>
      <w:bookmarkEnd w:id="10"/>
    </w:p>
    <w:sectPr w:rsidR="003139E6">
      <w:headerReference w:type="default" r:id="rId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246EC7" w14:textId="77777777" w:rsidR="002F546C" w:rsidRDefault="002F546C">
      <w:pPr>
        <w:spacing w:after="0" w:line="240" w:lineRule="auto"/>
      </w:pPr>
      <w:r>
        <w:separator/>
      </w:r>
    </w:p>
  </w:endnote>
  <w:endnote w:type="continuationSeparator" w:id="0">
    <w:p w14:paraId="7BA87B7C" w14:textId="77777777" w:rsidR="002F546C" w:rsidRDefault="002F5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C2C72AF9-D4A4-453C-9E64-7B1E5E17A279}"/>
    <w:embedBold r:id="rId2" w:fontKey="{8F5E98C4-DF60-4A1D-BEDC-694A9D2DE912}"/>
  </w:font>
  <w:font w:name="Georgia">
    <w:panose1 w:val="02040502050405020303"/>
    <w:charset w:val="A2"/>
    <w:family w:val="roman"/>
    <w:pitch w:val="variable"/>
    <w:sig w:usb0="00000287" w:usb1="00000000" w:usb2="00000000" w:usb3="00000000" w:csb0="0000009F" w:csb1="00000000"/>
    <w:embedItalic r:id="rId3" w:fontKey="{09495800-44DA-4255-AF22-4FEB3BB2637C}"/>
  </w:font>
  <w:font w:name="Calibri">
    <w:panose1 w:val="020F0502020204030204"/>
    <w:charset w:val="A2"/>
    <w:family w:val="swiss"/>
    <w:pitch w:val="variable"/>
    <w:sig w:usb0="E4002EFF" w:usb1="C200247B" w:usb2="00000009" w:usb3="00000000" w:csb0="000001FF" w:csb1="00000000"/>
    <w:embedRegular r:id="rId4" w:fontKey="{B7925781-84BA-47BF-9863-F31971B9EEBC}"/>
  </w:font>
  <w:font w:name="Cambria">
    <w:panose1 w:val="02040503050406030204"/>
    <w:charset w:val="A2"/>
    <w:family w:val="roman"/>
    <w:pitch w:val="variable"/>
    <w:sig w:usb0="E00006FF" w:usb1="420024FF" w:usb2="02000000" w:usb3="00000000" w:csb0="0000019F" w:csb1="00000000"/>
    <w:embedRegular r:id="rId5" w:fontKey="{BBF6501E-0176-457E-8969-90B34D339F2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F354C" w14:textId="77777777" w:rsidR="002F546C" w:rsidRDefault="002F546C">
      <w:pPr>
        <w:spacing w:after="0" w:line="240" w:lineRule="auto"/>
      </w:pPr>
      <w:r>
        <w:separator/>
      </w:r>
    </w:p>
  </w:footnote>
  <w:footnote w:type="continuationSeparator" w:id="0">
    <w:p w14:paraId="3AD4E0CA" w14:textId="77777777" w:rsidR="002F546C" w:rsidRDefault="002F54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8058" w14:textId="77777777" w:rsidR="003139E6" w:rsidRDefault="00000000">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95.2pt;height:841.9pt;z-index:-251658752;mso-position-horizontal:center;mso-position-horizontal-relative:margin;mso-position-vertical:center;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8439059">
    <w:abstractNumId w:val="0"/>
  </w:num>
  <w:num w:numId="2" w16cid:durableId="430703211">
    <w:abstractNumId w:val="2"/>
  </w:num>
  <w:num w:numId="3" w16cid:durableId="180219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9E6"/>
    <w:rsid w:val="00296FC7"/>
    <w:rsid w:val="002F546C"/>
    <w:rsid w:val="003139E6"/>
    <w:rsid w:val="003900F3"/>
    <w:rsid w:val="00B674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7784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tr" w:eastAsia="tr-TR"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13</Pages>
  <Words>2174</Words>
  <Characters>12398</Characters>
  <Application>Microsoft Office Word</Application>
  <DocSecurity>0</DocSecurity>
  <Lines>103</Lines>
  <Paragraphs>29</Paragraphs>
  <ScaleCrop>false</ScaleCrop>
  <Company/>
  <LinksUpToDate>false</LinksUpToDate>
  <CharactersWithSpaces>14543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Mustafa Furat</cp:lastModifiedBy>
  <cp:revision>4</cp:revision>
  <dcterms:created xsi:type="dcterms:W3CDTF">2026-08-13T09:17:00Z</dcterms:created>
  <dcterms:modified xsi:type="dcterms:W3CDTF">2026-08-13T09:20:00Z</dcterms:modified>
</cp:coreProperties>
</file>