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B2A4A"/>
          <w:sz w:val="80"/>
          <w:szCs w:val="80"/>
        </w:rPr>
        <w:t xml:space="preserve">ZOLVO</w:t>
      </w:r>
    </w:p>
    <w:p>
      <w:pPr>
        <w:spacing w:after="200" w:before="0"/>
        <w:jc w:val="center"/>
      </w:pPr>
      <w:r>
        <w:rPr>
          <w:rFonts w:ascii="Arial" w:cs="Arial" w:eastAsia="Arial" w:hAnsi="Arial"/>
          <w:color w:val="2E4E8A"/>
          <w:sz w:val="36"/>
          <w:szCs w:val="36"/>
        </w:rPr>
        <w:t xml:space="preserve">Case Study Analiz Raporu</w:t>
      </w:r>
    </w:p>
    <w:p>
      <w:pPr>
        <w:pBdr>
          <w:top w:val="single" w:color="3B82F6" w:sz="2"/>
        </w:pBdr>
        <w:spacing w:after="80" w:before="0"/>
        <w:jc w:val="center"/>
      </w:pPr>
      <w:r>
        <w:rPr>
          <w:sz w:val="22"/>
          <w:szCs w:val="22"/>
        </w:rPr>
        <w:t xml:space="preserve"/>
      </w:r>
    </w:p>
    <w:p>
      <w:pPr>
        <w:spacing w:after="0" w:before="80"/>
      </w:pPr>
      <w:r>
        <w:t xml:space="preserve"/>
      </w:r>
    </w:p>
    <w:p>
      <w:pPr>
        <w:spacing w:after="80" w:before="0"/>
        <w:jc w:val="center"/>
      </w:pPr>
      <w:r>
        <w:rPr>
          <w:rFonts w:ascii="Arial" w:cs="Arial" w:eastAsia="Arial" w:hAnsi="Arial"/>
          <w:color w:val="4B5563"/>
          <w:sz w:val="24"/>
          <w:szCs w:val="24"/>
        </w:rPr>
        <w:t xml:space="preserve">Oktavis × Tessera Lab | Yetenek Staj Programı Türkiye 2026</w:t>
      </w:r>
    </w:p>
    <w:p>
      <w:pPr>
        <w:spacing w:after="80" w:before="0"/>
        <w:jc w:val="center"/>
      </w:pPr>
      <w:r>
        <w:rPr>
          <w:rFonts w:ascii="Arial" w:cs="Arial" w:eastAsia="Arial" w:hAnsi="Arial"/>
          <w:color w:val="4B5563"/>
          <w:sz w:val="24"/>
          <w:szCs w:val="24"/>
        </w:rPr>
        <w:t xml:space="preserve">Hazırlayan: Emre  |  Tarih: Haziran 2026</w:t>
      </w:r>
    </w:p>
    <w:p>
      <w:pPr>
        <w:spacing w:after="0" w:before="200"/>
      </w:pPr>
      <w:r>
        <w:t xml:space="preserve"/>
      </w:r>
    </w:p>
    <w:p>
      <w:pPr>
        <w:shd w:fill="EEF4FF" w:val="clear"/>
        <w:spacing w:after="80" w:before="0"/>
        <w:jc w:val="center"/>
      </w:pPr>
      <w:r>
        <w:rPr>
          <w:rFonts w:ascii="Arial" w:cs="Arial" w:eastAsia="Arial" w:hAnsi="Arial"/>
          <w:i/>
          <w:iCs/>
          <w:color w:val="2E4E8A"/>
          <w:sz w:val="26"/>
          <w:szCs w:val="26"/>
        </w:rPr>
        <w:t xml:space="preserve">“AI Back-Office Automation for Commercial Lenders”</w:t>
      </w:r>
    </w:p>
    <w:p>
      <w:r>
        <w:br w:type="page"/>
      </w:r>
    </w:p>
    <w:p>
      <w:pPr>
        <w:pStyle w:val="Heading1"/>
        <w:pBdr>
          <w:bottom w:val="single" w:color="3B82F6" w:sz="4"/>
        </w:pBdr>
        <w:shd w:fill="1B2A4A" w:val="clear"/>
        <w:spacing w:after="200" w:before="400"/>
        <w:ind w:left="200" w:right="200"/>
      </w:pPr>
      <w:r>
        <w:rPr>
          <w:rFonts w:ascii="Arial" w:cs="Arial" w:eastAsia="Arial" w:hAnsi="Arial"/>
          <w:b/>
          <w:bCs/>
          <w:color w:val="FFFFFF"/>
          <w:sz w:val="36"/>
          <w:szCs w:val="36"/>
        </w:rPr>
        <w:t xml:space="preserve">BÖLÜM 1 — Genel Ürün &amp; Pazar Analizi</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1. Ürün ve Sektör</w:t>
      </w:r>
    </w:p>
    <w:p>
      <w:pPr>
        <w:spacing w:after="120" w:before="240"/>
      </w:pPr>
      <w:r>
        <w:rPr>
          <w:rFonts w:ascii="Arial" w:cs="Arial" w:eastAsia="Arial" w:hAnsi="Arial"/>
          <w:b/>
          <w:bCs/>
          <w:color w:val="1B2A4A"/>
          <w:sz w:val="24"/>
          <w:szCs w:val="24"/>
        </w:rPr>
        <w:t xml:space="preserve">Ürün Ne İş Yapıyor?</w:t>
      </w:r>
    </w:p>
    <w:p>
      <w:pPr>
        <w:spacing w:after="120" w:before="80" w:line="276"/>
      </w:pPr>
      <w:r>
        <w:rPr>
          <w:rFonts w:ascii="Arial" w:cs="Arial" w:eastAsia="Arial" w:hAnsi="Arial"/>
          <w:color w:val="1B2A4A"/>
          <w:sz w:val="22"/>
          <w:szCs w:val="22"/>
        </w:rPr>
        <w:t xml:space="preserve">Zolvo, ticari kredi kuruluşlarının (factoring şirketleri ve Asset-Based Lending — ABL kurumları) tüm arka ofis operasyonlarını yapay zeka ile otomatize eden bir B2B SaaS platformudur. Platform; otomatik veri alımı (data ingestion), fatura uzlaştırma (invoice reconciliation), tahsilat iletişimi (collections outreach) ve funder izleme (funder monitoring) işlemlerini AI ajanları aracılığıyla yürütür. Müşteri ekipleri yalnızca istisnalar (exceptions) ile ilgilenir.</w:t>
      </w:r>
    </w:p>
    <w:p>
      <w:pPr>
        <w:spacing w:after="120" w:before="240"/>
      </w:pPr>
      <w:r>
        <w:rPr>
          <w:rFonts w:ascii="Arial" w:cs="Arial" w:eastAsia="Arial" w:hAnsi="Arial"/>
          <w:b/>
          <w:bCs/>
          <w:color w:val="1B2A4A"/>
          <w:sz w:val="24"/>
          <w:szCs w:val="24"/>
        </w:rPr>
        <w:t xml:space="preserve">Sektör Konumlanması</w:t>
      </w:r>
    </w:p>
    <w:p>
      <w:pPr>
        <w:spacing w:after="120" w:before="80" w:line="276"/>
      </w:pPr>
      <w:r>
        <w:rPr>
          <w:rFonts w:ascii="Arial" w:cs="Arial" w:eastAsia="Arial" w:hAnsi="Arial"/>
          <w:color w:val="1B2A4A"/>
          <w:sz w:val="22"/>
          <w:szCs w:val="22"/>
        </w:rPr>
        <w:t xml:space="preserve">Zolvo, FinTech × B2B SaaS kesişiminde konumlanmaktadır:</w:t>
      </w:r>
    </w:p>
    <w:p>
      <w:pPr>
        <w:pStyle w:val="ListParagraph"/>
        <w:numPr>
          <w:ilvl w:val="0"/>
          <w:numId w:val="2"/>
        </w:numPr>
        <w:spacing w:after="60" w:before="60" w:line="276"/>
      </w:pPr>
      <w:r>
        <w:rPr>
          <w:rFonts w:ascii="Arial" w:cs="Arial" w:eastAsia="Arial" w:hAnsi="Arial"/>
          <w:color w:val="1B2A4A"/>
          <w:sz w:val="22"/>
          <w:szCs w:val="22"/>
        </w:rPr>
        <w:t xml:space="preserve">Ticari kredi servisleme yazılımı (Commercial Loan Servicing Software)</w:t>
      </w:r>
    </w:p>
    <w:p>
      <w:pPr>
        <w:pStyle w:val="ListParagraph"/>
        <w:numPr>
          <w:ilvl w:val="0"/>
          <w:numId w:val="2"/>
        </w:numPr>
        <w:spacing w:after="60" w:before="60" w:line="276"/>
      </w:pPr>
      <w:r>
        <w:rPr>
          <w:rFonts w:ascii="Arial" w:cs="Arial" w:eastAsia="Arial" w:hAnsi="Arial"/>
          <w:color w:val="1B2A4A"/>
          <w:sz w:val="22"/>
          <w:szCs w:val="22"/>
        </w:rPr>
        <w:t xml:space="preserve">Yapay zeka destekli finansal arka ofis otomasyonu</w:t>
      </w:r>
    </w:p>
    <w:p>
      <w:pPr>
        <w:pStyle w:val="ListParagraph"/>
        <w:numPr>
          <w:ilvl w:val="0"/>
          <w:numId w:val="2"/>
        </w:numPr>
        <w:spacing w:after="60" w:before="60" w:line="276"/>
      </w:pPr>
      <w:r>
        <w:rPr>
          <w:rFonts w:ascii="Arial" w:cs="Arial" w:eastAsia="Arial" w:hAnsi="Arial"/>
          <w:color w:val="1B2A4A"/>
          <w:sz w:val="22"/>
          <w:szCs w:val="22"/>
        </w:rPr>
        <w:t xml:space="preserve">Factoring &amp; ABL operasyon teknolojisi (OperTech)</w:t>
      </w:r>
    </w:p>
    <w:p>
      <w:pPr>
        <w:spacing w:after="0" w:before="80"/>
      </w:pPr>
      <w:r>
        <w:t xml:space="preserve"/>
      </w:r>
    </w:p>
    <w:p>
      <w:pPr>
        <w:spacing w:after="120" w:before="80" w:line="276"/>
      </w:pPr>
      <w:r>
        <w:rPr>
          <w:rFonts w:ascii="Arial" w:cs="Arial" w:eastAsia="Arial" w:hAnsi="Arial"/>
          <w:color w:val="1B2A4A"/>
          <w:sz w:val="22"/>
          <w:szCs w:val="22"/>
        </w:rPr>
        <w:t xml:space="preserve">Factoring ve ABL sektörü, 4 trilyon dolar üzerindeAUM (Assets Under Management) büyüklüğüne sahip olmasına karşın 1990’lardan kalma yazılımlar ve manuel iş akışlarıyla yönetilmektedir. Bu yapısal kopukluk, Zolvo’nun hedeflediği temel fırsatı oluşturmaktadır.</w:t>
      </w:r>
    </w:p>
    <w:p>
      <w:pPr>
        <w:spacing w:after="120" w:before="240"/>
      </w:pPr>
      <w:r>
        <w:rPr>
          <w:rFonts w:ascii="Arial" w:cs="Arial" w:eastAsia="Arial" w:hAnsi="Arial"/>
          <w:b/>
          <w:bCs/>
          <w:color w:val="1B2A4A"/>
          <w:sz w:val="24"/>
          <w:szCs w:val="24"/>
        </w:rPr>
        <w:t xml:space="preserve">Hedef Kullanıcı Kitlesi ve Pazar Segmenti</w:t>
      </w:r>
    </w:p>
    <w:p>
      <w:pPr>
        <w:pStyle w:val="ListParagraph"/>
        <w:numPr>
          <w:ilvl w:val="0"/>
          <w:numId w:val="2"/>
        </w:numPr>
        <w:spacing w:after="60" w:before="60" w:line="276"/>
      </w:pPr>
      <w:r>
        <w:rPr>
          <w:rFonts w:ascii="Arial" w:cs="Arial" w:eastAsia="Arial" w:hAnsi="Arial"/>
          <w:color w:val="1B2A4A"/>
          <w:sz w:val="22"/>
          <w:szCs w:val="22"/>
        </w:rPr>
        <w:t xml:space="preserve">Factoring şirketleri: Müşteri faturalarını satın alan ve ödemeyi önceden yapan kurumlar</w:t>
      </w:r>
    </w:p>
    <w:p>
      <w:pPr>
        <w:pStyle w:val="ListParagraph"/>
        <w:numPr>
          <w:ilvl w:val="0"/>
          <w:numId w:val="2"/>
        </w:numPr>
        <w:spacing w:after="60" w:before="60" w:line="276"/>
      </w:pPr>
      <w:r>
        <w:rPr>
          <w:rFonts w:ascii="Arial" w:cs="Arial" w:eastAsia="Arial" w:hAnsi="Arial"/>
          <w:color w:val="1B2A4A"/>
          <w:sz w:val="22"/>
          <w:szCs w:val="22"/>
        </w:rPr>
        <w:t xml:space="preserve">ABL kurumları: Alacak hesapları, envanter veya ekipmanı teminat olarak kabul eden ticari kredi verenler</w:t>
      </w:r>
    </w:p>
    <w:p>
      <w:pPr>
        <w:pStyle w:val="ListParagraph"/>
        <w:numPr>
          <w:ilvl w:val="0"/>
          <w:numId w:val="2"/>
        </w:numPr>
        <w:spacing w:after="60" w:before="60" w:line="276"/>
      </w:pPr>
      <w:r>
        <w:rPr>
          <w:rFonts w:ascii="Arial" w:cs="Arial" w:eastAsia="Arial" w:hAnsi="Arial"/>
          <w:color w:val="1B2A4A"/>
          <w:sz w:val="22"/>
          <w:szCs w:val="22"/>
        </w:rPr>
        <w:t xml:space="preserve">Özel kredi fonları: Portföy şirketlerini izleyen ve raporlama altyapısına ihtiyaç duyan kurumlar</w:t>
      </w:r>
    </w:p>
    <w:p>
      <w:pPr>
        <w:pStyle w:val="ListParagraph"/>
        <w:numPr>
          <w:ilvl w:val="0"/>
          <w:numId w:val="2"/>
        </w:numPr>
        <w:spacing w:after="60" w:before="60" w:line="276"/>
      </w:pPr>
      <w:r>
        <w:rPr>
          <w:rFonts w:ascii="Arial" w:cs="Arial" w:eastAsia="Arial" w:hAnsi="Arial"/>
          <w:color w:val="1B2A4A"/>
          <w:sz w:val="22"/>
          <w:szCs w:val="22"/>
        </w:rPr>
        <w:t xml:space="preserve">Hedef büyüklük: 100M–2B dolar AUM aralığındaki orta ölçekli ticari kredi kuruluşları</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2. Problem ve Çözüm</w:t>
      </w:r>
    </w:p>
    <w:p>
      <w:pPr>
        <w:spacing w:after="120" w:before="240"/>
      </w:pPr>
      <w:r>
        <w:rPr>
          <w:rFonts w:ascii="Arial" w:cs="Arial" w:eastAsia="Arial" w:hAnsi="Arial"/>
          <w:b/>
          <w:bCs/>
          <w:color w:val="1B2A4A"/>
          <w:sz w:val="24"/>
          <w:szCs w:val="24"/>
        </w:rPr>
        <w:t xml:space="preserve">Spesifik Problem</w:t>
      </w:r>
    </w:p>
    <w:p>
      <w:pPr>
        <w:spacing w:after="120" w:before="80" w:line="276"/>
      </w:pPr>
      <w:r>
        <w:rPr>
          <w:rFonts w:ascii="Arial" w:cs="Arial" w:eastAsia="Arial" w:hAnsi="Arial"/>
          <w:color w:val="1B2A4A"/>
          <w:sz w:val="22"/>
          <w:szCs w:val="22"/>
        </w:rPr>
        <w:t xml:space="preserve">500 milyon dolar AUM’a sahip tipik bir factoring şirketinde mevcut durum şöyledir:</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Sorun Alanı</w:t>
            </w:r>
          </w:p>
        </w:tc>
        <w:tc>
          <w:tcPr>
            <w:tcW w:type="dxa" w:w="5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Ölçülebilir Etki</w:t>
            </w:r>
          </w:p>
        </w:tc>
      </w:tr>
      <w:tr>
        <w:tc>
          <w:tcPr>
            <w:tcW w:type="dxa" w:w="4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Wire ödeme eşleştirme</w:t>
            </w:r>
          </w:p>
        </w:tc>
        <w:tc>
          <w:tcPr>
            <w:tcW w:type="dxa" w:w="5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Günlük 6+ saat manuel iş</w:t>
            </w:r>
          </w:p>
        </w:tc>
      </w:tr>
      <w:tr>
        <w:tc>
          <w:tcPr>
            <w:tcW w:type="dxa" w:w="4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Manuel uzlaştırma hatası</w:t>
            </w:r>
          </w:p>
        </w:tc>
        <w:tc>
          <w:tcPr>
            <w:tcW w:type="dxa" w:w="5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Ayda 16–20 işlem hatası</w:t>
            </w:r>
          </w:p>
        </w:tc>
      </w:tr>
      <w:tr>
        <w:tc>
          <w:tcPr>
            <w:tcW w:type="dxa" w:w="4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İşlem döngüsü</w:t>
            </w:r>
          </w:p>
        </w:tc>
        <w:tc>
          <w:tcPr>
            <w:tcW w:type="dxa" w:w="5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 günlük gecikme (sektörde kabul edilemez)</w:t>
            </w:r>
          </w:p>
        </w:tc>
      </w:tr>
      <w:tr>
        <w:tc>
          <w:tcPr>
            <w:tcW w:type="dxa" w:w="4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Fatura doğrulama maliyeti</w:t>
            </w:r>
          </w:p>
        </w:tc>
        <w:tc>
          <w:tcPr>
            <w:tcW w:type="dxa" w:w="5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Fatura başına 2–5 dolar, 25 kişilik ekip</w:t>
            </w:r>
          </w:p>
        </w:tc>
      </w:tr>
      <w:tr>
        <w:tc>
          <w:tcPr>
            <w:tcW w:type="dxa" w:w="4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Fonlama gecikmesi</w:t>
            </w:r>
          </w:p>
        </w:tc>
        <w:tc>
          <w:tcPr>
            <w:tcW w:type="dxa" w:w="5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1–3 günlük gecikme</w:t>
            </w:r>
          </w:p>
        </w:tc>
      </w:tr>
      <w:tr>
        <w:tc>
          <w:tcPr>
            <w:tcW w:type="dxa" w:w="4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Collections Manager yükü</w:t>
            </w:r>
          </w:p>
        </w:tc>
        <w:tc>
          <w:tcPr>
            <w:tcW w:type="dxa" w:w="5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Günde 50–100 borçlu takibi, Excel + e-posta kaosı</w:t>
            </w:r>
          </w:p>
        </w:tc>
      </w:tr>
    </w:tbl>
    <w:p>
      <w:pPr>
        <w:spacing w:after="0" w:before="120"/>
      </w:pPr>
      <w:r>
        <w:t xml:space="preserve"/>
      </w:r>
    </w:p>
    <w:p>
      <w:pPr>
        <w:spacing w:after="120" w:before="80" w:line="276"/>
      </w:pPr>
      <w:r>
        <w:rPr>
          <w:rFonts w:ascii="Arial" w:cs="Arial" w:eastAsia="Arial" w:hAnsi="Arial"/>
          <w:color w:val="1B2A4A"/>
          <w:sz w:val="22"/>
          <w:szCs w:val="22"/>
        </w:rPr>
        <w:t xml:space="preserve">Sorunun özü: Yeni müşteri kazanımı, daha iyi yazılım değil, daha fazla baş eleman anlamına gelmektedir. Ölçeklenme insana bağlıdır ve bu model sürdürülebilir değildir.</w:t>
      </w:r>
    </w:p>
    <w:p>
      <w:pPr>
        <w:spacing w:after="120" w:before="240"/>
      </w:pPr>
      <w:r>
        <w:rPr>
          <w:rFonts w:ascii="Arial" w:cs="Arial" w:eastAsia="Arial" w:hAnsi="Arial"/>
          <w:b/>
          <w:bCs/>
          <w:color w:val="1B2A4A"/>
          <w:sz w:val="24"/>
          <w:szCs w:val="24"/>
        </w:rPr>
        <w:t xml:space="preserve">Zolvo’nun Çözüm Yaklaşımı</w:t>
      </w:r>
    </w:p>
    <w:p>
      <w:pPr>
        <w:spacing w:after="120" w:before="80" w:line="276"/>
      </w:pPr>
      <w:r>
        <w:rPr>
          <w:rFonts w:ascii="Arial" w:cs="Arial" w:eastAsia="Arial" w:hAnsi="Arial"/>
          <w:color w:val="1B2A4A"/>
          <w:sz w:val="22"/>
          <w:szCs w:val="22"/>
        </w:rPr>
        <w:t xml:space="preserve">Zolvo, banka hesapları, kredi yönetim sistemleri (LMS/FMS) ve operasyon ekipleri arasına oturan bir AI katmanıdır:</w:t>
      </w:r>
    </w:p>
    <w:p>
      <w:pPr>
        <w:pStyle w:val="ListParagraph"/>
        <w:numPr>
          <w:ilvl w:val="0"/>
          <w:numId w:val="2"/>
        </w:numPr>
        <w:spacing w:after="60" w:before="60" w:line="276"/>
      </w:pPr>
      <w:r>
        <w:rPr>
          <w:rFonts w:ascii="Arial" w:cs="Arial" w:eastAsia="Arial" w:hAnsi="Arial"/>
          <w:color w:val="1B2A4A"/>
          <w:sz w:val="22"/>
          <w:szCs w:val="22"/>
        </w:rPr>
        <w:t xml:space="preserve">Banka hesaplarıyla doğrudan senkronizasyon → gerçek zamanlı ödeme takibi</w:t>
      </w:r>
    </w:p>
    <w:p>
      <w:pPr>
        <w:pStyle w:val="ListParagraph"/>
        <w:numPr>
          <w:ilvl w:val="0"/>
          <w:numId w:val="2"/>
        </w:numPr>
        <w:spacing w:after="60" w:before="60" w:line="276"/>
      </w:pPr>
      <w:r>
        <w:rPr>
          <w:rFonts w:ascii="Arial" w:cs="Arial" w:eastAsia="Arial" w:hAnsi="Arial"/>
          <w:color w:val="1B2A4A"/>
          <w:sz w:val="22"/>
          <w:szCs w:val="22"/>
        </w:rPr>
        <w:t xml:space="preserve">LMS/FMS entegrasyonu → otomatik uzlaştırma ve raporlama</w:t>
      </w:r>
    </w:p>
    <w:p>
      <w:pPr>
        <w:pStyle w:val="ListParagraph"/>
        <w:numPr>
          <w:ilvl w:val="0"/>
          <w:numId w:val="2"/>
        </w:numPr>
        <w:spacing w:after="60" w:before="60" w:line="276"/>
      </w:pPr>
      <w:r>
        <w:rPr>
          <w:rFonts w:ascii="Arial" w:cs="Arial" w:eastAsia="Arial" w:hAnsi="Arial"/>
          <w:color w:val="1B2A4A"/>
          <w:sz w:val="22"/>
          <w:szCs w:val="22"/>
        </w:rPr>
        <w:t xml:space="preserve">İletişim kanallarıyla bağlantı → AI destekli tahsilat outreach</w:t>
      </w:r>
    </w:p>
    <w:p>
      <w:pPr>
        <w:pStyle w:val="ListParagraph"/>
        <w:numPr>
          <w:ilvl w:val="0"/>
          <w:numId w:val="2"/>
        </w:numPr>
        <w:spacing w:after="60" w:before="60" w:line="276"/>
      </w:pPr>
      <w:r>
        <w:rPr>
          <w:rFonts w:ascii="Arial" w:cs="Arial" w:eastAsia="Arial" w:hAnsi="Arial"/>
          <w:color w:val="1B2A4A"/>
          <w:sz w:val="22"/>
          <w:szCs w:val="22"/>
        </w:rPr>
        <w:t xml:space="preserve">Çıktı: Ekip yalnızca istisnalarla ilgilenir, rutin işlemler AI tarafından tamamlanır</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Ölçüm</w:t>
            </w:r>
          </w:p>
        </w:tc>
        <w:tc>
          <w:tcPr>
            <w:tcW w:type="dxa" w:w="4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Sonuç</w:t>
            </w:r>
          </w:p>
        </w:tc>
      </w:tr>
      <w:tr>
        <w:tc>
          <w:tcPr>
            <w:tcW w:type="dxa" w:w="4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İlk müşteri etkisi</w:t>
            </w:r>
          </w:p>
        </w:tc>
        <w:tc>
          <w:tcPr>
            <w:tcW w:type="dxa" w:w="4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14 kişilik ekibin işini bir ayda teslim aldı</w:t>
            </w:r>
          </w:p>
        </w:tc>
      </w:tr>
      <w:tr>
        <w:tc>
          <w:tcPr>
            <w:tcW w:type="dxa" w:w="4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Go-live süresi</w:t>
            </w:r>
          </w:p>
        </w:tc>
        <w:tc>
          <w:tcPr>
            <w:tcW w:type="dxa" w:w="4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Haftalar (rakipler: aylar)</w:t>
            </w:r>
          </w:p>
        </w:tc>
      </w:tr>
      <w:tr>
        <w:tc>
          <w:tcPr>
            <w:tcW w:type="dxa" w:w="4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Sektör büyüklüğü</w:t>
            </w:r>
          </w:p>
        </w:tc>
        <w:tc>
          <w:tcPr>
            <w:tcW w:type="dxa" w:w="4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4 trilyon dolar+ AUM, otomasyon pazarı açık</w:t>
            </w:r>
          </w:p>
        </w:tc>
      </w:tr>
    </w:tbl>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3. Finansal Model</w:t>
      </w:r>
    </w:p>
    <w:p>
      <w:pPr>
        <w:spacing w:after="120" w:before="240"/>
      </w:pPr>
      <w:r>
        <w:rPr>
          <w:rFonts w:ascii="Arial" w:cs="Arial" w:eastAsia="Arial" w:hAnsi="Arial"/>
          <w:b/>
          <w:bCs/>
          <w:color w:val="1B2A4A"/>
          <w:sz w:val="24"/>
          <w:szCs w:val="24"/>
        </w:rPr>
        <w:t xml:space="preserve">Gelir Modeli: SaaS Aboneliği + AUM Tabanlı Fiyatlandırma</w:t>
      </w:r>
    </w:p>
    <w:p>
      <w:pPr>
        <w:spacing w:after="120" w:before="80" w:line="276"/>
      </w:pPr>
      <w:r>
        <w:rPr>
          <w:rFonts w:ascii="Arial" w:cs="Arial" w:eastAsia="Arial" w:hAnsi="Arial"/>
          <w:color w:val="1B2A4A"/>
          <w:sz w:val="22"/>
          <w:szCs w:val="22"/>
        </w:rPr>
        <w:t xml:space="preserve">Zolvo’nun kamuya açık fiyatlandırması bulunmamakla birlikte, YC lansmanı ve sektör normlarından yola çıkarak gelir modeli şöyle kurgulanmış olmalıdır:</w:t>
      </w:r>
    </w:p>
    <w:p>
      <w:pPr>
        <w:pStyle w:val="ListParagraph"/>
        <w:numPr>
          <w:ilvl w:val="0"/>
          <w:numId w:val="2"/>
        </w:numPr>
        <w:spacing w:after="60" w:before="60" w:line="276"/>
      </w:pPr>
      <w:r>
        <w:rPr>
          <w:rFonts w:ascii="Arial" w:cs="Arial" w:eastAsia="Arial" w:hAnsi="Arial"/>
          <w:b/>
          <w:bCs/>
          <w:color w:val="1B2A4A"/>
          <w:sz w:val="22"/>
          <w:szCs w:val="22"/>
        </w:rPr>
        <w:t xml:space="preserve">İlk yapı: </w:t>
      </w:r>
      <w:r>
        <w:rPr>
          <w:rFonts w:ascii="Arial" w:cs="Arial" w:eastAsia="Arial" w:hAnsi="Arial"/>
          <w:color w:val="1B2A4A"/>
          <w:sz w:val="22"/>
          <w:szCs w:val="22"/>
        </w:rPr>
        <w:t xml:space="preserve">Yıllık sözleşme (Annual Contract)</w:t>
      </w:r>
    </w:p>
    <w:p>
      <w:pPr>
        <w:pStyle w:val="ListParagraph"/>
        <w:numPr>
          <w:ilvl w:val="0"/>
          <w:numId w:val="2"/>
        </w:numPr>
        <w:spacing w:after="60" w:before="60" w:line="276"/>
      </w:pPr>
      <w:r>
        <w:rPr>
          <w:rFonts w:ascii="Arial" w:cs="Arial" w:eastAsia="Arial" w:hAnsi="Arial"/>
          <w:b/>
          <w:bCs/>
          <w:color w:val="1B2A4A"/>
          <w:sz w:val="22"/>
          <w:szCs w:val="22"/>
        </w:rPr>
        <w:t xml:space="preserve">Büyüme mekanizması: </w:t>
      </w:r>
      <w:r>
        <w:rPr>
          <w:rFonts w:ascii="Arial" w:cs="Arial" w:eastAsia="Arial" w:hAnsi="Arial"/>
          <w:color w:val="1B2A4A"/>
          <w:sz w:val="22"/>
          <w:szCs w:val="22"/>
        </w:rPr>
        <w:t xml:space="preserve">AUM tabanlı abonelik: Kurumun portföy büyüklüğüne göre ölçeklenen fiyatlandırma</w:t>
      </w:r>
    </w:p>
    <w:p>
      <w:pPr>
        <w:pStyle w:val="ListParagraph"/>
        <w:numPr>
          <w:ilvl w:val="0"/>
          <w:numId w:val="2"/>
        </w:numPr>
        <w:spacing w:after="60" w:before="60" w:line="276"/>
      </w:pPr>
      <w:r>
        <w:rPr>
          <w:rFonts w:ascii="Arial" w:cs="Arial" w:eastAsia="Arial" w:hAnsi="Arial"/>
          <w:b/>
          <w:bCs/>
          <w:color w:val="1B2A4A"/>
          <w:sz w:val="22"/>
          <w:szCs w:val="22"/>
        </w:rPr>
        <w:t xml:space="preserve">Ek gelir: </w:t>
      </w:r>
      <w:r>
        <w:rPr>
          <w:rFonts w:ascii="Arial" w:cs="Arial" w:eastAsia="Arial" w:hAnsi="Arial"/>
          <w:color w:val="1B2A4A"/>
          <w:sz w:val="22"/>
          <w:szCs w:val="22"/>
        </w:rPr>
        <w:t xml:space="preserve">Implementation fee: İlk kurulum ve entegrasyon için tek seferlik ücret</w:t>
      </w:r>
    </w:p>
    <w:p>
      <w:pPr>
        <w:spacing w:after="0" w:before="80"/>
      </w:pPr>
      <w:r>
        <w:t xml:space="preserve"/>
      </w:r>
    </w:p>
    <w:p>
      <w:pPr>
        <w:spacing w:after="120" w:before="80" w:line="276"/>
      </w:pPr>
      <w:r>
        <w:rPr>
          <w:rFonts w:ascii="Arial" w:cs="Arial" w:eastAsia="Arial" w:hAnsi="Arial"/>
          <w:color w:val="1B2A4A"/>
          <w:sz w:val="22"/>
          <w:szCs w:val="22"/>
        </w:rPr>
        <w:t xml:space="preserve">Abonelik modeli bu sektör için idealdir: B2B kredi kurumları uzun vadeli araçlara bağlı kalır, churn düşktür. LMS/FMS entegrasyonları yapıldıktan sonra switching maliyeti yüksektir. Müşteri büyüdükçe Zolvo geliri doğal olarak artar.</w:t>
      </w:r>
    </w:p>
    <w:p>
      <w:pPr>
        <w:pStyle w:val="Heading2"/>
        <w:pBdr>
          <w:bottom w:val="single" w:color="3B82F6" w:sz="2"/>
        </w:pBdr>
        <w:spacing w:after="160" w:before="320"/>
      </w:pPr>
      <w:r>
        <w:rPr>
          <w:rFonts w:ascii="Arial" w:cs="Arial" w:eastAsia="Arial" w:hAnsi="Arial"/>
          <w:b/>
          <w:bCs/>
          <w:color w:val="2E4E8A"/>
          <w:sz w:val="28"/>
          <w:szCs w:val="28"/>
        </w:rPr>
        <w:t xml:space="preserve">4. Teknolojik Altyapı</w:t>
      </w:r>
    </w:p>
    <w:p>
      <w:pPr>
        <w:spacing w:after="120" w:before="240"/>
      </w:pPr>
      <w:r>
        <w:rPr>
          <w:rFonts w:ascii="Arial" w:cs="Arial" w:eastAsia="Arial" w:hAnsi="Arial"/>
          <w:b/>
          <w:bCs/>
          <w:color w:val="1B2A4A"/>
          <w:sz w:val="24"/>
          <w:szCs w:val="24"/>
        </w:rPr>
        <w:t xml:space="preserve">Kullanılan Teknolojiler (YC lansmanı ve kurucu profillerinden çıkarım)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c>
          <w:tcPr>
            <w:tcW w:type="dxa" w:w="28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w:t>
            </w:r>
          </w:p>
        </w:tc>
        <w:tc>
          <w:tcPr>
            <w:tcW w:type="dxa" w:w="32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Teknoloji</w:t>
            </w:r>
          </w:p>
        </w:tc>
        <w:tc>
          <w:tcPr>
            <w:tcW w:type="dxa" w:w="32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Kullanım Alanı</w:t>
            </w:r>
          </w:p>
        </w:tc>
      </w:tr>
      <w:tr>
        <w:tc>
          <w:tcPr>
            <w:tcW w:type="dxa" w:w="2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LLM Orkestrasyon</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GPT-4o / Claude seviyesi modeller</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Fatura ayrıştırma, e-posta taslakı, anomali tespiti</w:t>
            </w:r>
          </w:p>
        </w:tc>
      </w:tr>
      <w:tr>
        <w:tc>
          <w:tcPr>
            <w:tcW w:type="dxa" w:w="28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Voice AI</w:t>
            </w:r>
          </w:p>
        </w:tc>
        <w:tc>
          <w:tcPr>
            <w:tcW w:type="dxa" w:w="3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CTO deneyiminden aktarılan ses altyapısı</w:t>
            </w:r>
          </w:p>
        </w:tc>
        <w:tc>
          <w:tcPr>
            <w:tcW w:type="dxa" w:w="3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Tahsilat outreach motoru</w:t>
            </w:r>
          </w:p>
        </w:tc>
      </w:tr>
      <w:tr>
        <w:tc>
          <w:tcPr>
            <w:tcW w:type="dxa" w:w="2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API Entegrasyon</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Plaid / REST / Webhook</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Banka API’leri, LMS, FMS bağlantısı</w:t>
            </w:r>
          </w:p>
        </w:tc>
      </w:tr>
      <w:tr>
        <w:tc>
          <w:tcPr>
            <w:tcW w:type="dxa" w:w="28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Veri Pipeline</w:t>
            </w:r>
          </w:p>
        </w:tc>
        <w:tc>
          <w:tcPr>
            <w:tcW w:type="dxa" w:w="3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Apache Kafka (tahmini)</w:t>
            </w:r>
          </w:p>
        </w:tc>
        <w:tc>
          <w:tcPr>
            <w:tcW w:type="dxa" w:w="3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Gerçek zamanlı ödeme event işleme</w:t>
            </w:r>
          </w:p>
        </w:tc>
      </w:tr>
      <w:tr>
        <w:tc>
          <w:tcPr>
            <w:tcW w:type="dxa" w:w="2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Bulut</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AWS veya GCP</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Standart YC şirket altyapısı</w:t>
            </w:r>
          </w:p>
        </w:tc>
      </w:tr>
    </w:tbl>
    <w:p>
      <w:pPr>
        <w:spacing w:after="0" w:before="120"/>
      </w:pPr>
      <w:r>
        <w:t xml:space="preserve"/>
      </w:r>
    </w:p>
    <w:p>
      <w:pPr>
        <w:spacing w:after="120" w:before="80" w:line="276"/>
      </w:pPr>
      <w:r>
        <w:rPr>
          <w:rFonts w:ascii="Arial" w:cs="Arial" w:eastAsia="Arial" w:hAnsi="Arial"/>
          <w:color w:val="1B2A4A"/>
          <w:sz w:val="22"/>
          <w:szCs w:val="22"/>
        </w:rPr>
        <w:t xml:space="preserve">LLM kullanımı, yapılandırılmamış veri yoğun bir sektörde kritik avantaj sağlar: fatura metinleri, e-posta zincirleri ve banka ödeme açıklamaları standart format içermez. LLM’ler bu karmaşıklığı kural tabanlı sistemlerin aksine bağlamsal olarak işleyebilir.</w:t>
      </w:r>
    </w:p>
    <w:p>
      <w:pPr>
        <w:spacing w:after="120" w:before="80" w:line="276"/>
      </w:pPr>
      <w:r>
        <w:rPr>
          <w:rFonts w:ascii="Arial" w:cs="Arial" w:eastAsia="Arial" w:hAnsi="Arial"/>
          <w:color w:val="1B2A4A"/>
          <w:sz w:val="22"/>
          <w:szCs w:val="22"/>
        </w:rPr>
        <w:t xml:space="preserve">Potansiyel kısıtlamalar: Finansal verilerin LLM’lerle işlenmesi, veri gizliliği (SOC2, GLBA) konularında dikkat gerektirir. Hallüsinasyon riski, kredi uzlaştırmasında operasyonel risk oluşturabilir.</w:t>
      </w:r>
    </w:p>
    <w:p>
      <w:r>
        <w:br w:type="page"/>
      </w:r>
    </w:p>
    <w:p>
      <w:pPr>
        <w:pStyle w:val="Heading1"/>
        <w:pBdr>
          <w:bottom w:val="single" w:color="3B82F6" w:sz="4"/>
        </w:pBdr>
        <w:shd w:fill="1B2A4A" w:val="clear"/>
        <w:spacing w:after="200" w:before="400"/>
        <w:ind w:left="200" w:right="200"/>
      </w:pPr>
      <w:r>
        <w:rPr>
          <w:rFonts w:ascii="Arial" w:cs="Arial" w:eastAsia="Arial" w:hAnsi="Arial"/>
          <w:b/>
          <w:bCs/>
          <w:color w:val="FFFFFF"/>
          <w:sz w:val="36"/>
          <w:szCs w:val="36"/>
        </w:rPr>
        <w:t xml:space="preserve">BÖLÜM 2 — Pazarlama &amp; Rekabet Analizi</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5. Rakip Analizi</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c>
          <w:tcPr>
            <w:tcW w:type="dxa" w:w="1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Kriter</w:t>
            </w:r>
          </w:p>
        </w:tc>
        <w:tc>
          <w:tcPr>
            <w:tcW w:type="dxa" w:w="19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Zolvo</w:t>
            </w:r>
          </w:p>
        </w:tc>
        <w:tc>
          <w:tcPr>
            <w:tcW w:type="dxa" w:w="19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nCino</w:t>
            </w:r>
          </w:p>
        </w:tc>
        <w:tc>
          <w:tcPr>
            <w:tcW w:type="dxa" w:w="19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Proxy (ABLSoft)</w:t>
            </w:r>
          </w:p>
        </w:tc>
        <w:tc>
          <w:tcPr>
            <w:tcW w:type="dxa" w:w="19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HES LoanBox</w:t>
            </w:r>
          </w:p>
        </w:tc>
      </w:tr>
      <w:tr>
        <w:tc>
          <w:tcPr>
            <w:tcW w:type="dxa" w:w="1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Temel Özellikler</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AI back-office: uzlaştırma, tahsilat, fatura doğrulama, funder izleme</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Kredi başlangıç ve yaşam döngüsü yönetimi (Salesforce üzerine)</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ABL portföy yönetimi, raporlama, teminat takibi</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Uçtan uca kredi yönetimi: başlangıç, servis, tahsilat</w:t>
            </w:r>
          </w:p>
        </w:tc>
      </w:tr>
      <w:tr>
        <w:tc>
          <w:tcPr>
            <w:tcW w:type="dxa" w:w="1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Artıları</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Haftada deploy, AI-native, YC destekli, düşük entegrasyon süresi</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Büyük bankalar için kanıtlanmış, geniş müşteri tabanı</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ABL’ye özel, uzun sektör deneyimi, compliance odaklı</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Modüler yapı, ISO 27001 sertifikalı</w:t>
            </w:r>
          </w:p>
        </w:tc>
      </w:tr>
      <w:tr>
        <w:tc>
          <w:tcPr>
            <w:tcW w:type="dxa" w:w="1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Eksiklikleri</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Çok erken aşama, sınırlı müşteri referansı</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Yüksek maliyet, uzun implementasyon, küçük şirketler için uygun değil</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Eski arayüz, AI entegrasyonu zayıf</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Factoring/ABL’ye özel değil, genel amaçlı platform</w:t>
            </w:r>
          </w:p>
        </w:tc>
      </w:tr>
      <w:tr>
        <w:tc>
          <w:tcPr>
            <w:tcW w:type="dxa" w:w="1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Farklılaşması</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Sadece back-office, haftalarda go-live, insan müdahalesi yalnızca istisnalar</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Tam banka işletim sistemi</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Onlarca yıllık ABL uzmanlığı</w:t>
            </w:r>
          </w:p>
        </w:tc>
        <w:tc>
          <w:tcPr>
            <w:tcW w:type="dxa" w:w="19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Geniş segment desteği</w:t>
            </w:r>
          </w:p>
        </w:tc>
      </w:tr>
      <w:tr>
        <w:tc>
          <w:tcPr>
            <w:tcW w:type="dxa" w:w="1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Pain Points</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Ölçeklenme hızı, marka bilinirliği, enterprise satış döngüsü</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Küçük-orta ölçekli müşteriler için fazla pahalı ve ağır</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Modern AI otomasyon katmanının yokluğu</w:t>
            </w:r>
          </w:p>
        </w:tc>
        <w:tc>
          <w:tcPr>
            <w:tcW w:type="dxa" w:w="19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Sektöre özgün derinliğin eksikliği</w:t>
            </w:r>
          </w:p>
        </w:tc>
      </w:tr>
    </w:tbl>
    <w:p>
      <w:pPr>
        <w:spacing w:after="0" w:before="120"/>
      </w:pPr>
      <w:r>
        <w:t xml:space="preserve"/>
      </w:r>
    </w:p>
    <w:p>
      <w:pPr>
        <w:spacing w:after="120" w:before="80" w:line="276"/>
      </w:pPr>
      <w:r>
        <w:rPr>
          <w:rFonts w:ascii="Arial" w:cs="Arial" w:eastAsia="Arial" w:hAnsi="Arial"/>
          <w:color w:val="1B2A4A"/>
          <w:sz w:val="22"/>
          <w:szCs w:val="22"/>
        </w:rPr>
        <w:t xml:space="preserve">Zolvo’nun temel farklılaşması: nCino ve HES LoanBox gibi platformlar kredi yaşam döngüsünün tamamını yönetir; Zolvo sadece back-office operasyonlarına odaklanır ve bunu AI-native bir yaklaşımla, haftalar içinde hayata geçirir. Bu kama stratejisi (wedge strategy) müşteri edinimini hızlandırır ve entegrasyon direncini azaltır.</w:t>
      </w:r>
    </w:p>
    <w:p>
      <w:pPr>
        <w:pStyle w:val="Heading2"/>
        <w:pBdr>
          <w:bottom w:val="single" w:color="3B82F6" w:sz="2"/>
        </w:pBdr>
        <w:spacing w:after="160" w:before="320"/>
      </w:pPr>
      <w:r>
        <w:rPr>
          <w:rFonts w:ascii="Arial" w:cs="Arial" w:eastAsia="Arial" w:hAnsi="Arial"/>
          <w:b/>
          <w:bCs/>
          <w:color w:val="2E4E8A"/>
          <w:sz w:val="28"/>
          <w:szCs w:val="28"/>
        </w:rPr>
        <w:t xml:space="preserve">6. Pazarlama Stratejisi</w:t>
      </w:r>
    </w:p>
    <w:p>
      <w:pPr>
        <w:spacing w:after="120" w:before="240"/>
      </w:pPr>
      <w:r>
        <w:rPr>
          <w:rFonts w:ascii="Arial" w:cs="Arial" w:eastAsia="Arial" w:hAnsi="Arial"/>
          <w:b/>
          <w:bCs/>
          <w:color w:val="1B2A4A"/>
          <w:sz w:val="24"/>
          <w:szCs w:val="24"/>
        </w:rPr>
        <w:t xml:space="preserve">Genel Yaklaşım</w:t>
      </w:r>
    </w:p>
    <w:p>
      <w:pPr>
        <w:spacing w:after="120" w:before="80" w:line="276"/>
      </w:pPr>
      <w:r>
        <w:rPr>
          <w:rFonts w:ascii="Arial" w:cs="Arial" w:eastAsia="Arial" w:hAnsi="Arial"/>
          <w:color w:val="1B2A4A"/>
          <w:sz w:val="22"/>
          <w:szCs w:val="22"/>
        </w:rPr>
        <w:t xml:space="preserve">Zolvo, erken aşama bir YC şirketi olarak outbound ağırlıklı, founder-led bir pazarlama stratejisi izlemektedir. GTM playbook’u Domu (YC S24) deneyiminden aktarılmış görünmektedir.</w:t>
      </w:r>
    </w:p>
    <w:p>
      <w:pPr>
        <w:spacing w:after="120" w:before="240"/>
      </w:pPr>
      <w:r>
        <w:rPr>
          <w:rFonts w:ascii="Arial" w:cs="Arial" w:eastAsia="Arial" w:hAnsi="Arial"/>
          <w:b/>
          <w:bCs/>
          <w:color w:val="1B2A4A"/>
          <w:sz w:val="24"/>
          <w:szCs w:val="24"/>
        </w:rPr>
        <w:t xml:space="preserve">LinkedIn Analizi</w:t>
      </w:r>
    </w:p>
    <w:p>
      <w:pPr>
        <w:pStyle w:val="ListParagraph"/>
        <w:numPr>
          <w:ilvl w:val="0"/>
          <w:numId w:val="2"/>
        </w:numPr>
        <w:spacing w:after="60" w:before="60" w:line="276"/>
      </w:pPr>
      <w:r>
        <w:rPr>
          <w:rFonts w:ascii="Arial" w:cs="Arial" w:eastAsia="Arial" w:hAnsi="Arial"/>
          <w:color w:val="1B2A4A"/>
          <w:sz w:val="22"/>
          <w:szCs w:val="22"/>
        </w:rPr>
        <w:t xml:space="preserve">Kanal: linkedin.com/company/zolvo-ai — tipik erken aşama profili</w:t>
      </w:r>
    </w:p>
    <w:p>
      <w:pPr>
        <w:pStyle w:val="ListParagraph"/>
        <w:numPr>
          <w:ilvl w:val="0"/>
          <w:numId w:val="2"/>
        </w:numPr>
        <w:spacing w:after="60" w:before="60" w:line="276"/>
      </w:pPr>
      <w:r>
        <w:rPr>
          <w:rFonts w:ascii="Arial" w:cs="Arial" w:eastAsia="Arial" w:hAnsi="Arial"/>
          <w:color w:val="1B2A4A"/>
          <w:sz w:val="22"/>
          <w:szCs w:val="22"/>
        </w:rPr>
        <w:t xml:space="preserve">Format: Metin ağırlıklı, düşük frekans (3 kişilik ekip kısıtı)</w:t>
      </w:r>
    </w:p>
    <w:p>
      <w:pPr>
        <w:pStyle w:val="ListParagraph"/>
        <w:numPr>
          <w:ilvl w:val="0"/>
          <w:numId w:val="2"/>
        </w:numPr>
        <w:spacing w:after="60" w:before="60" w:line="276"/>
      </w:pPr>
      <w:r>
        <w:rPr>
          <w:rFonts w:ascii="Arial" w:cs="Arial" w:eastAsia="Arial" w:hAnsi="Arial"/>
          <w:color w:val="1B2A4A"/>
          <w:sz w:val="22"/>
          <w:szCs w:val="22"/>
        </w:rPr>
        <w:t xml:space="preserve">Mesaj: “Commercial lenders” — niş, dikey odaklı konumlandırma</w:t>
      </w:r>
    </w:p>
    <w:p>
      <w:pPr>
        <w:pStyle w:val="ListParagraph"/>
        <w:numPr>
          <w:ilvl w:val="0"/>
          <w:numId w:val="2"/>
        </w:numPr>
        <w:spacing w:after="60" w:before="60" w:line="276"/>
      </w:pPr>
      <w:r>
        <w:rPr>
          <w:rFonts w:ascii="Arial" w:cs="Arial" w:eastAsia="Arial" w:hAnsi="Arial"/>
          <w:color w:val="1B2A4A"/>
          <w:sz w:val="22"/>
          <w:szCs w:val="22"/>
        </w:rPr>
        <w:t xml:space="preserve">Kurucu profilleri şirket sayfasından çok daha etkili — kişisel profiller %49 yüksek etkileşim</w:t>
      </w:r>
    </w:p>
    <w:p>
      <w:pPr>
        <w:spacing w:after="120" w:before="240"/>
      </w:pPr>
      <w:r>
        <w:rPr>
          <w:rFonts w:ascii="Arial" w:cs="Arial" w:eastAsia="Arial" w:hAnsi="Arial"/>
          <w:b/>
          <w:bCs/>
          <w:color w:val="1B2A4A"/>
          <w:sz w:val="24"/>
          <w:szCs w:val="24"/>
        </w:rPr>
        <w:t xml:space="preserve">YC Launch Post Analizi (Mart 2026)</w:t>
      </w:r>
    </w:p>
    <w:p>
      <w:pPr>
        <w:spacing w:after="120" w:before="80" w:line="276"/>
      </w:pPr>
      <w:r>
        <w:rPr>
          <w:rFonts w:ascii="Arial" w:cs="Arial" w:eastAsia="Arial" w:hAnsi="Arial"/>
          <w:color w:val="1B2A4A"/>
          <w:sz w:val="22"/>
          <w:szCs w:val="22"/>
        </w:rPr>
        <w:t xml:space="preserve">Zolvo’nun en güçlü pazarlama varlığı YC Launch Post’tur:</w:t>
      </w:r>
    </w:p>
    <w:p>
      <w:pPr>
        <w:pStyle w:val="ListParagraph"/>
        <w:numPr>
          <w:ilvl w:val="0"/>
          <w:numId w:val="2"/>
        </w:numPr>
        <w:spacing w:after="60" w:before="60" w:line="276"/>
      </w:pPr>
      <w:r>
        <w:rPr>
          <w:rFonts w:ascii="Arial" w:cs="Arial" w:eastAsia="Arial" w:hAnsi="Arial"/>
          <w:color w:val="1B2A4A"/>
          <w:sz w:val="22"/>
          <w:szCs w:val="22"/>
        </w:rPr>
        <w:t xml:space="preserve">Problem→Çözüm→Traction sıralaması: Klasik YC anlatı yapısı</w:t>
      </w:r>
    </w:p>
    <w:p>
      <w:pPr>
        <w:pStyle w:val="ListParagraph"/>
        <w:numPr>
          <w:ilvl w:val="0"/>
          <w:numId w:val="2"/>
        </w:numPr>
        <w:spacing w:after="60" w:before="60" w:line="276"/>
      </w:pPr>
      <w:r>
        <w:rPr>
          <w:rFonts w:ascii="Arial" w:cs="Arial" w:eastAsia="Arial" w:hAnsi="Arial"/>
          <w:color w:val="1B2A4A"/>
          <w:sz w:val="22"/>
          <w:szCs w:val="22"/>
        </w:rPr>
        <w:t xml:space="preserve">Somut metrikler: 14 kişilik ekip işi, haftalarda go-live, 4T+ sektör büyüklüğü</w:t>
      </w:r>
    </w:p>
    <w:p>
      <w:pPr>
        <w:pStyle w:val="ListParagraph"/>
        <w:numPr>
          <w:ilvl w:val="0"/>
          <w:numId w:val="2"/>
        </w:numPr>
        <w:spacing w:after="60" w:before="60" w:line="276"/>
      </w:pPr>
      <w:r>
        <w:rPr>
          <w:rFonts w:ascii="Arial" w:cs="Arial" w:eastAsia="Arial" w:hAnsi="Arial"/>
          <w:color w:val="1B2A4A"/>
          <w:sz w:val="22"/>
          <w:szCs w:val="22"/>
        </w:rPr>
        <w:t xml:space="preserve">Sosyal kanıt: İlk müşterinin ürün olmadan sözleşme imzalaması</w:t>
      </w:r>
    </w:p>
    <w:p>
      <w:pPr>
        <w:spacing w:after="120" w:before="240"/>
      </w:pPr>
      <w:r>
        <w:rPr>
          <w:rFonts w:ascii="Arial" w:cs="Arial" w:eastAsia="Arial" w:hAnsi="Arial"/>
          <w:b/>
          <w:bCs/>
          <w:color w:val="1B2A4A"/>
          <w:sz w:val="24"/>
          <w:szCs w:val="24"/>
        </w:rPr>
        <w:t xml:space="preserve">Konumlandırma Mesajı</w:t>
      </w:r>
    </w:p>
    <w:p>
      <w:pPr>
        <w:spacing w:after="120" w:before="80" w:line="276"/>
      </w:pPr>
      <w:r>
        <w:rPr>
          <w:rFonts w:ascii="Arial" w:cs="Arial" w:eastAsia="Arial" w:hAnsi="Arial"/>
          <w:color w:val="1B2A4A"/>
          <w:sz w:val="22"/>
          <w:szCs w:val="22"/>
        </w:rPr>
        <w:t xml:space="preserve">Ana mesaj: “The AI layer between your bank accounts, LMS, and ops teams.” Bu mesaj; teknik alıcıya (CTO/COO/Operations Director) hitap eder, entegrasyon riskini minimize eder — mevcut sistemi değiştirmiyor, üstüne oturuyor — ve ROI’yi açık bırakır.</w:t>
      </w:r>
    </w:p>
    <w:p>
      <w:r>
        <w:br w:type="page"/>
      </w:r>
    </w:p>
    <w:p>
      <w:pPr>
        <w:pStyle w:val="Heading1"/>
        <w:pBdr>
          <w:bottom w:val="single" w:color="3B82F6" w:sz="4"/>
        </w:pBdr>
        <w:shd w:fill="1B2A4A" w:val="clear"/>
        <w:spacing w:after="200" w:before="400"/>
        <w:ind w:left="200" w:right="200"/>
      </w:pPr>
      <w:r>
        <w:rPr>
          <w:rFonts w:ascii="Arial" w:cs="Arial" w:eastAsia="Arial" w:hAnsi="Arial"/>
          <w:b/>
          <w:bCs/>
          <w:color w:val="FFFFFF"/>
          <w:sz w:val="36"/>
          <w:szCs w:val="36"/>
        </w:rPr>
        <w:t xml:space="preserve">BÖLÜM 3 — “Göster Kendini”</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7. Eksikler ve Eleştiri</w:t>
      </w:r>
    </w:p>
    <w:p>
      <w:pPr>
        <w:spacing w:after="120" w:before="240"/>
      </w:pPr>
      <w:r>
        <w:rPr>
          <w:rFonts w:ascii="Arial" w:cs="Arial" w:eastAsia="Arial" w:hAnsi="Arial"/>
          <w:b/>
          <w:bCs/>
          <w:color w:val="1B2A4A"/>
          <w:sz w:val="24"/>
          <w:szCs w:val="24"/>
        </w:rPr>
        <w:t xml:space="preserve">1. Karar Siyah Kutu Problemi — En Büyük Mimari Hata</w:t>
      </w:r>
    </w:p>
    <w:p>
      <w:pPr>
        <w:spacing w:after="120" w:before="80" w:line="276"/>
      </w:pPr>
      <w:r>
        <w:rPr>
          <w:rFonts w:ascii="Arial" w:cs="Arial" w:eastAsia="Arial" w:hAnsi="Arial"/>
          <w:color w:val="1B2A4A"/>
          <w:sz w:val="22"/>
          <w:szCs w:val="22"/>
        </w:rPr>
        <w:t xml:space="preserve">Zolvo “AI ajanları uzlaştırır” diyor ama “neden bu karar?” sorusunu hiç cevaplamıyor. Bir collections manager sabah ekrana baktığında yalnızca sonuç görüyor: “Bu borçluyu ara.” Peki bu kararın arkasında ne var?</w:t>
      </w:r>
    </w:p>
    <w:p>
      <w:pPr>
        <w:spacing w:after="120" w:before="80" w:line="276"/>
      </w:pPr>
      <w:r>
        <w:rPr>
          <w:rFonts w:ascii="Arial" w:cs="Arial" w:eastAsia="Arial" w:hAnsi="Arial"/>
          <w:color w:val="1B2A4A"/>
          <w:sz w:val="22"/>
          <w:szCs w:val="22"/>
        </w:rPr>
        <w:t xml:space="preserve">Bu fintech’te kabul edilemez bir eksikliktir. Sektör düzenleyicileri (GLBA, SOC2) “audit trail” — yani her kararın izölüğünü — zorunlu kılar. Eğer bir uzlaştırma hatası meydana gelirse ve “bunu AI yaptı” haricinde bir açıklama yoksa, bu hem hukuki hem operasyonel bir kriz anlamına gelir. Ürünün mevcut anlatısında bu problemi çözdüğüne dair hiçbir kanıt bulunmamaktadır.</w:t>
      </w:r>
    </w:p>
    <w:p>
      <w:pPr>
        <w:spacing w:after="120" w:before="240"/>
      </w:pPr>
      <w:r>
        <w:rPr>
          <w:rFonts w:ascii="Arial" w:cs="Arial" w:eastAsia="Arial" w:hAnsi="Arial"/>
          <w:b/>
          <w:bCs/>
          <w:color w:val="1B2A4A"/>
          <w:sz w:val="24"/>
          <w:szCs w:val="24"/>
        </w:rPr>
        <w:t xml:space="preserve">2. Hallüsinasyon Riski — Finansal Bağlamda Ölümcül Hata</w:t>
      </w:r>
    </w:p>
    <w:p>
      <w:pPr>
        <w:spacing w:after="120" w:before="80" w:line="276"/>
      </w:pPr>
      <w:r>
        <w:rPr>
          <w:rFonts w:ascii="Arial" w:cs="Arial" w:eastAsia="Arial" w:hAnsi="Arial"/>
          <w:color w:val="1B2A4A"/>
          <w:sz w:val="22"/>
          <w:szCs w:val="22"/>
        </w:rPr>
        <w:t xml:space="preserve">LLM’lerin fatura uzlaştırma ve ödeme eşleştirmede kullanılması, hata maliyetinin son derece yüksek olduğu bir bağlamdır. Bir uzlaştırma hatası likidite krizine, müşteri kaybına veya düzenleyici cezalara neden olabilir. Mevcut mimaride bu riskin nasıl yönetildiğine dair kamuya açık bir açıklama yoktur. Sistemin “halüsine” mi yoksa doğru karara mı ulaştığını anlamak için hiçbir güven eşiği mekanizması tanımlanmamıştır.</w:t>
      </w:r>
    </w:p>
    <w:p>
      <w:pPr>
        <w:spacing w:after="120" w:before="240"/>
      </w:pPr>
      <w:r>
        <w:rPr>
          <w:rFonts w:ascii="Arial" w:cs="Arial" w:eastAsia="Arial" w:hAnsi="Arial"/>
          <w:b/>
          <w:bCs/>
          <w:color w:val="1B2A4A"/>
          <w:sz w:val="24"/>
          <w:szCs w:val="24"/>
        </w:rPr>
        <w:t xml:space="preserve">3. Veri Güvenliği ve Compliance Boşluğu</w:t>
      </w:r>
    </w:p>
    <w:p>
      <w:pPr>
        <w:spacing w:after="120" w:before="80" w:line="276"/>
      </w:pPr>
      <w:r>
        <w:rPr>
          <w:rFonts w:ascii="Arial" w:cs="Arial" w:eastAsia="Arial" w:hAnsi="Arial"/>
          <w:color w:val="1B2A4A"/>
          <w:sz w:val="22"/>
          <w:szCs w:val="22"/>
        </w:rPr>
        <w:t xml:space="preserve">Ticari kredi verileri (banka işlemleri, fatura detayları, borçlu iletişimleri) GLBA ve SOC2 kapsamındadır. Web sitesinde ve YC lansmanında bu konuya dair açık bir güvence verilmemiştir. Kurumsal satışlarda güvenlik sorusu genellikle deal-breaker olmaktadır. Bu boşluğun kapatılmaması satış döngüsünü uzatacaktır.</w:t>
      </w:r>
    </w:p>
    <w:p>
      <w:pPr>
        <w:spacing w:after="120" w:before="240"/>
      </w:pPr>
      <w:r>
        <w:rPr>
          <w:rFonts w:ascii="Arial" w:cs="Arial" w:eastAsia="Arial" w:hAnsi="Arial"/>
          <w:b/>
          <w:bCs/>
          <w:color w:val="1B2A4A"/>
          <w:sz w:val="24"/>
          <w:szCs w:val="24"/>
        </w:rPr>
        <w:t xml:space="preserve">4. Tek Sektör Odaklılık ve Plato Riski</w:t>
      </w:r>
    </w:p>
    <w:p>
      <w:pPr>
        <w:spacing w:after="120" w:before="80" w:line="276"/>
      </w:pPr>
      <w:r>
        <w:rPr>
          <w:rFonts w:ascii="Arial" w:cs="Arial" w:eastAsia="Arial" w:hAnsi="Arial"/>
          <w:color w:val="1B2A4A"/>
          <w:sz w:val="22"/>
          <w:szCs w:val="22"/>
        </w:rPr>
        <w:t xml:space="preserve">Zolvo bilinçli olarak factoring ve ABL’ye odaklanmıştır. Bu kısa vadede güçlü bir niş stratejisidir. Ancak bu şirketin toplam adreslenebilir pazarı (TAM) kısıtlıdır; mortgage, equipment finance veya supply chain finance gibi bitişik segmentlere genişleme stratejisi henüz belirsizdir. 3–5 yıl içinde büyüme tavanına çarpma riski vardır.</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8. Yeniden Tasarım</w:t>
      </w:r>
    </w:p>
    <w:p>
      <w:pPr>
        <w:spacing w:after="120" w:before="240"/>
      </w:pPr>
      <w:r>
        <w:rPr>
          <w:rFonts w:ascii="Arial" w:cs="Arial" w:eastAsia="Arial" w:hAnsi="Arial"/>
          <w:b/>
          <w:bCs/>
          <w:color w:val="1B2A4A"/>
          <w:sz w:val="24"/>
          <w:szCs w:val="24"/>
        </w:rPr>
        <w:t xml:space="preserve">Alternatif Mimari: Açıklanabilir AI Agent Platformu</w:t>
      </w:r>
    </w:p>
    <w:p>
      <w:pPr>
        <w:spacing w:after="120" w:before="80" w:line="276"/>
      </w:pPr>
      <w:r>
        <w:rPr>
          <w:rFonts w:ascii="Arial" w:cs="Arial" w:eastAsia="Arial" w:hAnsi="Arial"/>
          <w:color w:val="1B2A4A"/>
          <w:sz w:val="22"/>
          <w:szCs w:val="22"/>
        </w:rPr>
        <w:t xml:space="preserve">Mevcut yapıdaki en temel sorun, karar sürecinin opak olmasıdır. Ben bu ürünü kursuydım, şu dört prensip üzerine inşa ederdim:</w:t>
      </w:r>
    </w:p>
    <w:p>
      <w:pPr>
        <w:pStyle w:val="ListParagraph"/>
        <w:numPr>
          <w:ilvl w:val="0"/>
          <w:numId w:val="2"/>
        </w:numPr>
        <w:spacing w:after="60" w:before="60" w:line="276"/>
      </w:pPr>
      <w:r>
        <w:rPr>
          <w:rFonts w:ascii="Arial" w:cs="Arial" w:eastAsia="Arial" w:hAnsi="Arial"/>
          <w:b/>
          <w:bCs/>
          <w:color w:val="1B2A4A"/>
          <w:sz w:val="22"/>
          <w:szCs w:val="22"/>
        </w:rPr>
        <w:t xml:space="preserve">Ayrıştırılmış Agent Mimarisi: </w:t>
      </w:r>
      <w:r>
        <w:rPr>
          <w:rFonts w:ascii="Arial" w:cs="Arial" w:eastAsia="Arial" w:hAnsi="Arial"/>
          <w:color w:val="1B2A4A"/>
          <w:sz w:val="22"/>
          <w:szCs w:val="22"/>
        </w:rPr>
        <w:t xml:space="preserve">Her süreç (uzlaştırma, tahsilat, fatura doğrulama) bağımsız, sınırlı yetkili AI agent’lar tarafından yürütülür. Hata izolasyonu ve denetlenebilirlik artar.</w:t>
      </w:r>
    </w:p>
    <w:p>
      <w:pPr>
        <w:pStyle w:val="ListParagraph"/>
        <w:numPr>
          <w:ilvl w:val="0"/>
          <w:numId w:val="2"/>
        </w:numPr>
        <w:spacing w:after="60" w:before="60" w:line="276"/>
      </w:pPr>
      <w:r>
        <w:rPr>
          <w:rFonts w:ascii="Arial" w:cs="Arial" w:eastAsia="Arial" w:hAnsi="Arial"/>
          <w:b/>
          <w:bCs/>
          <w:color w:val="1B2A4A"/>
          <w:sz w:val="22"/>
          <w:szCs w:val="22"/>
        </w:rPr>
        <w:t xml:space="preserve">Confidence Gate + Human-in-the-Loop: </w:t>
      </w:r>
      <w:r>
        <w:rPr>
          <w:rFonts w:ascii="Arial" w:cs="Arial" w:eastAsia="Arial" w:hAnsi="Arial"/>
          <w:color w:val="1B2A4A"/>
          <w:sz w:val="22"/>
          <w:szCs w:val="22"/>
        </w:rPr>
        <w:t xml:space="preserve">Her agent çıktısı bir güven skoru (0–100) üretir; eşiğin altındaki kararlar otomatik insan onayına yönlendirilir. Hallüsinasyon ve compliance riski burada çözülür.</w:t>
      </w:r>
    </w:p>
    <w:p>
      <w:pPr>
        <w:pStyle w:val="ListParagraph"/>
        <w:numPr>
          <w:ilvl w:val="0"/>
          <w:numId w:val="2"/>
        </w:numPr>
        <w:spacing w:after="60" w:before="60" w:line="276"/>
      </w:pPr>
      <w:r>
        <w:rPr>
          <w:rFonts w:ascii="Arial" w:cs="Arial" w:eastAsia="Arial" w:hAnsi="Arial"/>
          <w:b/>
          <w:bCs/>
          <w:color w:val="1B2A4A"/>
          <w:sz w:val="22"/>
          <w:szCs w:val="22"/>
        </w:rPr>
        <w:t xml:space="preserve">Çift Kaynak Doğrulama (Dual Ledger): </w:t>
      </w:r>
      <w:r>
        <w:rPr>
          <w:rFonts w:ascii="Arial" w:cs="Arial" w:eastAsia="Arial" w:hAnsi="Arial"/>
          <w:color w:val="1B2A4A"/>
          <w:sz w:val="22"/>
          <w:szCs w:val="22"/>
        </w:rPr>
        <w:t xml:space="preserve">AI kararı deterministik kural motoru çıktısıyla çapraz doğrulanır; iki sistem aynı sonuca ulaşırsa otomatik onaylandı — farklılaşırsa insan onayına düşer.</w:t>
      </w:r>
    </w:p>
    <w:p>
      <w:pPr>
        <w:pStyle w:val="ListParagraph"/>
        <w:numPr>
          <w:ilvl w:val="0"/>
          <w:numId w:val="2"/>
        </w:numPr>
        <w:spacing w:after="60" w:before="60" w:line="276"/>
      </w:pPr>
      <w:r>
        <w:rPr>
          <w:rFonts w:ascii="Arial" w:cs="Arial" w:eastAsia="Arial" w:hAnsi="Arial"/>
          <w:b/>
          <w:bCs/>
          <w:color w:val="1B2A4A"/>
          <w:sz w:val="22"/>
          <w:szCs w:val="22"/>
        </w:rPr>
        <w:t xml:space="preserve">Açıklanabilirlik Katmanı: </w:t>
      </w:r>
      <w:r>
        <w:rPr>
          <w:rFonts w:ascii="Arial" w:cs="Arial" w:eastAsia="Arial" w:hAnsi="Arial"/>
          <w:color w:val="1B2A4A"/>
          <w:sz w:val="22"/>
          <w:szCs w:val="22"/>
        </w:rPr>
        <w:t xml:space="preserve">Her kararın neden alındığı insan diline çevrilir ve audit log’a işlenir. “Bu borçlu 45 gündür gecikmiş ve ödeme skoru düşmekte — bugün aranmalı.”</w:t>
      </w:r>
    </w:p>
    <w:p>
      <w:pPr>
        <w:spacing w:after="120" w:before="240"/>
      </w:pPr>
      <w:r>
        <w:rPr>
          <w:rFonts w:ascii="Arial" w:cs="Arial" w:eastAsia="Arial" w:hAnsi="Arial"/>
          <w:b/>
          <w:bCs/>
          <w:color w:val="1B2A4A"/>
          <w:sz w:val="24"/>
          <w:szCs w:val="24"/>
        </w:rPr>
        <w:t xml:space="preserve">Tech Stack Önerisi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w:t>
            </w:r>
          </w:p>
        </w:tc>
        <w:tc>
          <w:tcPr>
            <w:tcW w:type="dxa" w:w="3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Teknoloji</w:t>
            </w:r>
          </w:p>
        </w:tc>
        <w:tc>
          <w:tcPr>
            <w:tcW w:type="dxa" w:w="38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Gerekçe</w:t>
            </w:r>
          </w:p>
        </w:tc>
      </w:tr>
      <w:tr>
        <w:tc>
          <w:tcPr>
            <w:tcW w:type="dxa" w:w="2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Orchestration</w:t>
            </w:r>
          </w:p>
        </w:tc>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LangGraph</w:t>
            </w:r>
          </w:p>
        </w:tc>
        <w:tc>
          <w:tcPr>
            <w:tcW w:type="dxa" w:w="3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Multi-agent workflow, production-ready, state management</w:t>
            </w:r>
          </w:p>
        </w:tc>
      </w:tr>
      <w:tr>
        <w:tc>
          <w:tcPr>
            <w:tcW w:type="dxa" w:w="24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Model</w:t>
            </w:r>
          </w:p>
        </w:tc>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Llama 3.1 70B + fallback</w:t>
            </w:r>
          </w:p>
        </w:tc>
        <w:tc>
          <w:tcPr>
            <w:tcW w:type="dxa" w:w="38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Maliyet-performans dengesi; hassas işlemler için büyük model fallback</w:t>
            </w:r>
          </w:p>
        </w:tc>
      </w:tr>
      <w:tr>
        <w:tc>
          <w:tcPr>
            <w:tcW w:type="dxa" w:w="2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Gözlemlenebilirlik</w:t>
            </w:r>
          </w:p>
        </w:tc>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Langfuse / Arize AI</w:t>
            </w:r>
          </w:p>
        </w:tc>
        <w:tc>
          <w:tcPr>
            <w:tcW w:type="dxa" w:w="3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Finansal bağlamda agent davranışı izleme — compliance için zorunlu</w:t>
            </w:r>
          </w:p>
        </w:tc>
      </w:tr>
      <w:tr>
        <w:tc>
          <w:tcPr>
            <w:tcW w:type="dxa" w:w="24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Veri Pipeline</w:t>
            </w:r>
          </w:p>
        </w:tc>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Apache Kafka</w:t>
            </w:r>
          </w:p>
        </w:tc>
        <w:tc>
          <w:tcPr>
            <w:tcW w:type="dxa" w:w="38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Gerçek zamanlı ödeme event stream işleme</w:t>
            </w:r>
          </w:p>
        </w:tc>
      </w:tr>
      <w:tr>
        <w:tc>
          <w:tcPr>
            <w:tcW w:type="dxa" w:w="2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Kural Motoru</w:t>
            </w:r>
          </w:p>
        </w:tc>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Python + kural kütüphanesi</w:t>
            </w:r>
          </w:p>
        </w:tc>
        <w:tc>
          <w:tcPr>
            <w:tcW w:type="dxa" w:w="3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Çift kaynak doğrulama için deterministik katman</w:t>
            </w:r>
          </w:p>
        </w:tc>
      </w:tr>
    </w:tbl>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9. Optimizasyon &amp; Üretim Planı</w:t>
      </w:r>
    </w:p>
    <w:p>
      <w:pPr>
        <w:spacing w:after="120" w:before="240"/>
      </w:pPr>
      <w:r>
        <w:rPr>
          <w:rFonts w:ascii="Arial" w:cs="Arial" w:eastAsia="Arial" w:hAnsi="Arial"/>
          <w:b/>
          <w:bCs/>
          <w:color w:val="1B2A4A"/>
          <w:sz w:val="24"/>
          <w:szCs w:val="24"/>
        </w:rPr>
        <w:t xml:space="preserve">Maliyet Optimizasyonu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c>
          <w:tcPr>
            <w:tcW w:type="dxa" w:w="2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Yöntem</w:t>
            </w:r>
          </w:p>
        </w:tc>
        <w:tc>
          <w:tcPr>
            <w:tcW w:type="dxa" w:w="3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Araç</w:t>
            </w:r>
          </w:p>
        </w:tc>
        <w:tc>
          <w:tcPr>
            <w:tcW w:type="dxa" w:w="3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Tahmini Kazanım</w:t>
            </w:r>
          </w:p>
        </w:tc>
      </w:tr>
      <w:tr>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Prompt Caching</w:t>
            </w:r>
          </w:p>
        </w:tc>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Anthropic / OpenAI cache API</w:t>
            </w:r>
          </w:p>
        </w:tc>
        <w:tc>
          <w:tcPr>
            <w:tcW w:type="dxa" w:w="3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API maliyetinde %60–80 azalma (tekrarlayan fatura şablonları için)</w:t>
            </w:r>
          </w:p>
        </w:tc>
      </w:tr>
      <w:tr>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Model Routing</w:t>
            </w:r>
          </w:p>
        </w:tc>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GPT-4o mini / Haiku + büyük model</w:t>
            </w:r>
          </w:p>
        </w:tc>
        <w:tc>
          <w:tcPr>
            <w:tcW w:type="dxa" w:w="3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Basit eşleştirme işlemlerinde token maliyeti %50+ düşer</w:t>
            </w:r>
          </w:p>
        </w:tc>
      </w:tr>
      <w:tr>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Batch Processing</w:t>
            </w:r>
          </w:p>
        </w:tc>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Anthropic Batch API</w:t>
            </w:r>
          </w:p>
        </w:tc>
        <w:tc>
          <w:tcPr>
            <w:tcW w:type="dxa" w:w="3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Gerçek zamanlı gerekmeyen işlemlerde %50 maliyet avantajı</w:t>
            </w:r>
          </w:p>
        </w:tc>
      </w:tr>
      <w:tr>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Fine-tuning</w:t>
            </w:r>
          </w:p>
        </w:tc>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Llama 3.1 70B domain fine-tune</w:t>
            </w:r>
          </w:p>
        </w:tc>
        <w:tc>
          <w:tcPr>
            <w:tcW w:type="dxa" w:w="3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Sektöre özel modeller: daha düşük maliyet, daha yüksek doğruluk</w:t>
            </w:r>
          </w:p>
        </w:tc>
      </w:tr>
    </w:tbl>
    <w:p>
      <w:pPr>
        <w:spacing w:after="0" w:before="120"/>
      </w:pPr>
      <w:r>
        <w:t xml:space="preserve"/>
      </w:r>
    </w:p>
    <w:p>
      <w:pPr>
        <w:spacing w:after="120" w:before="240"/>
      </w:pPr>
      <w:r>
        <w:rPr>
          <w:rFonts w:ascii="Arial" w:cs="Arial" w:eastAsia="Arial" w:hAnsi="Arial"/>
          <w:b/>
          <w:bCs/>
          <w:color w:val="1B2A4A"/>
          <w:sz w:val="24"/>
          <w:szCs w:val="24"/>
        </w:rPr>
        <w:t xml:space="preserve">Üretim Planı (Zaman Çizelgesi)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Dönem</w:t>
            </w:r>
          </w:p>
        </w:tc>
        <w:tc>
          <w:tcPr>
            <w:tcW w:type="dxa" w:w="74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Hedef</w:t>
            </w:r>
          </w:p>
        </w:tc>
      </w:tr>
      <w:tr>
        <w:tc>
          <w:tcPr>
            <w:tcW w:type="dxa" w:w="1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Ay 1–2</w:t>
            </w:r>
          </w:p>
        </w:tc>
        <w:tc>
          <w:tcPr>
            <w:tcW w:type="dxa" w:w="7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SOC2 Type II hazırlığı, penetrasyon testi, veri şifreleme audit. Compliance önce gelir — enterprise satışın önündeki en büyük engeli kaldırır.</w:t>
            </w:r>
          </w:p>
        </w:tc>
      </w:tr>
      <w:tr>
        <w:tc>
          <w:tcPr>
            <w:tcW w:type="dxa" w:w="18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Ay 2–3</w:t>
            </w:r>
          </w:p>
        </w:tc>
        <w:tc>
          <w:tcPr>
            <w:tcW w:type="dxa" w:w="74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Model router, prompt caching, Langfuse entegrasyonu. Confidence Gate implementasyonu — her agent çıktısı artık skor üretiyor.</w:t>
            </w:r>
          </w:p>
        </w:tc>
      </w:tr>
      <w:tr>
        <w:tc>
          <w:tcPr>
            <w:tcW w:type="dxa" w:w="1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Ay 3–4</w:t>
            </w:r>
          </w:p>
        </w:tc>
        <w:tc>
          <w:tcPr>
            <w:tcW w:type="dxa" w:w="7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Self-serve onboarding portalı, ilk 5 LMS için API konnektör kütüphanesi. Implementasyon süresini haftadan 2 güne indirme hedefi.</w:t>
            </w:r>
          </w:p>
        </w:tc>
      </w:tr>
      <w:tr>
        <w:tc>
          <w:tcPr>
            <w:tcW w:type="dxa" w:w="18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Ay 4–6</w:t>
            </w:r>
          </w:p>
        </w:tc>
        <w:tc>
          <w:tcPr>
            <w:tcW w:type="dxa" w:w="74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İkinci müşteri onboarding, A/B test: agent vs. kural motoru karşılaştırması. Audit trail çıktılarının compliance raporlamasına entegrasyonu.</w:t>
            </w:r>
          </w:p>
        </w:tc>
      </w:tr>
      <w:tr>
        <w:tc>
          <w:tcPr>
            <w:tcW w:type="dxa" w:w="18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Ay 6+</w:t>
            </w:r>
          </w:p>
        </w:tc>
        <w:tc>
          <w:tcPr>
            <w:tcW w:type="dxa" w:w="7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Ürün genişlemesi: equipment finance ve supply chain finance segmentlerine Collections Intelligence modülüyle giriş.</w:t>
            </w:r>
          </w:p>
        </w:tc>
      </w:tr>
    </w:tbl>
    <w:p>
      <w:pPr>
        <w:spacing w:after="0" w:before="80"/>
      </w:pPr>
      <w:r>
        <w:t xml:space="preserve"/>
      </w:r>
    </w:p>
    <w:p>
      <w:r>
        <w:br w:type="page"/>
      </w:r>
    </w:p>
    <w:p>
      <w:pPr>
        <w:pStyle w:val="Heading2"/>
        <w:pBdr>
          <w:bottom w:val="single" w:color="3B82F6" w:sz="2"/>
        </w:pBdr>
        <w:spacing w:after="160" w:before="320"/>
      </w:pPr>
      <w:r>
        <w:rPr>
          <w:rFonts w:ascii="Arial" w:cs="Arial" w:eastAsia="Arial" w:hAnsi="Arial"/>
          <w:b/>
          <w:bCs/>
          <w:color w:val="2E4E8A"/>
          <w:sz w:val="28"/>
          <w:szCs w:val="28"/>
        </w:rPr>
        <w:t xml:space="preserve">10. Otomasyon Planı — Collections Intelligence Sistemi</w:t>
      </w:r>
    </w:p>
    <w:p>
      <w:pPr>
        <w:spacing w:after="120" w:before="240"/>
      </w:pPr>
      <w:r>
        <w:rPr>
          <w:rFonts w:ascii="Arial" w:cs="Arial" w:eastAsia="Arial" w:hAnsi="Arial"/>
          <w:b/>
          <w:bCs/>
          <w:color w:val="1B2A4A"/>
          <w:sz w:val="24"/>
          <w:szCs w:val="24"/>
        </w:rPr>
        <w:t xml:space="preserve">Seçilen Süreç: Ürün (Collections Decision Automation)</w:t>
      </w:r>
    </w:p>
    <w:p>
      <w:pPr>
        <w:spacing w:after="120" w:before="80" w:line="276"/>
      </w:pPr>
      <w:r>
        <w:rPr>
          <w:rFonts w:ascii="Arial" w:cs="Arial" w:eastAsia="Arial" w:hAnsi="Arial"/>
          <w:color w:val="1B2A4A"/>
          <w:sz w:val="22"/>
          <w:szCs w:val="22"/>
        </w:rPr>
        <w:t xml:space="preserve">Bir factoring şirketinde her sabah şunu yaşanıyor: Collections Manager, 50–200 borçluya bakıyor. Elinde Excel, LMS ve banka hesabı var. Soruyor: “Bugün kimi arayım, kime e-posta atılayım, kimi bekletelim?” Bu karar tamamen sezgi + deneyim + manuel kontrol ile veriliyor. Saatler alıyor, tutarsız, ölçeksiz.</w:t>
      </w:r>
    </w:p>
    <w:p>
      <w:pPr>
        <w:spacing w:after="120" w:before="80" w:line="276"/>
      </w:pPr>
      <w:r>
        <w:rPr>
          <w:rFonts w:ascii="Arial" w:cs="Arial" w:eastAsia="Arial" w:hAnsi="Arial"/>
          <w:color w:val="1B2A4A"/>
          <w:sz w:val="22"/>
          <w:szCs w:val="22"/>
        </w:rPr>
        <w:t xml:space="preserve">Bu otomasyonun hedefi: Collections Manager’ın bu sabah rutinini sonuç kalitesini düşürmeden 2 saaten 10 dakikaya indirmek.</w:t>
      </w:r>
    </w:p>
    <w:p>
      <w:pPr>
        <w:spacing w:after="120" w:before="240"/>
      </w:pPr>
      <w:r>
        <w:rPr>
          <w:rFonts w:ascii="Arial" w:cs="Arial" w:eastAsia="Arial" w:hAnsi="Arial"/>
          <w:b/>
          <w:bCs/>
          <w:color w:val="1B2A4A"/>
          <w:sz w:val="24"/>
          <w:szCs w:val="24"/>
        </w:rPr>
        <w:t xml:space="preserve">Otomasyon Mimarisi</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w:t>
            </w:r>
          </w:p>
        </w:tc>
        <w:tc>
          <w:tcPr>
            <w:tcW w:type="dxa" w:w="7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Veri</w:t>
            </w:r>
          </w:p>
        </w:tc>
        <w:tc>
          <w:tcPr>
            <w:tcW w:type="dxa" w:w="7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Her borçlu için: gecikme günü, açık fatura tutarı, geçmiş ödeme başarı oranı, son iletişimden geçen gün, gecikme trendi</w:t>
            </w:r>
          </w:p>
        </w:tc>
      </w:tr>
      <w:tr>
        <w:tc>
          <w:tcPr>
            <w:tcW w:type="dxa" w:w="2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Risk Skorlama</w:t>
            </w:r>
          </w:p>
        </w:tc>
        <w:tc>
          <w:tcPr>
            <w:tcW w:type="dxa" w:w="7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Ağırlıklı formül ile 0–100 arası risk skoru. Açıklanabilir olması için kural bazlı — ML değil. Her skor neye göre hesaplandı sorusuna anında cevap verebilir.</w:t>
            </w:r>
          </w:p>
        </w:tc>
      </w:tr>
      <w:tr>
        <w:tc>
          <w:tcPr>
            <w:tcW w:type="dxa" w:w="2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Aksiyon Motoru</w:t>
            </w:r>
          </w:p>
        </w:tc>
        <w:tc>
          <w:tcPr>
            <w:tcW w:type="dxa" w:w="7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Skor + kural: Krit Ara (80-100) / E-posta At (60-79) / Takipte Tut (40-59) / Bekle (0-39)</w:t>
            </w:r>
          </w:p>
        </w:tc>
      </w:tr>
      <w:tr>
        <w:tc>
          <w:tcPr>
            <w:tcW w:type="dxa" w:w="2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LLM Açıklama</w:t>
            </w:r>
          </w:p>
        </w:tc>
        <w:tc>
          <w:tcPr>
            <w:tcW w:type="dxa" w:w="7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Groq (Llama 3.1): Her borçlu için 1–2 cümle insan dili açıklama. Kararı vermez, açıklar. Bu kritik ayrımdır.</w:t>
            </w:r>
          </w:p>
        </w:tc>
      </w:tr>
      <w:tr>
        <w:tc>
          <w:tcPr>
            <w:tcW w:type="dxa" w:w="2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Dashboard</w:t>
            </w:r>
          </w:p>
        </w:tc>
        <w:tc>
          <w:tcPr>
            <w:tcW w:type="dxa" w:w="7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Streamlit: Portföy özeti, filtrelenebilir borçlu tablosu, CSV export — collections manager bugünü 10 dakikada planlar</w:t>
            </w:r>
          </w:p>
        </w:tc>
      </w:tr>
    </w:tbl>
    <w:p>
      <w:pPr>
        <w:spacing w:after="0" w:before="120"/>
      </w:pPr>
      <w:r>
        <w:t xml:space="preserve"/>
      </w:r>
    </w:p>
    <w:p>
      <w:pPr>
        <w:spacing w:after="120" w:before="240"/>
      </w:pPr>
      <w:r>
        <w:rPr>
          <w:rFonts w:ascii="Arial" w:cs="Arial" w:eastAsia="Arial" w:hAnsi="Arial"/>
          <w:b/>
          <w:bCs/>
          <w:color w:val="1B2A4A"/>
          <w:sz w:val="24"/>
          <w:szCs w:val="24"/>
        </w:rPr>
        <w:t xml:space="preserve">Risk Skorlama Formülü</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c>
          <w:tcPr>
            <w:tcW w:type="dxa" w:w="3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Değişken</w:t>
            </w:r>
          </w:p>
        </w:tc>
        <w:tc>
          <w:tcPr>
            <w:tcW w:type="dxa" w:w="2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Ağırlık</w:t>
            </w:r>
          </w:p>
        </w:tc>
        <w:tc>
          <w:tcPr>
            <w:tcW w:type="dxa" w:w="42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Gerekçe</w:t>
            </w:r>
          </w:p>
        </w:tc>
      </w:tr>
      <w:tr>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days_overdue (gecikme günü)</w:t>
            </w:r>
          </w:p>
        </w:tc>
        <w:tc>
          <w:tcPr>
            <w:tcW w:type="dxa" w:w="2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3B82F6"/>
                <w:sz w:val="20"/>
                <w:szCs w:val="20"/>
              </w:rPr>
              <w:t xml:space="preserve">%35</w:t>
            </w:r>
          </w:p>
        </w:tc>
        <w:tc>
          <w:tcPr>
            <w:tcW w:type="dxa" w:w="4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En dolaylı likidite riski göstergesi</w:t>
            </w:r>
          </w:p>
        </w:tc>
      </w:tr>
      <w:tr>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outstanding_amount (açık tutar)</w:t>
            </w:r>
          </w:p>
        </w:tc>
        <w:tc>
          <w:tcPr>
            <w:tcW w:type="dxa" w:w="2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3B82F6"/>
                <w:sz w:val="20"/>
                <w:szCs w:val="20"/>
              </w:rPr>
              <w:t xml:space="preserve">%25</w:t>
            </w:r>
          </w:p>
        </w:tc>
        <w:tc>
          <w:tcPr>
            <w:tcW w:type="dxa" w:w="4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Finansal etki büyüklüğü</w:t>
            </w:r>
          </w:p>
        </w:tc>
      </w:tr>
      <w:tr>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payment_history_score (geçmiş skor)</w:t>
            </w:r>
          </w:p>
        </w:tc>
        <w:tc>
          <w:tcPr>
            <w:tcW w:type="dxa" w:w="2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3B82F6"/>
                <w:sz w:val="20"/>
                <w:szCs w:val="20"/>
              </w:rPr>
              <w:t xml:space="preserve">%20</w:t>
            </w:r>
          </w:p>
        </w:tc>
        <w:tc>
          <w:tcPr>
            <w:tcW w:type="dxa" w:w="4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Davranış pattern’i — olasılık tahmini için en güçlü sinyal</w:t>
            </w:r>
          </w:p>
        </w:tc>
      </w:tr>
      <w:tr>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days_since_contact (son iletişim)</w:t>
            </w:r>
          </w:p>
        </w:tc>
        <w:tc>
          <w:tcPr>
            <w:tcW w:type="dxa" w:w="2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3B82F6"/>
                <w:sz w:val="20"/>
                <w:szCs w:val="20"/>
              </w:rPr>
              <w:t xml:space="preserve">%20</w:t>
            </w:r>
          </w:p>
        </w:tc>
        <w:tc>
          <w:tcPr>
            <w:tcW w:type="dxa" w:w="4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Uzun süre sessiz borçlu = yükselen risk</w:t>
            </w:r>
          </w:p>
        </w:tc>
      </w:tr>
      <w:tr>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trend (gecikme eğilimi)</w:t>
            </w:r>
          </w:p>
        </w:tc>
        <w:tc>
          <w:tcPr>
            <w:tcW w:type="dxa" w:w="2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3B82F6"/>
                <w:sz w:val="20"/>
                <w:szCs w:val="20"/>
              </w:rPr>
              <w:t xml:space="preserve">%0 (katkı değişken)</w:t>
            </w:r>
          </w:p>
        </w:tc>
        <w:tc>
          <w:tcPr>
            <w:tcW w:type="dxa" w:w="4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Yön bilgisi — skoru artırır veya azaltır</w:t>
            </w:r>
          </w:p>
        </w:tc>
      </w:tr>
    </w:tbl>
    <w:p>
      <w:pPr>
        <w:spacing w:after="0" w:before="120"/>
      </w:pPr>
      <w:r>
        <w:t xml:space="preserve"/>
      </w:r>
    </w:p>
    <w:p>
      <w:pPr>
        <w:spacing w:after="120" w:before="240"/>
      </w:pPr>
      <w:r>
        <w:rPr>
          <w:rFonts w:ascii="Arial" w:cs="Arial" w:eastAsia="Arial" w:hAnsi="Arial"/>
          <w:b/>
          <w:bCs/>
          <w:color w:val="1B2A4A"/>
          <w:sz w:val="24"/>
          <w:szCs w:val="24"/>
        </w:rPr>
        <w:t xml:space="preserve">Maliyet – Fayda Analizi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Kalem</w:t>
            </w:r>
          </w:p>
        </w:tc>
        <w:tc>
          <w:tcPr>
            <w:tcW w:type="dxa" w:w="31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Collections Manager (Mevcut)</w:t>
            </w:r>
          </w:p>
        </w:tc>
        <w:tc>
          <w:tcPr>
            <w:tcW w:type="dxa" w:w="31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Collections Intelligence</w:t>
            </w:r>
          </w:p>
        </w:tc>
      </w:tr>
      <w:tr>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Aylık Maliyet</w:t>
            </w:r>
          </w:p>
        </w:tc>
        <w:tc>
          <w:tcPr>
            <w:tcW w:type="dxa" w:w="31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5.000–8.000 USD (maşaş + yan gider)</w:t>
            </w:r>
          </w:p>
        </w:tc>
        <w:tc>
          <w:tcPr>
            <w:tcW w:type="dxa" w:w="31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150–400 USD (API + sunucu)</w:t>
            </w:r>
          </w:p>
        </w:tc>
      </w:tr>
      <w:tr>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Günlük Portföy İnceleme</w:t>
            </w:r>
          </w:p>
        </w:tc>
        <w:tc>
          <w:tcPr>
            <w:tcW w:type="dxa" w:w="31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50–200 borçlu, 1.5–2 saat</w:t>
            </w:r>
          </w:p>
        </w:tc>
        <w:tc>
          <w:tcPr>
            <w:tcW w:type="dxa" w:w="31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50–500 borçlu, 10 dakika (onayı insan verir)</w:t>
            </w:r>
          </w:p>
        </w:tc>
      </w:tr>
      <w:tr>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Açıklanabilirlik</w:t>
            </w:r>
          </w:p>
        </w:tc>
        <w:tc>
          <w:tcPr>
            <w:tcW w:type="dxa" w:w="31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Yüksek (insan sezgisi, ama belgelenmemiş)</w:t>
            </w:r>
          </w:p>
        </w:tc>
        <w:tc>
          <w:tcPr>
            <w:tcW w:type="dxa" w:w="31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Yüksek (skor + LLM açıklama + audit log)</w:t>
            </w:r>
          </w:p>
        </w:tc>
      </w:tr>
      <w:tr>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Tutarsızlık Riski</w:t>
            </w:r>
          </w:p>
        </w:tc>
        <w:tc>
          <w:tcPr>
            <w:tcW w:type="dxa" w:w="31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Yüksek (yorgunluk, mood, kişisel bias)</w:t>
            </w:r>
          </w:p>
        </w:tc>
        <w:tc>
          <w:tcPr>
            <w:tcW w:type="dxa" w:w="31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Düşük (deterministik formül + LLM açıklama)</w:t>
            </w:r>
          </w:p>
        </w:tc>
      </w:tr>
      <w:tr>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Ölçeklenme</w:t>
            </w:r>
          </w:p>
        </w:tc>
        <w:tc>
          <w:tcPr>
            <w:tcW w:type="dxa" w:w="31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Doğrusal (her 200 borçlu = yeni eleman)</w:t>
            </w:r>
          </w:p>
        </w:tc>
        <w:tc>
          <w:tcPr>
            <w:tcW w:type="dxa" w:w="31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Marjinal maliyet (ölçeklenme API token maliyeti)</w:t>
            </w:r>
          </w:p>
        </w:tc>
      </w:tr>
    </w:tbl>
    <w:p>
      <w:pPr>
        <w:spacing w:after="0" w:before="120"/>
      </w:pPr>
      <w:r>
        <w:t xml:space="preserve"/>
      </w:r>
    </w:p>
    <w:p>
      <w:pPr>
        <w:spacing w:after="120" w:before="240"/>
      </w:pPr>
      <w:r>
        <w:rPr>
          <w:rFonts w:ascii="Arial" w:cs="Arial" w:eastAsia="Arial" w:hAnsi="Arial"/>
          <w:b/>
          <w:bCs/>
          <w:color w:val="1B2A4A"/>
          <w:sz w:val="24"/>
          <w:szCs w:val="24"/>
        </w:rPr>
        <w:t xml:space="preserve">ROI Hesabı</w:t>
      </w:r>
    </w:p>
    <w:p>
      <w:pPr>
        <w:spacing w:after="120" w:before="80" w:line="276"/>
      </w:pPr>
      <w:r>
        <w:rPr>
          <w:rFonts w:ascii="Arial" w:cs="Arial" w:eastAsia="Arial" w:hAnsi="Arial"/>
          <w:color w:val="1B2A4A"/>
          <w:sz w:val="22"/>
          <w:szCs w:val="22"/>
        </w:rPr>
        <w:t xml:space="preserve">Varsayım: Orta ölçekli bir factoring şirketi, 150 borçlu portföyü, 1 Collections Manager.</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600"/>
      </w:tblGrid>
      <w:tr>
        <w:tc>
          <w:tcPr>
            <w:tcW w:type="dxa" w:w="4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Kalem</w:t>
            </w:r>
          </w:p>
        </w:tc>
        <w:tc>
          <w:tcPr>
            <w:tcW w:type="dxa" w:w="2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Yıllık Maliyet (USD)</w:t>
            </w:r>
          </w:p>
        </w:tc>
        <w:tc>
          <w:tcPr>
            <w:tcW w:type="dxa" w:w="2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4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Collections Manager (mevcut)</w:t>
            </w:r>
          </w:p>
        </w:tc>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72.000 – 96.000</w:t>
            </w:r>
          </w:p>
        </w:tc>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6.000–8.000 USD/ay</w:t>
            </w:r>
          </w:p>
        </w:tc>
      </w:tr>
      <w:tr>
        <w:tc>
          <w:tcPr>
            <w:tcW w:type="dxa" w:w="4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AI Collections Sistemi — Geliştirme</w:t>
            </w:r>
          </w:p>
        </w:tc>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8.000 – 15.000</w:t>
            </w:r>
          </w:p>
        </w:tc>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Tek seferlik (Python + Streamlit + entegrasyon)</w:t>
            </w:r>
          </w:p>
        </w:tc>
      </w:tr>
      <w:tr>
        <w:tc>
          <w:tcPr>
            <w:tcW w:type="dxa" w:w="4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AI Collections Sistemi — İşletme</w:t>
            </w:r>
          </w:p>
        </w:tc>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1.800 – 4.800</w:t>
            </w:r>
          </w:p>
        </w:tc>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150–400 USD/ay (API + sunucu)</w:t>
            </w:r>
          </w:p>
        </w:tc>
      </w:tr>
      <w:tr>
        <w:tc>
          <w:tcPr>
            <w:tcW w:type="dxa" w:w="4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2E4E8A"/>
                <w:sz w:val="20"/>
                <w:szCs w:val="20"/>
              </w:rPr>
              <w:t xml:space="preserve">1. Yıl Net Tasarruf</w:t>
            </w:r>
          </w:p>
        </w:tc>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2E4E8A"/>
                <w:sz w:val="20"/>
                <w:szCs w:val="20"/>
              </w:rPr>
              <w:t xml:space="preserve">52.000 – 76.000 USD</w:t>
            </w:r>
          </w:p>
        </w:tc>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Sistem + işletme düşülmüş</w:t>
            </w:r>
          </w:p>
        </w:tc>
      </w:tr>
      <w:tr>
        <w:tc>
          <w:tcPr>
            <w:tcW w:type="dxa" w:w="4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3B82F6"/>
                <w:sz w:val="20"/>
                <w:szCs w:val="20"/>
              </w:rPr>
              <w:t xml:space="preserve">Yıllık ROI (1. yıl)</w:t>
            </w:r>
          </w:p>
        </w:tc>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3B82F6"/>
                <w:sz w:val="20"/>
                <w:szCs w:val="20"/>
              </w:rPr>
              <w:t xml:space="preserve">4x – 7x</w:t>
            </w:r>
          </w:p>
        </w:tc>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Verimlilik artışı dahil değil</w:t>
            </w:r>
          </w:p>
        </w:tc>
      </w:tr>
    </w:tbl>
    <w:p>
      <w:pPr>
        <w:spacing w:after="0" w:before="120"/>
      </w:pPr>
      <w:r>
        <w:t xml:space="preserve"/>
      </w:r>
    </w:p>
    <w:p>
      <w:pPr>
        <w:spacing w:after="120" w:before="240"/>
      </w:pPr>
      <w:r>
        <w:rPr>
          <w:rFonts w:ascii="Arial" w:cs="Arial" w:eastAsia="Arial" w:hAnsi="Arial"/>
          <w:b/>
          <w:bCs/>
          <w:color w:val="1B2A4A"/>
          <w:sz w:val="24"/>
          <w:szCs w:val="24"/>
        </w:rPr>
        <w:t xml:space="preserve">Verimlilik Artışı – Nasıl Ölçülecek?</w:t>
      </w:r>
    </w:p>
    <w:p>
      <w:pPr>
        <w:pStyle w:val="ListParagraph"/>
        <w:numPr>
          <w:ilvl w:val="0"/>
          <w:numId w:val="2"/>
        </w:numPr>
        <w:spacing w:after="60" w:before="60" w:line="276"/>
      </w:pPr>
      <w:r>
        <w:rPr>
          <w:rFonts w:ascii="Arial" w:cs="Arial" w:eastAsia="Arial" w:hAnsi="Arial"/>
          <w:color w:val="1B2A4A"/>
          <w:sz w:val="22"/>
          <w:szCs w:val="22"/>
        </w:rPr>
        <w:t xml:space="preserve">Collections Manager’ın portföy inceleme süresi: Başlangıç 2 saat → hedef 10 dakika</w:t>
      </w:r>
    </w:p>
    <w:p>
      <w:pPr>
        <w:pStyle w:val="ListParagraph"/>
        <w:numPr>
          <w:ilvl w:val="0"/>
          <w:numId w:val="2"/>
        </w:numPr>
        <w:spacing w:after="60" w:before="60" w:line="276"/>
      </w:pPr>
      <w:r>
        <w:rPr>
          <w:rFonts w:ascii="Arial" w:cs="Arial" w:eastAsia="Arial" w:hAnsi="Arial"/>
          <w:color w:val="1B2A4A"/>
          <w:sz w:val="22"/>
          <w:szCs w:val="22"/>
        </w:rPr>
        <w:t xml:space="preserve">Yanlış öncelik oranı (yüksek riskli borçlunun kaçırılması): Haftalık takip</w:t>
      </w:r>
    </w:p>
    <w:p>
      <w:pPr>
        <w:pStyle w:val="ListParagraph"/>
        <w:numPr>
          <w:ilvl w:val="0"/>
          <w:numId w:val="2"/>
        </w:numPr>
        <w:spacing w:after="60" w:before="60" w:line="276"/>
      </w:pPr>
      <w:r>
        <w:rPr>
          <w:rFonts w:ascii="Arial" w:cs="Arial" w:eastAsia="Arial" w:hAnsi="Arial"/>
          <w:color w:val="1B2A4A"/>
          <w:sz w:val="22"/>
          <w:szCs w:val="22"/>
        </w:rPr>
        <w:t xml:space="preserve">Tahsilat başarı oranı: AI öncelik sırası vs. manuel sıralamayla kıyasla</w:t>
      </w:r>
    </w:p>
    <w:p>
      <w:pPr>
        <w:pStyle w:val="ListParagraph"/>
        <w:numPr>
          <w:ilvl w:val="0"/>
          <w:numId w:val="2"/>
        </w:numPr>
        <w:spacing w:after="60" w:before="60" w:line="276"/>
      </w:pPr>
      <w:r>
        <w:rPr>
          <w:rFonts w:ascii="Arial" w:cs="Arial" w:eastAsia="Arial" w:hAnsi="Arial"/>
          <w:color w:val="1B2A4A"/>
          <w:sz w:val="22"/>
          <w:szCs w:val="22"/>
        </w:rPr>
        <w:t xml:space="preserve">Ortalama gecikme süresi (days past due): Çeyrekte azalma eğilimi</w:t>
      </w:r>
    </w:p>
    <w:p>
      <w:pPr>
        <w:spacing w:after="120" w:before="240"/>
      </w:pPr>
      <w:r>
        <w:rPr>
          <w:rFonts w:ascii="Arial" w:cs="Arial" w:eastAsia="Arial" w:hAnsi="Arial"/>
          <w:b/>
          <w:bCs/>
          <w:color w:val="1B2A4A"/>
          <w:sz w:val="24"/>
          <w:szCs w:val="24"/>
        </w:rPr>
        <w:t xml:space="preserve">Stratejik Değer</w:t>
      </w:r>
    </w:p>
    <w:p>
      <w:pPr>
        <w:spacing w:after="120" w:before="80" w:line="276"/>
      </w:pPr>
      <w:r>
        <w:rPr>
          <w:rFonts w:ascii="Arial" w:cs="Arial" w:eastAsia="Arial" w:hAnsi="Arial"/>
          <w:color w:val="1B2A4A"/>
          <w:sz w:val="22"/>
          <w:szCs w:val="22"/>
        </w:rPr>
        <w:t xml:space="preserve">Bu otomasyon yalnızca maliyet tasarrufu sağlamaz. Collections Manager’ın sabahlarını Excel’e değil, istisnalara ve ilişki yönetimine ayırmasını mümkün kılar. Şiőkette gerçek değer yaratan alan burasıdır — AI’ın yapamadığı şey.</w:t>
      </w:r>
    </w:p>
    <w:p>
      <w:pPr>
        <w:spacing w:after="120" w:before="80" w:line="276"/>
      </w:pPr>
      <w:r>
        <w:rPr>
          <w:rFonts w:ascii="Arial" w:cs="Arial" w:eastAsia="Arial" w:hAnsi="Arial"/>
          <w:color w:val="1B2A4A"/>
          <w:sz w:val="22"/>
          <w:szCs w:val="22"/>
        </w:rPr>
        <w:t xml:space="preserve">Aynı zamanda bu sistem Zolvo için bir çekirdek ürün katmanı olabilir: Müşteri kuruluşundan itibaren her borçlu kararının audit log’u oluşmakta, bu veri Zolvo’nun gelecekteki model eğitimi için değer taşımaktadır.</w:t>
      </w:r>
    </w:p>
    <w:p>
      <w:r>
        <w:br w:type="page"/>
      </w:r>
    </w:p>
    <w:p>
      <w:pPr>
        <w:pStyle w:val="Heading1"/>
        <w:pBdr>
          <w:bottom w:val="single" w:color="3B82F6" w:sz="4"/>
        </w:pBdr>
        <w:shd w:fill="1B2A4A" w:val="clear"/>
        <w:spacing w:after="200" w:before="400"/>
        <w:ind w:left="200" w:right="200"/>
      </w:pPr>
      <w:r>
        <w:rPr>
          <w:rFonts w:ascii="Arial" w:cs="Arial" w:eastAsia="Arial" w:hAnsi="Arial"/>
          <w:b/>
          <w:bCs/>
          <w:color w:val="FFFFFF"/>
          <w:sz w:val="36"/>
          <w:szCs w:val="36"/>
        </w:rPr>
        <w:t xml:space="preserve">BONUS — PoC: Collections Intelligence Prototipi</w:t>
      </w:r>
    </w:p>
    <w:p>
      <w:pPr>
        <w:spacing w:after="0" w:before="80"/>
      </w:pPr>
      <w:r>
        <w:t xml:space="preserve"/>
      </w:r>
    </w:p>
    <w:p>
      <w:pPr>
        <w:spacing w:after="120" w:before="80" w:line="276"/>
      </w:pPr>
      <w:r>
        <w:rPr>
          <w:rFonts w:ascii="Arial" w:cs="Arial" w:eastAsia="Arial" w:hAnsi="Arial"/>
          <w:color w:val="1B2A4A"/>
          <w:sz w:val="22"/>
          <w:szCs w:val="22"/>
        </w:rPr>
        <w:t xml:space="preserve">Bolu 10’da kurgulanan Collections Intelligence sistemi, çalışır bir prototip olarak geliştirilmiştir. Prototip; Python, Streamlit ve Groq API (Llama 3.1 70B) kullanmaktadır. Tüm bileşenler ücretsizdir.</w:t>
      </w:r>
    </w:p>
    <w:p>
      <w:pPr>
        <w:spacing w:after="120" w:before="240"/>
      </w:pPr>
      <w:r>
        <w:rPr>
          <w:rFonts w:ascii="Arial" w:cs="Arial" w:eastAsia="Arial" w:hAnsi="Arial"/>
          <w:b/>
          <w:bCs/>
          <w:color w:val="1B2A4A"/>
          <w:sz w:val="24"/>
          <w:szCs w:val="24"/>
        </w:rPr>
        <w:t xml:space="preserve">Prototip Kapsamı</w:t>
      </w:r>
    </w:p>
    <w:p>
      <w:pPr>
        <w:pStyle w:val="ListParagraph"/>
        <w:numPr>
          <w:ilvl w:val="0"/>
          <w:numId w:val="2"/>
        </w:numPr>
        <w:spacing w:after="60" w:before="60" w:line="276"/>
      </w:pPr>
      <w:r>
        <w:rPr>
          <w:rFonts w:ascii="Arial" w:cs="Arial" w:eastAsia="Arial" w:hAnsi="Arial"/>
          <w:color w:val="1B2A4A"/>
          <w:sz w:val="22"/>
          <w:szCs w:val="22"/>
        </w:rPr>
        <w:t xml:space="preserve">50 adet mock borçlu verisi (gerçekçi dağılım)</w:t>
      </w:r>
    </w:p>
    <w:p>
      <w:pPr>
        <w:pStyle w:val="ListParagraph"/>
        <w:numPr>
          <w:ilvl w:val="0"/>
          <w:numId w:val="2"/>
        </w:numPr>
        <w:spacing w:after="60" w:before="60" w:line="276"/>
      </w:pPr>
      <w:r>
        <w:rPr>
          <w:rFonts w:ascii="Arial" w:cs="Arial" w:eastAsia="Arial" w:hAnsi="Arial"/>
          <w:color w:val="1B2A4A"/>
          <w:sz w:val="22"/>
          <w:szCs w:val="22"/>
        </w:rPr>
        <w:t xml:space="preserve">Ağırlıklı risk skorlama motoru (açıklanabilir formül)</w:t>
      </w:r>
    </w:p>
    <w:p>
      <w:pPr>
        <w:pStyle w:val="ListParagraph"/>
        <w:numPr>
          <w:ilvl w:val="0"/>
          <w:numId w:val="2"/>
        </w:numPr>
        <w:spacing w:after="60" w:before="60" w:line="276"/>
      </w:pPr>
      <w:r>
        <w:rPr>
          <w:rFonts w:ascii="Arial" w:cs="Arial" w:eastAsia="Arial" w:hAnsi="Arial"/>
          <w:color w:val="1B2A4A"/>
          <w:sz w:val="22"/>
          <w:szCs w:val="22"/>
        </w:rPr>
        <w:t xml:space="preserve">4 katmanlı aksiyon sınıflandırması (Hemen Ara / E-posta At / Takipte Tut / Bekle)</w:t>
      </w:r>
    </w:p>
    <w:p>
      <w:pPr>
        <w:pStyle w:val="ListParagraph"/>
        <w:numPr>
          <w:ilvl w:val="0"/>
          <w:numId w:val="2"/>
        </w:numPr>
        <w:spacing w:after="60" w:before="60" w:line="276"/>
      </w:pPr>
      <w:r>
        <w:rPr>
          <w:rFonts w:ascii="Arial" w:cs="Arial" w:eastAsia="Arial" w:hAnsi="Arial"/>
          <w:color w:val="1B2A4A"/>
          <w:sz w:val="22"/>
          <w:szCs w:val="22"/>
        </w:rPr>
        <w:t xml:space="preserve">Groq API ile her borçlu için Türkçe / İngilizce açıklama</w:t>
      </w:r>
    </w:p>
    <w:p>
      <w:pPr>
        <w:pStyle w:val="ListParagraph"/>
        <w:numPr>
          <w:ilvl w:val="0"/>
          <w:numId w:val="2"/>
        </w:numPr>
        <w:spacing w:after="60" w:before="60" w:line="276"/>
      </w:pPr>
      <w:r>
        <w:rPr>
          <w:rFonts w:ascii="Arial" w:cs="Arial" w:eastAsia="Arial" w:hAnsi="Arial"/>
          <w:color w:val="1B2A4A"/>
          <w:sz w:val="22"/>
          <w:szCs w:val="22"/>
        </w:rPr>
        <w:t xml:space="preserve">Streamlit dashboard: portföy özeti, filtrelenebilir tablo, CSV export</w:t>
      </w:r>
    </w:p>
    <w:p>
      <w:pPr>
        <w:spacing w:after="120" w:before="240"/>
      </w:pPr>
      <w:r>
        <w:rPr>
          <w:rFonts w:ascii="Arial" w:cs="Arial" w:eastAsia="Arial" w:hAnsi="Arial"/>
          <w:b/>
          <w:bCs/>
          <w:color w:val="1B2A4A"/>
          <w:sz w:val="24"/>
          <w:szCs w:val="24"/>
        </w:rPr>
        <w:t xml:space="preserve">Kullanılan Teknolojiler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c>
          <w:tcPr>
            <w:tcW w:type="dxa" w:w="2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Teknoloji</w:t>
            </w:r>
          </w:p>
        </w:tc>
        <w:tc>
          <w:tcPr>
            <w:tcW w:type="dxa" w:w="3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Versiyon / Model</w:t>
            </w:r>
          </w:p>
        </w:tc>
        <w:tc>
          <w:tcPr>
            <w:tcW w:type="dxa" w:w="3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Kullanım Alanı</w:t>
            </w:r>
          </w:p>
        </w:tc>
      </w:tr>
      <w:tr>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Python</w:t>
            </w:r>
          </w:p>
        </w:tc>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3.10+</w:t>
            </w:r>
          </w:p>
        </w:tc>
        <w:tc>
          <w:tcPr>
            <w:tcW w:type="dxa" w:w="3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Veri işleme, skorlama motoru</w:t>
            </w:r>
          </w:p>
        </w:tc>
      </w:tr>
      <w:tr>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Streamlit</w:t>
            </w:r>
          </w:p>
        </w:tc>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Latest</w:t>
            </w:r>
          </w:p>
        </w:tc>
        <w:tc>
          <w:tcPr>
            <w:tcW w:type="dxa" w:w="3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Dashboard arayüzy</w:t>
            </w:r>
          </w:p>
        </w:tc>
      </w:tr>
      <w:tr>
        <w:tc>
          <w:tcPr>
            <w:tcW w:type="dxa" w:w="2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Groq API</w:t>
            </w:r>
          </w:p>
        </w:tc>
        <w:tc>
          <w:tcPr>
            <w:tcW w:type="dxa" w:w="3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Llama 3.1 70B</w:t>
            </w:r>
          </w:p>
        </w:tc>
        <w:tc>
          <w:tcPr>
            <w:tcW w:type="dxa" w:w="3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Açıklanabilir karar metni üretimi</w:t>
            </w:r>
          </w:p>
        </w:tc>
      </w:tr>
      <w:tr>
        <w:tc>
          <w:tcPr>
            <w:tcW w:type="dxa" w:w="2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Pandas / NumPy</w:t>
            </w:r>
          </w:p>
        </w:tc>
        <w:tc>
          <w:tcPr>
            <w:tcW w:type="dxa" w:w="3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Standard</w:t>
            </w:r>
          </w:p>
        </w:tc>
        <w:tc>
          <w:tcPr>
            <w:tcW w:type="dxa" w:w="3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Veri manipulasyonu ve feature hesaplama</w:t>
            </w:r>
          </w:p>
        </w:tc>
      </w:tr>
    </w:tbl>
    <w:p>
      <w:pPr>
        <w:spacing w:after="0" w:before="120"/>
      </w:pPr>
      <w:r>
        <w:t xml:space="preserve"/>
      </w:r>
    </w:p>
    <w:p>
      <w:pPr>
        <w:spacing w:after="120" w:before="240"/>
      </w:pPr>
      <w:r>
        <w:rPr>
          <w:rFonts w:ascii="Arial" w:cs="Arial" w:eastAsia="Arial" w:hAnsi="Arial"/>
          <w:b/>
          <w:bCs/>
          <w:color w:val="1B2A4A"/>
          <w:sz w:val="24"/>
          <w:szCs w:val="24"/>
        </w:rPr>
        <w:t xml:space="preserve">Video Sunumu</w:t>
      </w:r>
    </w:p>
    <w:p>
      <w:pPr>
        <w:spacing w:after="120" w:before="80" w:line="276"/>
      </w:pPr>
      <w:r>
        <w:rPr>
          <w:rFonts w:ascii="Arial" w:cs="Arial" w:eastAsia="Arial" w:hAnsi="Arial"/>
          <w:color w:val="1B2A4A"/>
          <w:sz w:val="22"/>
          <w:szCs w:val="22"/>
        </w:rPr>
        <w:t xml:space="preserve">Prototip, aşağıdaki YouTube linki üzerine yayınlanmıştır. Video; sistemin çalıştırılmasını, dashboard arayüzünü ve alınan kararların arkasındaki mantığı adım adım açıklamaktadır.</w:t>
      </w:r>
    </w:p>
    <w:p>
      <w:pPr>
        <w:spacing w:after="0" w:before="60"/>
      </w:pPr>
      <w:r>
        <w:t xml:space="preserve"/>
      </w:r>
    </w:p>
    <w:p>
      <w:pPr>
        <w:shd w:fill="EEF4FF" w:val="clear"/>
        <w:spacing w:after="120" w:before="80"/>
      </w:pPr>
      <w:r>
        <w:rPr>
          <w:rFonts w:ascii="Arial" w:cs="Arial" w:eastAsia="Arial" w:hAnsi="Arial"/>
          <w:b/>
          <w:bCs/>
          <w:color w:val="1B2A4A"/>
          <w:sz w:val="22"/>
          <w:szCs w:val="22"/>
        </w:rPr>
        <w:t xml:space="preserve">YouTube Linki: </w:t>
      </w:r>
      <w:r>
        <w:rPr>
          <w:rFonts w:ascii="Arial" w:cs="Arial" w:eastAsia="Arial" w:hAnsi="Arial"/>
          <w:i/>
          <w:iCs/>
          <w:color w:val="2E4E8A"/>
          <w:sz w:val="22"/>
          <w:szCs w:val="22"/>
        </w:rPr>
        <w:t xml:space="preserve">[Video teslim öncesi buraya eklenecek]</w:t>
      </w:r>
    </w:p>
    <w:p>
      <w:r>
        <w:br w:type="page"/>
      </w:r>
    </w:p>
    <w:p>
      <w:pPr>
        <w:pStyle w:val="Heading1"/>
        <w:pBdr>
          <w:bottom w:val="single" w:color="3B82F6" w:sz="4"/>
        </w:pBdr>
        <w:shd w:fill="1B2A4A" w:val="clear"/>
        <w:spacing w:after="200" w:before="400"/>
        <w:ind w:left="200" w:right="200"/>
      </w:pPr>
      <w:r>
        <w:rPr>
          <w:rFonts w:ascii="Arial" w:cs="Arial" w:eastAsia="Arial" w:hAnsi="Arial"/>
          <w:b/>
          <w:bCs/>
          <w:color w:val="FFFFFF"/>
          <w:sz w:val="36"/>
          <w:szCs w:val="36"/>
        </w:rPr>
        <w:t xml:space="preserve">YAPAY ZEKA VE PROMPTING</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Kullanılan Yapay Zeka Araçları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Araç</w:t>
            </w:r>
          </w:p>
        </w:tc>
        <w:tc>
          <w:tcPr>
            <w:tcW w:type="dxa" w:w="32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Kullanım Alanı</w:t>
            </w:r>
          </w:p>
        </w:tc>
        <w:tc>
          <w:tcPr>
            <w:tcW w:type="dxa" w:w="3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Tercih Gerekçesi</w:t>
            </w:r>
          </w:p>
        </w:tc>
      </w:tr>
      <w:tr>
        <w:tc>
          <w:tcPr>
            <w:tcW w:type="dxa" w:w="2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Claude Sonnet 4.6 (Anthropic)</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Ana analiz, sentez, rapor yazımı</w:t>
            </w:r>
          </w:p>
        </w:tc>
        <w:tc>
          <w:tcPr>
            <w:tcW w:type="dxa" w:w="3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Uzun form analitik içerik, finansal bağlamı anlama, iş geliştirme perspektifi</w:t>
            </w:r>
          </w:p>
        </w:tc>
      </w:tr>
      <w:tr>
        <w:tc>
          <w:tcPr>
            <w:tcW w:type="dxa" w:w="24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Web Araşması (Claude entegre)</w:t>
            </w:r>
          </w:p>
        </w:tc>
        <w:tc>
          <w:tcPr>
            <w:tcW w:type="dxa" w:w="32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Zolvo YC sayfası, rakip araştirması, sektör verileri</w:t>
            </w:r>
          </w:p>
        </w:tc>
        <w:tc>
          <w:tcPr>
            <w:tcW w:type="dxa" w:w="3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Zolvo 2026 kuruluşu — güncel bilgiye erişim kritikti</w:t>
            </w:r>
          </w:p>
        </w:tc>
      </w:tr>
      <w:tr>
        <w:tc>
          <w:tcPr>
            <w:tcW w:type="dxa" w:w="24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Groq API (Llama 3.1 70B)</w:t>
            </w:r>
          </w:p>
        </w:tc>
        <w:tc>
          <w:tcPr>
            <w:tcW w:type="dxa" w:w="32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PoC prototipi — borçlu açıklama motoru</w:t>
            </w:r>
          </w:p>
        </w:tc>
        <w:tc>
          <w:tcPr>
            <w:tcW w:type="dxa" w:w="3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Ücretsis tier, yüksek hız, GPT-4 seviyesine yakın kalite</w:t>
            </w:r>
          </w:p>
        </w:tc>
      </w:tr>
    </w:tbl>
    <w:p>
      <w:pPr>
        <w:spacing w:after="0" w:before="12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Bilgilerin Doğruluğu — Doğrulama Süreci</w:t>
      </w:r>
    </w:p>
    <w:p>
      <w:pPr>
        <w:pStyle w:val="ListParagraph"/>
        <w:numPr>
          <w:ilvl w:val="0"/>
          <w:numId w:val="2"/>
        </w:numPr>
        <w:spacing w:after="60" w:before="60" w:line="276"/>
      </w:pPr>
      <w:r>
        <w:rPr>
          <w:rFonts w:ascii="Arial" w:cs="Arial" w:eastAsia="Arial" w:hAnsi="Arial"/>
          <w:color w:val="1B2A4A"/>
          <w:sz w:val="22"/>
          <w:szCs w:val="22"/>
        </w:rPr>
        <w:t xml:space="preserve">Zolvo YC sayfası doğrudan çekildi: Kurucu profilleri, traction verileri ve launch post içeriği birincil kaynak</w:t>
      </w:r>
    </w:p>
    <w:p>
      <w:pPr>
        <w:pStyle w:val="ListParagraph"/>
        <w:numPr>
          <w:ilvl w:val="0"/>
          <w:numId w:val="2"/>
        </w:numPr>
        <w:spacing w:after="60" w:before="60" w:line="276"/>
      </w:pPr>
      <w:r>
        <w:rPr>
          <w:rFonts w:ascii="Arial" w:cs="Arial" w:eastAsia="Arial" w:hAnsi="Arial"/>
          <w:color w:val="1B2A4A"/>
          <w:sz w:val="22"/>
          <w:szCs w:val="22"/>
        </w:rPr>
        <w:t xml:space="preserve">Zolvo.com web sitesi meta verileri kontrol edildi: Ürün konumlandırması ve anahtar kelimeler teyit edildi</w:t>
      </w:r>
    </w:p>
    <w:p>
      <w:pPr>
        <w:pStyle w:val="ListParagraph"/>
        <w:numPr>
          <w:ilvl w:val="0"/>
          <w:numId w:val="2"/>
        </w:numPr>
        <w:spacing w:after="60" w:before="60" w:line="276"/>
      </w:pPr>
      <w:r>
        <w:rPr>
          <w:rFonts w:ascii="Arial" w:cs="Arial" w:eastAsia="Arial" w:hAnsi="Arial"/>
          <w:color w:val="1B2A4A"/>
          <w:sz w:val="22"/>
          <w:szCs w:val="22"/>
        </w:rPr>
        <w:t xml:space="preserve">Rakip verileri birden fazla kaynaktan (G2, HES FinTech, nCino SEC dosyaları) çapraz doğrulandı</w:t>
      </w:r>
    </w:p>
    <w:p>
      <w:pPr>
        <w:pStyle w:val="ListParagraph"/>
        <w:numPr>
          <w:ilvl w:val="0"/>
          <w:numId w:val="2"/>
        </w:numPr>
        <w:spacing w:after="60" w:before="60" w:line="276"/>
      </w:pPr>
      <w:r>
        <w:rPr>
          <w:rFonts w:ascii="Arial" w:cs="Arial" w:eastAsia="Arial" w:hAnsi="Arial"/>
          <w:color w:val="1B2A4A"/>
          <w:sz w:val="22"/>
          <w:szCs w:val="22"/>
        </w:rPr>
        <w:t xml:space="preserve">Sektör büyüklüğü (4T+) Zolvo’nun kendi beyanından alındı — bağımsız doğrulama: factoring sektörü büyüklüğü literatürle tutarlı</w:t>
      </w:r>
    </w:p>
    <w:p>
      <w:pPr>
        <w:pStyle w:val="ListParagraph"/>
        <w:numPr>
          <w:ilvl w:val="0"/>
          <w:numId w:val="2"/>
        </w:numPr>
        <w:spacing w:after="60" w:before="60" w:line="276"/>
      </w:pPr>
      <w:r>
        <w:rPr>
          <w:rFonts w:ascii="Arial" w:cs="Arial" w:eastAsia="Arial" w:hAnsi="Arial"/>
          <w:color w:val="1B2A4A"/>
          <w:sz w:val="22"/>
          <w:szCs w:val="22"/>
        </w:rPr>
        <w:t xml:space="preserve">ROI hesabındaki rakamlar (6.000–8.000 USD/ay SDR maşası) ABD iş piyasası ortalamalarıyla örtüştürüldü</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Hallüsinasyon Yönetimi</w:t>
      </w:r>
    </w:p>
    <w:p>
      <w:pPr>
        <w:pStyle w:val="ListParagraph"/>
        <w:numPr>
          <w:ilvl w:val="0"/>
          <w:numId w:val="2"/>
        </w:numPr>
        <w:spacing w:after="60" w:before="60" w:line="276"/>
      </w:pPr>
      <w:r>
        <w:rPr>
          <w:rFonts w:ascii="Arial" w:cs="Arial" w:eastAsia="Arial" w:hAnsi="Arial"/>
          <w:color w:val="1B2A4A"/>
          <w:sz w:val="22"/>
          <w:szCs w:val="22"/>
        </w:rPr>
        <w:t xml:space="preserve">Doğrulanamayan spesifik rakam veya iddia içermemeye özen gösterildi</w:t>
      </w:r>
    </w:p>
    <w:p>
      <w:pPr>
        <w:pStyle w:val="ListParagraph"/>
        <w:numPr>
          <w:ilvl w:val="0"/>
          <w:numId w:val="2"/>
        </w:numPr>
        <w:spacing w:after="60" w:before="60" w:line="276"/>
      </w:pPr>
      <w:r>
        <w:rPr>
          <w:rFonts w:ascii="Arial" w:cs="Arial" w:eastAsia="Arial" w:hAnsi="Arial"/>
          <w:color w:val="1B2A4A"/>
          <w:sz w:val="22"/>
          <w:szCs w:val="22"/>
        </w:rPr>
        <w:t xml:space="preserve">Fiyatlandırma modeli gibi kamuya açık olmayan bilgiler açıkça “çıkarım” olarak etiketlendi</w:t>
      </w:r>
    </w:p>
    <w:p>
      <w:pPr>
        <w:pStyle w:val="ListParagraph"/>
        <w:numPr>
          <w:ilvl w:val="0"/>
          <w:numId w:val="2"/>
        </w:numPr>
        <w:spacing w:after="60" w:before="60" w:line="276"/>
      </w:pPr>
      <w:r>
        <w:rPr>
          <w:rFonts w:ascii="Arial" w:cs="Arial" w:eastAsia="Arial" w:hAnsi="Arial"/>
          <w:color w:val="1B2A4A"/>
          <w:sz w:val="22"/>
          <w:szCs w:val="22"/>
        </w:rPr>
        <w:t xml:space="preserve">Rakip ürün özellikleri birincil kaynaklardan (kendi web siteleri, G2 yorumları) doğrulandı</w:t>
      </w:r>
    </w:p>
    <w:p>
      <w:pPr>
        <w:pStyle w:val="ListParagraph"/>
        <w:numPr>
          <w:ilvl w:val="0"/>
          <w:numId w:val="2"/>
        </w:numPr>
        <w:spacing w:after="60" w:before="60" w:line="276"/>
      </w:pPr>
      <w:r>
        <w:rPr>
          <w:rFonts w:ascii="Arial" w:cs="Arial" w:eastAsia="Arial" w:hAnsi="Arial"/>
          <w:color w:val="1B2A4A"/>
          <w:sz w:val="22"/>
          <w:szCs w:val="22"/>
        </w:rPr>
        <w:t xml:space="preserve">Zolvo’nun teknoloji stack’ı kamuya açık değil — bu bölüm “beklenen mimari” olarak çerçevelendi</w:t>
      </w:r>
    </w:p>
    <w:p>
      <w:pPr>
        <w:pStyle w:val="ListParagraph"/>
        <w:numPr>
          <w:ilvl w:val="0"/>
          <w:numId w:val="2"/>
        </w:numPr>
        <w:spacing w:after="60" w:before="60" w:line="276"/>
      </w:pPr>
      <w:r>
        <w:rPr>
          <w:rFonts w:ascii="Arial" w:cs="Arial" w:eastAsia="Arial" w:hAnsi="Arial"/>
          <w:color w:val="1B2A4A"/>
          <w:sz w:val="22"/>
          <w:szCs w:val="22"/>
        </w:rPr>
        <w:t xml:space="preserve">ROI hesaplarında çok geniş aralıklardan kaçınıldı; gerçekçi senaryolar üzerinden hesaplama yapıldı</w:t>
      </w:r>
    </w:p>
    <w:p>
      <w:pPr>
        <w:spacing w:after="0" w:before="80"/>
      </w:pPr>
      <w:r>
        <w:t xml:space="preserve"/>
      </w:r>
    </w:p>
    <w:p>
      <w:pPr>
        <w:pStyle w:val="Heading2"/>
        <w:pBdr>
          <w:bottom w:val="single" w:color="3B82F6" w:sz="2"/>
        </w:pBdr>
        <w:spacing w:after="160" w:before="320"/>
      </w:pPr>
      <w:r>
        <w:rPr>
          <w:rFonts w:ascii="Arial" w:cs="Arial" w:eastAsia="Arial" w:hAnsi="Arial"/>
          <w:b/>
          <w:bCs/>
          <w:color w:val="2E4E8A"/>
          <w:sz w:val="28"/>
          <w:szCs w:val="28"/>
        </w:rPr>
        <w:t xml:space="preserve">Kullanılan Prompt Yaklaşımı (TCREI)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600"/>
      </w:tblGrid>
      <w:tr>
        <w:tc>
          <w:tcPr>
            <w:tcW w:type="dxa" w:w="1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20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TCREI</w:t>
            </w:r>
          </w:p>
        </w:tc>
        <w:tc>
          <w:tcPr>
            <w:tcW w:type="dxa" w:w="5600"/>
            <w:tcBorders>
              <w:top w:val="single" w:color="C5D5F0" w:sz="1"/>
              <w:left w:val="single" w:color="C5D5F0" w:sz="1"/>
              <w:bottom w:val="single" w:color="C5D5F0" w:sz="1"/>
              <w:right w:val="single" w:color="C5D5F0"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Uygulama</w:t>
            </w:r>
          </w:p>
        </w:tc>
      </w:tr>
      <w:tr>
        <w:tc>
          <w:tcPr>
            <w:tcW w:type="dxa" w:w="1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w:t>
            </w:r>
          </w:p>
        </w:tc>
        <w:tc>
          <w:tcPr>
            <w:tcW w:type="dxa" w:w="2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Task (Görev)</w:t>
            </w:r>
          </w:p>
        </w:tc>
        <w:tc>
          <w:tcPr>
            <w:tcW w:type="dxa" w:w="5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Zolvo startup’ını 10 maddelik case study çerçevesiyle analiz et; Collections Intelligence PoC mimarisini kur</w:t>
            </w:r>
          </w:p>
        </w:tc>
      </w:tr>
      <w:tr>
        <w:tc>
          <w:tcPr>
            <w:tcW w:type="dxa" w:w="1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2</w:t>
            </w:r>
          </w:p>
        </w:tc>
        <w:tc>
          <w:tcPr>
            <w:tcW w:type="dxa" w:w="2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Context (Bağlam)</w:t>
            </w:r>
          </w:p>
        </w:tc>
        <w:tc>
          <w:tcPr>
            <w:tcW w:type="dxa" w:w="5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YC Spring 2026 şirketi, factoring/ABL sektörü, AI Engineer / Data Scientist staj başvurusu, 6 gün teslim süresi</w:t>
            </w:r>
          </w:p>
        </w:tc>
      </w:tr>
      <w:tr>
        <w:tc>
          <w:tcPr>
            <w:tcW w:type="dxa" w:w="1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3</w:t>
            </w:r>
          </w:p>
        </w:tc>
        <w:tc>
          <w:tcPr>
            <w:tcW w:type="dxa" w:w="2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References (Referanslar)</w:t>
            </w:r>
          </w:p>
        </w:tc>
        <w:tc>
          <w:tcPr>
            <w:tcW w:type="dxa" w:w="5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YC şirket sayfası, zolvo.com, mevcut case study raporu, sektör literatürü</w:t>
            </w:r>
          </w:p>
        </w:tc>
      </w:tr>
      <w:tr>
        <w:tc>
          <w:tcPr>
            <w:tcW w:type="dxa" w:w="1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bCs/>
                <w:color w:val="1B2A4A"/>
                <w:sz w:val="20"/>
                <w:szCs w:val="20"/>
              </w:rPr>
              <w:t xml:space="preserve">4</w:t>
            </w:r>
          </w:p>
        </w:tc>
        <w:tc>
          <w:tcPr>
            <w:tcW w:type="dxa" w:w="20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Evaluate (Değerlendir)</w:t>
            </w:r>
          </w:p>
        </w:tc>
        <w:tc>
          <w:tcPr>
            <w:tcW w:type="dxa" w:w="5600"/>
            <w:tcBorders>
              <w:top w:val="single" w:color="C5D5F0" w:sz="1"/>
              <w:left w:val="single" w:color="C5D5F0" w:sz="1"/>
              <w:bottom w:val="single" w:color="C5D5F0" w:sz="1"/>
              <w:right w:val="single" w:color="C5D5F0" w:sz="1"/>
            </w:tcBorders>
            <w:shd w:fill="F5F8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Her bölümün doğrulanabilir kaynağa dayandığı kontrol edildi; kamuya açık olmayan bilgiler etiketlendi</w:t>
            </w:r>
          </w:p>
        </w:tc>
      </w:tr>
      <w:tr>
        <w:tc>
          <w:tcPr>
            <w:tcW w:type="dxa" w:w="1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5</w:t>
            </w:r>
          </w:p>
        </w:tc>
        <w:tc>
          <w:tcPr>
            <w:tcW w:type="dxa" w:w="20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Iterate (Yinele)</w:t>
            </w:r>
          </w:p>
        </w:tc>
        <w:tc>
          <w:tcPr>
            <w:tcW w:type="dxa" w:w="5600"/>
            <w:tcBorders>
              <w:top w:val="single" w:color="C5D5F0" w:sz="1"/>
              <w:left w:val="single" w:color="C5D5F0" w:sz="1"/>
              <w:bottom w:val="single" w:color="C5D5F0" w:sz="1"/>
              <w:right w:val="single" w:color="C5D5F0"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Bölüm 7–10 tamamen yeniden yazıldı; otomasyon seçimi pazarlamadan ürüne taşındı; ROI hesabı gerçekçi rakamlarla yeniden kurgulandı</w:t>
            </w:r>
          </w:p>
        </w:tc>
      </w:tr>
    </w:tbl>
    <w:p>
      <w:pPr>
        <w:spacing w:after="0" w:before="200"/>
      </w:pPr>
      <w:r>
        <w:t xml:space="preserve"/>
      </w:r>
    </w:p>
    <w:p>
      <w:pPr>
        <w:pBdr>
          <w:top w:val="single" w:color="3B82F6" w:sz="2"/>
        </w:pBdr>
        <w:spacing w:after="80" w:before="200"/>
        <w:jc w:val="center"/>
      </w:pPr>
      <w:r>
        <w:rPr>
          <w:rFonts w:ascii="Arial" w:cs="Arial" w:eastAsia="Arial" w:hAnsi="Arial"/>
          <w:i/>
          <w:iCs/>
          <w:color w:val="4B5563"/>
          <w:sz w:val="20"/>
          <w:szCs w:val="20"/>
        </w:rPr>
        <w:t xml:space="preserve">Haziran 2026 | Oktavis × Tessera Lab Case Study | Zolvo Analiz Raporu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4E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2026-06-24T00:30:26.129Z</dcterms:created>
  <dcterms:modified xsi:type="dcterms:W3CDTF">2026-06-24T00:30:26.129Z</dcterms:modified>
</cp:coreProperties>
</file>

<file path=docProps/custom.xml><?xml version="1.0" encoding="utf-8"?>
<Properties xmlns="http://schemas.openxmlformats.org/officeDocument/2006/custom-properties" xmlns:vt="http://schemas.openxmlformats.org/officeDocument/2006/docPropsVTypes"/>
</file>