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442C" w14:textId="77777777" w:rsidR="002B416B" w:rsidRDefault="00F640E5">
      <w:pPr>
        <w:spacing w:before="1200" w:after="480" w:line="360" w:lineRule="auto"/>
        <w:jc w:val="center"/>
      </w:pPr>
      <w:r>
        <w:rPr>
          <w:b/>
          <w:bCs/>
          <w:sz w:val="32"/>
          <w:szCs w:val="32"/>
        </w:rPr>
        <w:t>Mirroring the User: Decomposing Apparent Register Accommodation in LLM Responses</w:t>
      </w:r>
    </w:p>
    <w:p w14:paraId="63E6442D" w14:textId="77777777" w:rsidR="002B416B" w:rsidRDefault="00F640E5">
      <w:pPr>
        <w:spacing w:before="240" w:after="120" w:line="360" w:lineRule="auto"/>
        <w:jc w:val="center"/>
      </w:pPr>
      <w:r>
        <w:rPr>
          <w:sz w:val="26"/>
          <w:szCs w:val="26"/>
        </w:rPr>
        <w:t>Emre Güzeldal</w:t>
      </w:r>
    </w:p>
    <w:p w14:paraId="63E6442E" w14:textId="31F0D1D3" w:rsidR="002B416B" w:rsidRDefault="00F640E5">
      <w:pPr>
        <w:spacing w:after="60" w:line="360" w:lineRule="auto"/>
        <w:jc w:val="center"/>
      </w:pPr>
      <w:r>
        <w:rPr>
          <w:sz w:val="22"/>
          <w:szCs w:val="22"/>
        </w:rPr>
        <w:t>M.A. Candidate, Computational Social Science</w:t>
      </w:r>
      <w:r w:rsidR="004F5D56">
        <w:rPr>
          <w:sz w:val="22"/>
          <w:szCs w:val="22"/>
        </w:rPr>
        <w:t>s</w:t>
      </w:r>
    </w:p>
    <w:p w14:paraId="63E6442F" w14:textId="77777777" w:rsidR="002B416B" w:rsidRDefault="00F640E5">
      <w:pPr>
        <w:spacing w:after="480" w:line="360" w:lineRule="auto"/>
        <w:jc w:val="center"/>
      </w:pPr>
      <w:r>
        <w:rPr>
          <w:sz w:val="22"/>
          <w:szCs w:val="22"/>
        </w:rPr>
        <w:t>Koç University</w:t>
      </w:r>
    </w:p>
    <w:p w14:paraId="63E64430" w14:textId="77777777" w:rsidR="002B416B" w:rsidRDefault="00F640E5">
      <w:pPr>
        <w:spacing w:after="60" w:line="360" w:lineRule="auto"/>
        <w:jc w:val="center"/>
      </w:pPr>
      <w:r>
        <w:rPr>
          <w:sz w:val="22"/>
          <w:szCs w:val="22"/>
        </w:rPr>
        <w:t xml:space="preserve">Domain expert: Dr. Merih </w:t>
      </w:r>
      <w:proofErr w:type="spellStart"/>
      <w:r>
        <w:rPr>
          <w:sz w:val="22"/>
          <w:szCs w:val="22"/>
        </w:rPr>
        <w:t>Angın</w:t>
      </w:r>
      <w:proofErr w:type="spellEnd"/>
    </w:p>
    <w:p w14:paraId="63E64431" w14:textId="06D9533B" w:rsidR="002B416B" w:rsidRDefault="00F640E5">
      <w:pPr>
        <w:spacing w:after="480" w:line="360" w:lineRule="auto"/>
        <w:jc w:val="center"/>
      </w:pPr>
      <w:r>
        <w:rPr>
          <w:sz w:val="22"/>
          <w:szCs w:val="22"/>
        </w:rPr>
        <w:t xml:space="preserve">Department of </w:t>
      </w:r>
      <w:r w:rsidR="004F5D56">
        <w:rPr>
          <w:sz w:val="22"/>
          <w:szCs w:val="22"/>
        </w:rPr>
        <w:t>Computational Social Sciences</w:t>
      </w:r>
      <w:r>
        <w:rPr>
          <w:sz w:val="22"/>
          <w:szCs w:val="22"/>
        </w:rPr>
        <w:t>, Koç University</w:t>
      </w:r>
    </w:p>
    <w:p w14:paraId="63E64432" w14:textId="69137D87" w:rsidR="002B416B" w:rsidRDefault="00F640E5">
      <w:pPr>
        <w:spacing w:after="60" w:line="360" w:lineRule="auto"/>
        <w:jc w:val="center"/>
      </w:pPr>
      <w:r>
        <w:rPr>
          <w:sz w:val="22"/>
          <w:szCs w:val="22"/>
        </w:rPr>
        <w:t>Course: CSSM 530</w:t>
      </w:r>
      <w:r w:rsidR="004F5D56">
        <w:rPr>
          <w:sz w:val="22"/>
          <w:szCs w:val="22"/>
        </w:rPr>
        <w:t xml:space="preserve">: </w:t>
      </w:r>
      <w:r>
        <w:rPr>
          <w:sz w:val="22"/>
          <w:szCs w:val="22"/>
        </w:rPr>
        <w:t>Automated Text Processing for Social Sciences (Spring 2026)</w:t>
      </w:r>
    </w:p>
    <w:p w14:paraId="63E64433" w14:textId="77777777" w:rsidR="002B416B" w:rsidRDefault="00F640E5">
      <w:pPr>
        <w:spacing w:after="800" w:line="360" w:lineRule="auto"/>
        <w:jc w:val="center"/>
      </w:pPr>
      <w:r>
        <w:rPr>
          <w:sz w:val="22"/>
          <w:szCs w:val="22"/>
        </w:rPr>
        <w:t xml:space="preserve">Instructor: Dr. Ali </w:t>
      </w:r>
      <w:proofErr w:type="spellStart"/>
      <w:r>
        <w:rPr>
          <w:sz w:val="22"/>
          <w:szCs w:val="22"/>
        </w:rPr>
        <w:t>Hürriyetoğlu</w:t>
      </w:r>
      <w:proofErr w:type="spellEnd"/>
    </w:p>
    <w:p w14:paraId="63E64434" w14:textId="77777777" w:rsidR="002B416B" w:rsidRDefault="00F640E5">
      <w:r>
        <w:br/>
      </w:r>
    </w:p>
    <w:p w14:paraId="091F71FB" w14:textId="77777777" w:rsidR="004F5D56" w:rsidRDefault="004F5D56"/>
    <w:p w14:paraId="220B3DD9" w14:textId="77777777" w:rsidR="004F5D56" w:rsidRDefault="004F5D56"/>
    <w:p w14:paraId="3B3BDF2A" w14:textId="77777777" w:rsidR="004F5D56" w:rsidRDefault="004F5D56"/>
    <w:p w14:paraId="5E30E3E0" w14:textId="77777777" w:rsidR="004F5D56" w:rsidRDefault="004F5D56"/>
    <w:p w14:paraId="491AB1A7" w14:textId="77777777" w:rsidR="004F5D56" w:rsidRDefault="004F5D56"/>
    <w:p w14:paraId="4270F2A1" w14:textId="77777777" w:rsidR="004F5D56" w:rsidRDefault="004F5D56"/>
    <w:p w14:paraId="0FE25D5B" w14:textId="77777777" w:rsidR="004F5D56" w:rsidRDefault="004F5D56"/>
    <w:p w14:paraId="5698966B" w14:textId="77777777" w:rsidR="004F5D56" w:rsidRDefault="004F5D56"/>
    <w:p w14:paraId="4E0B68C9" w14:textId="77777777" w:rsidR="004F5D56" w:rsidRDefault="004F5D56"/>
    <w:p w14:paraId="285EA6AD" w14:textId="77777777" w:rsidR="004F5D56" w:rsidRDefault="004F5D56"/>
    <w:p w14:paraId="266876A5" w14:textId="77777777" w:rsidR="004F5D56" w:rsidRDefault="004F5D56"/>
    <w:p w14:paraId="5BE5A16A" w14:textId="77777777" w:rsidR="004F5D56" w:rsidRDefault="004F5D56"/>
    <w:p w14:paraId="08B744B2" w14:textId="77777777" w:rsidR="004F5D56" w:rsidRDefault="004F5D56"/>
    <w:p w14:paraId="3087C876" w14:textId="77777777" w:rsidR="004F5D56" w:rsidRDefault="004F5D56"/>
    <w:p w14:paraId="3CFA5683" w14:textId="77777777" w:rsidR="004F5D56" w:rsidRDefault="004F5D56"/>
    <w:p w14:paraId="0EA9D944" w14:textId="77777777" w:rsidR="004F5D56" w:rsidRDefault="004F5D56"/>
    <w:p w14:paraId="63E64435" w14:textId="77777777" w:rsidR="002B416B" w:rsidRDefault="00F640E5" w:rsidP="00401939">
      <w:pPr>
        <w:pStyle w:val="Heading1"/>
        <w:spacing w:before="360" w:after="200" w:line="360" w:lineRule="auto"/>
      </w:pPr>
      <w:r>
        <w:rPr>
          <w:b/>
          <w:bCs/>
          <w:sz w:val="28"/>
          <w:szCs w:val="28"/>
        </w:rPr>
        <w:lastRenderedPageBreak/>
        <w:t>Abstract</w:t>
      </w:r>
    </w:p>
    <w:p w14:paraId="38D3FFF8" w14:textId="7FE2C822" w:rsidR="00A962C4" w:rsidRPr="00A962C4" w:rsidRDefault="00A962C4">
      <w:pPr>
        <w:spacing w:after="200" w:line="360" w:lineRule="auto"/>
        <w:jc w:val="both"/>
      </w:pPr>
      <w:r w:rsidRPr="00A962C4">
        <w:t>An increasing literature records that large language models (LLMs) support user style in their responses, leading to concerns about sycophancy, echo-chamber dynamics, and the design of human-AI interaction. We test register accommodation in real human-LLM conversations and ask a question that cannot be answered by synthetic-completion designs</w:t>
      </w:r>
      <w:r>
        <w:t xml:space="preserve"> </w:t>
      </w:r>
      <w:r w:rsidRPr="00A962C4">
        <w:t>of the apparent mirroring that can be observed in cross-sectional data, how much is really due to genuine turn-by-turn responsiveness, and how much is due to between-conversation selection</w:t>
      </w:r>
      <w:r>
        <w:t xml:space="preserve">, in other words </w:t>
      </w:r>
      <w:r w:rsidRPr="00A962C4">
        <w:t>chatty users initiating chatty conversations? We build parallel lexicon-based composites of user social-actor framing on prompts and register accommodation on responses using 86,463 turn-level observations of 19,999 multi-turn English conversations in WildChat-1M. The pooled effect is large (β = 0.33, p &lt; 0.001) and survives topic fixed effects (β = 0.35). The attenuation of the coefficient by conversation fixed effects is approximately 40 percent to 0.20 (p &lt; 10 -1 -83) indicating that nearly 40 percent of cross-sectionally visible mirroring is between-conversation selection and not within-conversation accommodation. The remaining within-conversation responsiveness is motivated by current user framing as opposed to autoregressive register maintenance: a negative lag coefficient ( = -0.035, p &lt; 10 -5) indicates that the model attributes current user input more than its prior register. The response register composite mirror is all eight components of the response register composite mirror in the predicted direction at p &lt; 0.001. We comment on implications to sycophancy issues and to the interpretation of accommodation results based on observational data.</w:t>
      </w:r>
    </w:p>
    <w:p w14:paraId="63E64437" w14:textId="4FE25497" w:rsidR="002B416B" w:rsidRDefault="00F640E5">
      <w:pPr>
        <w:spacing w:after="200" w:line="360" w:lineRule="auto"/>
        <w:jc w:val="both"/>
      </w:pPr>
      <w:r>
        <w:rPr>
          <w:b/>
          <w:bCs/>
        </w:rPr>
        <w:t xml:space="preserve">Keywords: </w:t>
      </w:r>
      <w:r>
        <w:t>large language models, register accommodation, computational social science, communication accommodation theory</w:t>
      </w:r>
    </w:p>
    <w:p w14:paraId="2AE087F3" w14:textId="77777777" w:rsidR="004F5D56" w:rsidRDefault="004F5D56">
      <w:pPr>
        <w:spacing w:after="200" w:line="360" w:lineRule="auto"/>
        <w:jc w:val="both"/>
      </w:pPr>
    </w:p>
    <w:p w14:paraId="7074A10E" w14:textId="77777777" w:rsidR="004F5D56" w:rsidRDefault="004F5D56">
      <w:pPr>
        <w:spacing w:after="200" w:line="360" w:lineRule="auto"/>
        <w:jc w:val="both"/>
      </w:pPr>
    </w:p>
    <w:p w14:paraId="2FBCDFF6" w14:textId="77777777" w:rsidR="004F5D56" w:rsidRDefault="004F5D56">
      <w:pPr>
        <w:spacing w:after="200" w:line="360" w:lineRule="auto"/>
        <w:jc w:val="both"/>
      </w:pPr>
    </w:p>
    <w:p w14:paraId="367985E7" w14:textId="77777777" w:rsidR="00A962C4" w:rsidRDefault="00A962C4">
      <w:pPr>
        <w:spacing w:after="200" w:line="360" w:lineRule="auto"/>
        <w:jc w:val="both"/>
      </w:pPr>
    </w:p>
    <w:p w14:paraId="265CA18C" w14:textId="77777777" w:rsidR="004F5D56" w:rsidRDefault="004F5D56">
      <w:pPr>
        <w:spacing w:after="200" w:line="360" w:lineRule="auto"/>
        <w:jc w:val="both"/>
      </w:pPr>
    </w:p>
    <w:p w14:paraId="63E64438" w14:textId="77777777" w:rsidR="002B416B" w:rsidRDefault="00F640E5">
      <w:pPr>
        <w:pStyle w:val="Heading1"/>
        <w:spacing w:before="360" w:after="200"/>
        <w:rPr>
          <w:b/>
          <w:bCs/>
          <w:sz w:val="28"/>
          <w:szCs w:val="28"/>
        </w:rPr>
      </w:pPr>
      <w:r>
        <w:rPr>
          <w:b/>
          <w:bCs/>
          <w:sz w:val="28"/>
          <w:szCs w:val="28"/>
        </w:rPr>
        <w:lastRenderedPageBreak/>
        <w:t>1. Introduction</w:t>
      </w:r>
    </w:p>
    <w:p w14:paraId="7CAB2079" w14:textId="50C58CE5"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When users chat with large language models (LLMs), the resulting interactions seem to exhibit a familiar sociolinguistic pattern: users who write socially receive </w:t>
      </w:r>
      <w:proofErr w:type="gramStart"/>
      <w:r w:rsidRPr="00A962C4">
        <w:rPr>
          <w:color w:val="000000" w:themeColor="text1"/>
          <w:sz w:val="24"/>
          <w:szCs w:val="24"/>
        </w:rPr>
        <w:t>socially-toned</w:t>
      </w:r>
      <w:proofErr w:type="gramEnd"/>
      <w:r w:rsidRPr="00A962C4">
        <w:rPr>
          <w:color w:val="000000" w:themeColor="text1"/>
          <w:sz w:val="24"/>
          <w:szCs w:val="24"/>
        </w:rPr>
        <w:t xml:space="preserve"> responses</w:t>
      </w:r>
      <w:r>
        <w:rPr>
          <w:color w:val="000000" w:themeColor="text1"/>
          <w:sz w:val="24"/>
          <w:szCs w:val="24"/>
        </w:rPr>
        <w:t xml:space="preserve"> while</w:t>
      </w:r>
      <w:r w:rsidRPr="00A962C4">
        <w:rPr>
          <w:color w:val="000000" w:themeColor="text1"/>
          <w:sz w:val="24"/>
          <w:szCs w:val="24"/>
        </w:rPr>
        <w:t xml:space="preserve"> users who issue terse instrumental commands receive terse, businesslike responses. Recent knowledge has formalized this </w:t>
      </w:r>
      <w:proofErr w:type="gramStart"/>
      <w:r w:rsidRPr="00A962C4">
        <w:rPr>
          <w:color w:val="000000" w:themeColor="text1"/>
          <w:sz w:val="24"/>
          <w:szCs w:val="24"/>
        </w:rPr>
        <w:t>intuition, and</w:t>
      </w:r>
      <w:proofErr w:type="gramEnd"/>
      <w:r w:rsidRPr="00A962C4">
        <w:rPr>
          <w:color w:val="000000" w:themeColor="text1"/>
          <w:sz w:val="24"/>
          <w:szCs w:val="24"/>
        </w:rPr>
        <w:t xml:space="preserve"> documented that LLMs can adjust their output to user style across a variety of features and that users themselves can systematically modify how they write to LLMs versus humans (</w:t>
      </w:r>
      <w:proofErr w:type="spellStart"/>
      <w:r w:rsidRPr="00A962C4">
        <w:rPr>
          <w:color w:val="000000" w:themeColor="text1"/>
          <w:sz w:val="24"/>
          <w:szCs w:val="24"/>
        </w:rPr>
        <w:t>Niederhoffer</w:t>
      </w:r>
      <w:proofErr w:type="spellEnd"/>
      <w:r w:rsidRPr="00A962C4">
        <w:rPr>
          <w:color w:val="000000" w:themeColor="text1"/>
          <w:sz w:val="24"/>
          <w:szCs w:val="24"/>
        </w:rPr>
        <w:t xml:space="preserve"> and Pennebaker, 2002).</w:t>
      </w:r>
    </w:p>
    <w:p w14:paraId="4C09C887" w14:textId="59F51F5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An issue of substantive interest has not been addressed: when we observe register similarity between user prompts and model responses in real conversational data, how much of that similarity is due to the responsiveness of the model to the user, and how much is due to selection </w:t>
      </w:r>
      <w:r>
        <w:rPr>
          <w:color w:val="000000" w:themeColor="text1"/>
          <w:sz w:val="24"/>
          <w:szCs w:val="24"/>
        </w:rPr>
        <w:t>of</w:t>
      </w:r>
      <w:r w:rsidRPr="00A962C4">
        <w:rPr>
          <w:color w:val="000000" w:themeColor="text1"/>
          <w:sz w:val="24"/>
          <w:szCs w:val="24"/>
        </w:rPr>
        <w:t xml:space="preserve"> the fact that users with certain conversational styles initiate conversations of certain characters? This distinction matters. The underlying assumption in arguments about LLM sycophancy (Sharma et al., 2023), the dynamics of an echo-chamber in human-AI interaction, and the design implications of the accommodation behavior are all based on the assumption that observed mirroring is model behavior. When a significant amount of observed accommodation is </w:t>
      </w:r>
      <w:proofErr w:type="gramStart"/>
      <w:r w:rsidRPr="00A962C4">
        <w:rPr>
          <w:color w:val="000000" w:themeColor="text1"/>
          <w:sz w:val="24"/>
          <w:szCs w:val="24"/>
        </w:rPr>
        <w:t>actually user</w:t>
      </w:r>
      <w:proofErr w:type="gramEnd"/>
      <w:r w:rsidRPr="00A962C4">
        <w:rPr>
          <w:color w:val="000000" w:themeColor="text1"/>
          <w:sz w:val="24"/>
          <w:szCs w:val="24"/>
        </w:rPr>
        <w:t xml:space="preserve"> self-sorting into conversational types, then the design priorities, policy concerns, and theoretical implications change accordingly.</w:t>
      </w:r>
    </w:p>
    <w:p w14:paraId="2E5EC593" w14:textId="0C15E6A6"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Synthetic-completion designs, where an LLM is provided with the role of completing a turn in an existing dialogue and its outputs are compared to human controls</w:t>
      </w:r>
      <w:r>
        <w:rPr>
          <w:color w:val="000000" w:themeColor="text1"/>
          <w:sz w:val="24"/>
          <w:szCs w:val="24"/>
        </w:rPr>
        <w:t xml:space="preserve">, </w:t>
      </w:r>
      <w:r w:rsidRPr="00A962C4">
        <w:rPr>
          <w:color w:val="000000" w:themeColor="text1"/>
          <w:sz w:val="24"/>
          <w:szCs w:val="24"/>
        </w:rPr>
        <w:t>have clean causal interpretations but are unable to answer this question. They fix and isolate the contribution of the LLM by construction, holding the context of the conversation fixed. They inform us how much of the apparent mirroring that observers see in actual human-LLM interactions is model behavior, and nothing about how much of what appears to observers as mirroring in actual human-LLM interactions is model behavior and not the structural fact that different users have different conversations.</w:t>
      </w:r>
    </w:p>
    <w:p w14:paraId="04CE6CC7" w14:textId="516A7B3E"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In this paper we present the complementary observational analysis. We use 86,463 turn-level observations of 19,999 multi-turn English conversations in the WildChat-1M corpus (Zhao et al., 2024) to construct parallel lexicon-based composites of user social-actor framing on prompts and </w:t>
      </w:r>
      <w:r w:rsidRPr="00A962C4">
        <w:rPr>
          <w:color w:val="000000" w:themeColor="text1"/>
          <w:sz w:val="24"/>
          <w:szCs w:val="24"/>
        </w:rPr>
        <w:lastRenderedPageBreak/>
        <w:t xml:space="preserve">response register on AI </w:t>
      </w:r>
      <w:proofErr w:type="gramStart"/>
      <w:r w:rsidRPr="00A962C4">
        <w:rPr>
          <w:color w:val="000000" w:themeColor="text1"/>
          <w:sz w:val="24"/>
          <w:szCs w:val="24"/>
        </w:rPr>
        <w:t>replies, and</w:t>
      </w:r>
      <w:proofErr w:type="gramEnd"/>
      <w:r w:rsidRPr="00A962C4">
        <w:rPr>
          <w:color w:val="000000" w:themeColor="text1"/>
          <w:sz w:val="24"/>
          <w:szCs w:val="24"/>
        </w:rPr>
        <w:t xml:space="preserve"> then take advantage of the within-conversation structure of multi-turn data to decompose apparent mirroring into between-conversation and within-conversation components. The within-conversation specification</w:t>
      </w:r>
      <w:r w:rsidR="00E765CB">
        <w:rPr>
          <w:color w:val="000000" w:themeColor="text1"/>
          <w:sz w:val="24"/>
          <w:szCs w:val="24"/>
        </w:rPr>
        <w:t>,</w:t>
      </w:r>
      <w:r w:rsidRPr="00A962C4">
        <w:rPr>
          <w:color w:val="000000" w:themeColor="text1"/>
          <w:sz w:val="24"/>
          <w:szCs w:val="24"/>
        </w:rPr>
        <w:t xml:space="preserve"> which is identical to a fixed-effects estimator that absorbs all time-invariant properties of a conversation, such as user, topic, and conversational tone-setting identifies the responsive component in a clean manner under standard FE assumptions. The cross-sectional and within-conversation estimates differ to give the selection component.</w:t>
      </w:r>
    </w:p>
    <w:p w14:paraId="7E2FAFA2" w14:textId="7777777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Our main contribution is this decomposition. We discover that about 40 percent of cross-sectionally visible mirroring is between-conversation selection (chatty users in chatty conversations), with the remainder variation being due to actual within-conversation responsiveness. The within-conversation effect exists (β = 0.20, p &lt; 10 -1 x 3 ) but it is much less than the naive cross-sectional estimate ( 0.33 ). A negative lag coefficient further specifies that the responsive component is driven by the current user framing instead of autoregressive maintenance of the model own prior register indicating that the model weights current input over its own prior tone.</w:t>
      </w:r>
    </w:p>
    <w:p w14:paraId="23A41797" w14:textId="35E86DD7" w:rsidR="00A962C4" w:rsidRPr="00A962C4" w:rsidRDefault="00A962C4" w:rsidP="00A962C4">
      <w:pPr>
        <w:pStyle w:val="Heading1"/>
        <w:spacing w:before="360" w:after="200" w:line="360" w:lineRule="auto"/>
        <w:rPr>
          <w:color w:val="000000" w:themeColor="text1"/>
          <w:sz w:val="24"/>
          <w:szCs w:val="24"/>
        </w:rPr>
      </w:pPr>
      <w:r w:rsidRPr="00A962C4">
        <w:rPr>
          <w:color w:val="000000" w:themeColor="text1"/>
          <w:sz w:val="24"/>
          <w:szCs w:val="24"/>
        </w:rPr>
        <w:t xml:space="preserve">The paper will </w:t>
      </w:r>
      <w:r w:rsidR="00E765CB">
        <w:rPr>
          <w:color w:val="000000" w:themeColor="text1"/>
          <w:sz w:val="24"/>
          <w:szCs w:val="24"/>
        </w:rPr>
        <w:t>consist of</w:t>
      </w:r>
      <w:r w:rsidRPr="00A962C4">
        <w:rPr>
          <w:color w:val="000000" w:themeColor="text1"/>
          <w:sz w:val="24"/>
          <w:szCs w:val="24"/>
        </w:rPr>
        <w:t xml:space="preserve"> the following. Section 2 situates our work in the accommodation, CASA, and recent LLM-stylometry literatures. Section 3 explains the </w:t>
      </w:r>
      <w:proofErr w:type="spellStart"/>
      <w:r w:rsidRPr="00A962C4">
        <w:rPr>
          <w:color w:val="000000" w:themeColor="text1"/>
          <w:sz w:val="24"/>
          <w:szCs w:val="24"/>
        </w:rPr>
        <w:t>WildChat</w:t>
      </w:r>
      <w:proofErr w:type="spellEnd"/>
      <w:r w:rsidRPr="00A962C4">
        <w:rPr>
          <w:color w:val="000000" w:themeColor="text1"/>
          <w:sz w:val="24"/>
          <w:szCs w:val="24"/>
        </w:rPr>
        <w:t xml:space="preserve"> sample, composite construction based on the lexicon, and the four regression specifications. Section 4 presents results. Section 5 talks about the substantive implications of the decomposition, the lag finding, and the limits of bag-of-words measurement. Section 6 concludes.</w:t>
      </w:r>
    </w:p>
    <w:p w14:paraId="63E6443F" w14:textId="5C146A55" w:rsidR="002B416B" w:rsidRDefault="00F640E5">
      <w:pPr>
        <w:pStyle w:val="Heading1"/>
        <w:spacing w:before="360" w:after="200"/>
      </w:pPr>
      <w:r>
        <w:rPr>
          <w:b/>
          <w:bCs/>
          <w:sz w:val="28"/>
          <w:szCs w:val="28"/>
        </w:rPr>
        <w:t xml:space="preserve">2. </w:t>
      </w:r>
      <w:r w:rsidR="00E765CB">
        <w:rPr>
          <w:b/>
          <w:bCs/>
          <w:sz w:val="28"/>
          <w:szCs w:val="28"/>
        </w:rPr>
        <w:t>Literature Review</w:t>
      </w:r>
    </w:p>
    <w:p w14:paraId="3E621460" w14:textId="7D4BD3E3" w:rsidR="00E765CB" w:rsidRDefault="00E765CB" w:rsidP="00E765CB">
      <w:pPr>
        <w:spacing w:after="200" w:line="360" w:lineRule="auto"/>
        <w:jc w:val="both"/>
      </w:pPr>
      <w:r w:rsidRPr="00E765CB">
        <w:rPr>
          <w:b/>
          <w:bCs/>
        </w:rPr>
        <w:t>The matching of linguistic style and communication accommodation theory.</w:t>
      </w:r>
      <w:r>
        <w:t xml:space="preserve"> The Communication Accommodation Theory (Giles et al., 1991) </w:t>
      </w:r>
      <w:proofErr w:type="gramStart"/>
      <w:r>
        <w:t>is based on the assumption</w:t>
      </w:r>
      <w:proofErr w:type="gramEnd"/>
      <w:r>
        <w:t xml:space="preserve"> that interlocutors will converge or diverge in their language behavior as a function of the social motivations </w:t>
      </w:r>
      <w:r>
        <w:t xml:space="preserve">such as </w:t>
      </w:r>
      <w:r>
        <w:t xml:space="preserve">affiliation, distinction, identity signaling. In this tradition, a study by </w:t>
      </w:r>
      <w:proofErr w:type="spellStart"/>
      <w:r>
        <w:t>Niederhoffer</w:t>
      </w:r>
      <w:proofErr w:type="spellEnd"/>
      <w:r>
        <w:t xml:space="preserve"> and Pennebaker (2002) of the linguistic style of matching demonstrated that conversation partners coordinate their use of the categories of function-words (pronouns, articles, prepositions) across the span of an interaction, and that the degree of matching predicts </w:t>
      </w:r>
      <w:r>
        <w:lastRenderedPageBreak/>
        <w:t>conversational engagement. This literature provides the theoretical and methodological underpinning to treating the overlap of function-word lexicon as a quantifiable proxy measure of interpersonal accommodation, independent of any assertion of underlying social cognition.</w:t>
      </w:r>
    </w:p>
    <w:p w14:paraId="53B48270" w14:textId="53A32500" w:rsidR="00E765CB" w:rsidRDefault="00E765CB" w:rsidP="00E765CB">
      <w:pPr>
        <w:spacing w:after="200" w:line="360" w:lineRule="auto"/>
        <w:jc w:val="both"/>
      </w:pPr>
      <w:r w:rsidRPr="00E765CB">
        <w:rPr>
          <w:b/>
          <w:bCs/>
        </w:rPr>
        <w:t>Computers Are Social Actors (CASA).</w:t>
      </w:r>
      <w:r>
        <w:t xml:space="preserve"> An analogous research program in human-computer interaction (Reeves and Nass, 1996; Nass and Moon, 2000) revealed that humans extend social-interaction patterns to computational systems, apply politeness norms, gender stereotypes and reciprocity heuristics to non-human interlocutors. The CASA tradition is scrupulous to draw a distinction between behavioral patterns and the assertion that machines are social actors</w:t>
      </w:r>
      <w:r>
        <w:t>. H</w:t>
      </w:r>
      <w:r>
        <w:t>umans act in ways that suggest that machines are social actors, but they do not claim that machines are social actors. This distinction is passed on to our work. In measuring register accommodation in the responses of LLM, we do not claim anything about the underlying cognition of the model</w:t>
      </w:r>
      <w:r>
        <w:t xml:space="preserve">, </w:t>
      </w:r>
      <w:r>
        <w:t>we are measuring surface lexical feature which, in the human-human interaction, would index interpersonal accommodation.</w:t>
      </w:r>
    </w:p>
    <w:p w14:paraId="635EB533" w14:textId="55713B0B" w:rsidR="00E765CB" w:rsidRDefault="00E765CB" w:rsidP="00E765CB">
      <w:pPr>
        <w:spacing w:after="200" w:line="360" w:lineRule="auto"/>
        <w:jc w:val="both"/>
      </w:pPr>
      <w:r>
        <w:t>Lexicon-based register measurement is the methodological connection between these literatures. The Linguistic Inquiry and Word Count (LIWC; Pennebaker et al., 2007; current version LIWC-22) operationalizes the dimensions of register using a set of validated wordlists, allowing the kind of large-scale register comparison that cannot be accomplished at corpus scale by using hand-coded wordlists. In this analysis, we use a transparent, open-source composite based on a lexicon in this analysis (described in Section 3) and with robustness checks of LIWC-22 planned in the extended version of this work.</w:t>
      </w:r>
    </w:p>
    <w:p w14:paraId="63E64445" w14:textId="77777777" w:rsidR="002B416B" w:rsidRDefault="00F640E5">
      <w:pPr>
        <w:pStyle w:val="Heading1"/>
        <w:spacing w:before="360" w:after="200"/>
      </w:pPr>
      <w:r>
        <w:rPr>
          <w:b/>
          <w:bCs/>
          <w:sz w:val="28"/>
          <w:szCs w:val="28"/>
        </w:rPr>
        <w:t>3. Data and Methods</w:t>
      </w:r>
    </w:p>
    <w:p w14:paraId="63E64446" w14:textId="77777777" w:rsidR="002B416B" w:rsidRDefault="00F640E5">
      <w:pPr>
        <w:pStyle w:val="Heading2"/>
        <w:spacing w:before="280" w:after="160"/>
      </w:pPr>
      <w:r>
        <w:rPr>
          <w:b/>
          <w:bCs/>
        </w:rPr>
        <w:t>3.1 Sample</w:t>
      </w:r>
    </w:p>
    <w:p w14:paraId="63E64447" w14:textId="175A3898" w:rsidR="002B416B" w:rsidRDefault="00F640E5">
      <w:pPr>
        <w:spacing w:after="200" w:line="360" w:lineRule="auto"/>
        <w:jc w:val="both"/>
      </w:pPr>
      <w:r>
        <w:t xml:space="preserve">We draw on the WildChat-1M corpus (Zhao et al., 2024), a public release of approximately one million conversations between users and OpenAI's ChatGPT (gpt-3.5-turbo-0301 and gpt-4-0314), collected via a chatbot interface where users consented to data release for research. </w:t>
      </w:r>
      <w:proofErr w:type="spellStart"/>
      <w:r>
        <w:t>WildChat</w:t>
      </w:r>
      <w:proofErr w:type="spellEnd"/>
      <w:r>
        <w:t xml:space="preserve"> is one of the largest publicly available datasets of real human-LLM interaction and has the multi-turn structure needed for our within-conversation design. Its principal limitation for our purposes that all conversations involve two same-era OpenAI models is structural to the corpus and bounds the generalizability of our model-comparison claims (see Section 5).</w:t>
      </w:r>
    </w:p>
    <w:p w14:paraId="63E64448" w14:textId="606FAB48" w:rsidR="002B416B" w:rsidRDefault="00F640E5">
      <w:pPr>
        <w:spacing w:after="200" w:line="360" w:lineRule="auto"/>
        <w:jc w:val="both"/>
      </w:pPr>
      <w:r>
        <w:lastRenderedPageBreak/>
        <w:t>We stream WildChat-1M and retain conversations meeting four criteria: (</w:t>
      </w:r>
      <w:proofErr w:type="spellStart"/>
      <w:r>
        <w:t>i</w:t>
      </w:r>
      <w:proofErr w:type="spellEnd"/>
      <w:r>
        <w:t>) primary language English (per the corpus's metadata)</w:t>
      </w:r>
      <w:r w:rsidR="00FE0C0D">
        <w:t>,</w:t>
      </w:r>
      <w:r>
        <w:t xml:space="preserve"> (ii) not flagged as containing redacted content</w:t>
      </w:r>
      <w:r w:rsidR="00FE0C0D">
        <w:t>,</w:t>
      </w:r>
      <w:r>
        <w:t xml:space="preserve"> (iii) at least two valid (user, assistant) turn pairs per conversation, where validity requires the user prompt to be 20–3,000 characters and the assistant response to be 50–5,000 characters</w:t>
      </w:r>
      <w:r w:rsidR="00FE0C0D">
        <w:t xml:space="preserve">, </w:t>
      </w:r>
      <w:r>
        <w:t>(iv) cumulative target of 20,000 conversations. Filtering yielded 19,999 conversations comprising 86,463 turn-level observations. Conversations split 73.3% gpt-3.5-turbo-0301 (n = 14,651 conversations) and 26.7% gpt-4-0314 (n = 5,348 conversations), reflecting the underlying corpus distribution.</w:t>
      </w:r>
    </w:p>
    <w:p w14:paraId="63E64449" w14:textId="77777777" w:rsidR="002B416B" w:rsidRDefault="00F640E5">
      <w:pPr>
        <w:pStyle w:val="Heading2"/>
        <w:spacing w:before="280" w:after="160"/>
      </w:pPr>
      <w:r>
        <w:rPr>
          <w:b/>
          <w:bCs/>
        </w:rPr>
        <w:t>3.2 Composite Construction</w:t>
      </w:r>
    </w:p>
    <w:p w14:paraId="63E6444A" w14:textId="77777777" w:rsidR="002B416B" w:rsidRDefault="00F640E5">
      <w:pPr>
        <w:spacing w:after="200" w:line="360" w:lineRule="auto"/>
        <w:jc w:val="both"/>
      </w:pPr>
      <w:r>
        <w:t>Our analytic strategy requires two parallel measurements: a framing score capturing how socially the user frames the model on each prompt, and a register score capturing how socially the model responds. To enable clean within-conversation comparison and to ground the measurement in transparent, auditable lexicons, we construct both composites using the same instrument family, applied symmetrically to prompts and responses.</w:t>
      </w:r>
    </w:p>
    <w:p w14:paraId="63E6444B" w14:textId="77777777" w:rsidR="002B416B" w:rsidRDefault="00F640E5">
      <w:pPr>
        <w:spacing w:after="200" w:line="360" w:lineRule="auto"/>
        <w:jc w:val="both"/>
      </w:pPr>
      <w:r>
        <w:t>The framing composite combines seven features extracted at the prompt level: (</w:t>
      </w:r>
      <w:proofErr w:type="spellStart"/>
      <w:r>
        <w:t>i</w:t>
      </w:r>
      <w:proofErr w:type="spellEnd"/>
      <w:r>
        <w:t xml:space="preserve">) first-person singular pronoun rate (I, me, my, etc.); (ii) second-person pronoun rate (you, your, etc.); (iii) politeness marker rate (please, thanks, kindly, etc.); (iv) relational and cognitive verb rate (think, feel, want, believe, etc.); (v) share of sentences ending in question marks; (vi) share of sentences with imperative structure (detected via </w:t>
      </w:r>
      <w:proofErr w:type="spellStart"/>
      <w:r>
        <w:t>spaCy</w:t>
      </w:r>
      <w:proofErr w:type="spellEnd"/>
      <w:r>
        <w:t xml:space="preserve"> POS tagging: leading verb in base form with no preceding subject); and (vii) aggregated Empath (Fast, Chen, &amp; Bernstein, 2016) score across ten social-cluster categories (help, friends, family, love, communication, </w:t>
      </w:r>
      <w:proofErr w:type="spellStart"/>
      <w:r>
        <w:t>social_media</w:t>
      </w:r>
      <w:proofErr w:type="spellEnd"/>
      <w:r>
        <w:t xml:space="preserve">, affection, </w:t>
      </w:r>
      <w:proofErr w:type="spellStart"/>
      <w:r>
        <w:t>positive_emotion</w:t>
      </w:r>
      <w:proofErr w:type="spellEnd"/>
      <w:r>
        <w:t xml:space="preserve">, </w:t>
      </w:r>
      <w:proofErr w:type="spellStart"/>
      <w:r>
        <w:t>negative_emotion</w:t>
      </w:r>
      <w:proofErr w:type="spellEnd"/>
      <w:r>
        <w:t>, trust).</w:t>
      </w:r>
    </w:p>
    <w:p w14:paraId="63E6444C" w14:textId="77777777" w:rsidR="002B416B" w:rsidRDefault="00F640E5">
      <w:pPr>
        <w:spacing w:after="200" w:line="360" w:lineRule="auto"/>
        <w:jc w:val="both"/>
      </w:pPr>
      <w:r>
        <w:t>We acknowledge upfront that the imperative-vs-question distinction is partly a politeness-register feature rather than a pure tool-vs-social distinction, and that politeness markers themselves can co-occur with instrumental requests. The composite mitigates these specific weaknesses by combining seven features with signed weights, so no single feature can drive the score in either direction. Each feature is normalized by token count, z-scored across the full sample, and combined with signed weights (pronouns, politeness, relational verbs, questions, and Empath-social positively loaded; imperatives negatively loaded). The composite is the mean of signed z-</w:t>
      </w:r>
      <w:r>
        <w:lastRenderedPageBreak/>
        <w:t>scores, yielding a per-prompt continuous measure with mean zero and standard deviation approximately 0.45 in our sample.</w:t>
      </w:r>
    </w:p>
    <w:p w14:paraId="63E6444D" w14:textId="77777777" w:rsidR="002B416B" w:rsidRDefault="00F640E5">
      <w:pPr>
        <w:spacing w:after="200" w:line="360" w:lineRule="auto"/>
        <w:jc w:val="both"/>
      </w:pPr>
      <w:r>
        <w:t>The register composite is constructed in parallel from response-level features: first-person singular pronouns, second-person pronouns, affect words (positive and negative emotion lexicon hits), hedges (maybe, perhaps, might, seems, etc.), the same Empath-social aggregate, and analytic markers (article and preposition rate, drawn from LIWC's Analytic composite tradition; loaded negatively, as analytic register is the antonym of affiliative register in the LIWC framework). The same z-score-and-mean construction yields a per-response continuous measure (mean zero, SD ≈ 0.56).</w:t>
      </w:r>
    </w:p>
    <w:p w14:paraId="63E6444E" w14:textId="37BE6A92" w:rsidR="002B416B" w:rsidRDefault="00F640E5">
      <w:pPr>
        <w:spacing w:after="200" w:line="360" w:lineRule="auto"/>
        <w:jc w:val="both"/>
      </w:pPr>
      <w:r>
        <w:t>Three properties of this construction merit emphasis. First, applying the same instrument family to both sides of the regression eliminates a class of measurement-asymmetry confounds. Second, the open-source lexicons are auditable in full (the complete word lists are documented in measurement.py in the replication repository), in contrast to proprietary instruments. Third, the construction does not require word-sense disambiguation we discuss the limitations this imposes in Section 5.</w:t>
      </w:r>
    </w:p>
    <w:p w14:paraId="63E6444F" w14:textId="77777777" w:rsidR="002B416B" w:rsidRDefault="00F640E5">
      <w:pPr>
        <w:pStyle w:val="Heading2"/>
        <w:spacing w:before="280" w:after="160"/>
      </w:pPr>
      <w:r>
        <w:rPr>
          <w:b/>
          <w:bCs/>
        </w:rPr>
        <w:t>3.3 Construct Validity</w:t>
      </w:r>
    </w:p>
    <w:p w14:paraId="63E64450" w14:textId="77777777" w:rsidR="002B416B" w:rsidRDefault="00F640E5">
      <w:pPr>
        <w:spacing w:after="200" w:line="360" w:lineRule="auto"/>
        <w:jc w:val="both"/>
      </w:pPr>
      <w:r>
        <w:t>Construct validity for the composite rests on three properties of its construction rather than on an empirical convergent-validity check, which we leave for the extended version of this work.</w:t>
      </w:r>
    </w:p>
    <w:p w14:paraId="63E64451" w14:textId="77777777" w:rsidR="002B416B" w:rsidRDefault="00F640E5">
      <w:pPr>
        <w:spacing w:after="200" w:line="360" w:lineRule="auto"/>
        <w:jc w:val="both"/>
      </w:pPr>
      <w:r>
        <w:t>First, every component of the composite is grounded in the linguistic accommodation and CASA literatures. Pronouns, politeness markers, hedges, and relational verbs have been independently validated as indices of interpersonal versus instrumental register in psycholinguistic work (</w:t>
      </w:r>
      <w:proofErr w:type="spellStart"/>
      <w:r>
        <w:t>Niederhoffer</w:t>
      </w:r>
      <w:proofErr w:type="spellEnd"/>
      <w:r>
        <w:t xml:space="preserve"> &amp; Pennebaker, 2002; Giles et al., 1991), and the Empath social-cluster categories operationalize affiliative content following Fast et al. (2016). We did not select features post hoc to maximize the correlation with response register; the feature set was specified in advance based on theoretical grounding.</w:t>
      </w:r>
    </w:p>
    <w:p w14:paraId="63E64452" w14:textId="77777777" w:rsidR="002B416B" w:rsidRDefault="00F640E5">
      <w:pPr>
        <w:spacing w:after="200" w:line="360" w:lineRule="auto"/>
        <w:jc w:val="both"/>
      </w:pPr>
      <w:r>
        <w:t xml:space="preserve">Second, the symmetric application of the same instrument family to prompts and responses eliminates a class of measurement-asymmetry confounds. If we had used one instrument to measure prompts (e.g., a question-classifier) and a different instrument to measure responses (e.g., </w:t>
      </w:r>
      <w:r>
        <w:lastRenderedPageBreak/>
        <w:t>LIWC-22), differences in the instruments themselves could enter the regression. Our symmetric construction means that any framing-register relationship we estimate cannot be a measurement-asymmetry artifact.</w:t>
      </w:r>
    </w:p>
    <w:p w14:paraId="63E64453" w14:textId="77777777" w:rsidR="002B416B" w:rsidRDefault="00F640E5">
      <w:pPr>
        <w:spacing w:after="200" w:line="360" w:lineRule="auto"/>
        <w:jc w:val="both"/>
      </w:pPr>
      <w:r>
        <w:t>Third, the coherent within-conversation movement of all eight components in the theoretically predicted direction (reported in Section 4.3) provides empirical evidence that the composite tracks a register-level signal rather than a single-feature artifact. If the composite were measuring noise or a confounded construct, we would not expect all eight components to move together at p &lt; 0.001 under conversation fixed effects.</w:t>
      </w:r>
    </w:p>
    <w:p w14:paraId="63E64454" w14:textId="77777777" w:rsidR="002B416B" w:rsidRDefault="00F640E5">
      <w:pPr>
        <w:spacing w:after="200" w:line="360" w:lineRule="auto"/>
        <w:jc w:val="both"/>
      </w:pPr>
      <w:r>
        <w:t>Empirical convergent validity checks against LIWC-22 and against human-rated and LLM-rated construct judgments are planned for the extended version of this work and will be reported in subsequent submissions.</w:t>
      </w:r>
    </w:p>
    <w:p w14:paraId="63E64455" w14:textId="77777777" w:rsidR="002B416B" w:rsidRDefault="00F640E5">
      <w:pPr>
        <w:pStyle w:val="Heading2"/>
        <w:spacing w:before="280" w:after="160"/>
      </w:pPr>
      <w:r>
        <w:rPr>
          <w:b/>
          <w:bCs/>
        </w:rPr>
        <w:t>3.4 Specifications</w:t>
      </w:r>
    </w:p>
    <w:p w14:paraId="63E64456" w14:textId="77777777" w:rsidR="002B416B" w:rsidRDefault="00F640E5">
      <w:pPr>
        <w:spacing w:after="200" w:line="360" w:lineRule="auto"/>
        <w:jc w:val="both"/>
      </w:pPr>
      <w:r>
        <w:t xml:space="preserve">We estimate the framing-register relationship under four progressively stronger specifications, each adding a layer of confound control. Let </w:t>
      </w:r>
      <w:proofErr w:type="spellStart"/>
      <w:r>
        <w:t>i</w:t>
      </w:r>
      <w:proofErr w:type="spellEnd"/>
      <w:r>
        <w:t xml:space="preserve"> index the conversation and t index the turn within conversation.</w:t>
      </w:r>
    </w:p>
    <w:p w14:paraId="63E64457" w14:textId="77777777" w:rsidR="002B416B" w:rsidRDefault="00F640E5">
      <w:pPr>
        <w:spacing w:after="200" w:line="360" w:lineRule="auto"/>
        <w:jc w:val="both"/>
      </w:pPr>
      <w:r>
        <w:rPr>
          <w:b/>
          <w:bCs/>
        </w:rPr>
        <w:t xml:space="preserve">Specification A (Pooled OLS). </w:t>
      </w:r>
      <w:r>
        <w:t>The baseline cross-sectional regression includes framing score, model version, their interaction, log prompt token count, log response token count, and turn index, with heteroskedasticity-consistent (HC3) standard errors. This is the specification a reader who only saw cross-sectional data would estimate; β here captures both selection and accommodation.</w:t>
      </w:r>
    </w:p>
    <w:p w14:paraId="63E64458" w14:textId="77777777" w:rsidR="002B416B" w:rsidRDefault="00F640E5">
      <w:pPr>
        <w:spacing w:after="200" w:line="360" w:lineRule="auto"/>
        <w:jc w:val="both"/>
      </w:pPr>
      <w:r>
        <w:rPr>
          <w:b/>
          <w:bCs/>
        </w:rPr>
        <w:t xml:space="preserve">Specification B (Topic fixed effects). </w:t>
      </w:r>
      <w:r>
        <w:t xml:space="preserve">We cluster all 86,463 prompts via TF-IDF (max 10,000 features, English stop-words removed, bigrams included, sublinear term frequency, document frequency between 5 and 50%) followed by </w:t>
      </w:r>
      <w:proofErr w:type="spellStart"/>
      <w:r>
        <w:t>KMeans</w:t>
      </w:r>
      <w:proofErr w:type="spellEnd"/>
      <w:r>
        <w:t xml:space="preserve">, with K selected by silhouette score over candidate values {20, 30, 40, 50, 75, 100}. Silhouette peaked at K = 50. We add topic fixed effects to Specification A. This rules out between-topic confounding: the concern that emotional topics simultaneously elicit </w:t>
      </w:r>
      <w:proofErr w:type="gramStart"/>
      <w:r>
        <w:t>socially-framed</w:t>
      </w:r>
      <w:proofErr w:type="gramEnd"/>
      <w:r>
        <w:t xml:space="preserve"> prompts and affiliative responses would predict that Specification B attenuates β substantially. As we report in Section 4, it does not.</w:t>
      </w:r>
    </w:p>
    <w:p w14:paraId="63E64459" w14:textId="7D918038" w:rsidR="002B416B" w:rsidRDefault="00F640E5">
      <w:pPr>
        <w:spacing w:after="200" w:line="360" w:lineRule="auto"/>
        <w:jc w:val="both"/>
      </w:pPr>
      <w:r>
        <w:rPr>
          <w:b/>
          <w:bCs/>
        </w:rPr>
        <w:t xml:space="preserve">Specification C (Conversation fixed effects). </w:t>
      </w:r>
      <w:r>
        <w:t xml:space="preserve">We within-transform all variables by subtracting conversation-level means, with cluster-robust standard errors clustered on </w:t>
      </w:r>
      <w:proofErr w:type="spellStart"/>
      <w:r>
        <w:t>conversation_hash</w:t>
      </w:r>
      <w:proofErr w:type="spellEnd"/>
      <w:r>
        <w:t xml:space="preserve">. This </w:t>
      </w:r>
      <w:r>
        <w:lastRenderedPageBreak/>
        <w:t xml:space="preserve">specification absorbs all time-invariant properties of a conversation: user identity, topic, system context, conversational tone-setting, and any other conversation-level confound. β is identified purely from within-conversation, turn-to-turn variation. Because </w:t>
      </w:r>
      <w:proofErr w:type="spellStart"/>
      <w:r>
        <w:t>model_version</w:t>
      </w:r>
      <w:proofErr w:type="spellEnd"/>
      <w:r>
        <w:t xml:space="preserve"> is constant within conversation, the model-version interaction term is no longer identified under this specification</w:t>
      </w:r>
      <w:r w:rsidR="00FE0C0D">
        <w:t xml:space="preserve">, </w:t>
      </w:r>
      <w:r>
        <w:t>a structural limitation of the design we discuss in Section 5. The difference between β under Specification A and β under Specification C operationalizes the selection-vs-accommodation decomposition that constitutes our main contribution.</w:t>
      </w:r>
    </w:p>
    <w:p w14:paraId="63E6445A" w14:textId="77777777" w:rsidR="002B416B" w:rsidRDefault="00F640E5">
      <w:pPr>
        <w:spacing w:after="200" w:line="360" w:lineRule="auto"/>
        <w:jc w:val="both"/>
      </w:pPr>
      <w:r>
        <w:rPr>
          <w:b/>
          <w:bCs/>
        </w:rPr>
        <w:t xml:space="preserve">Specification D (Conversation FE + lagged register). </w:t>
      </w:r>
      <w:r>
        <w:t>We add the model's previous-turn register as an additional control. The lag coefficient λ tests whether the model's response is responsive to current user framing or autoregressively anchored to its prior register. The first turn of each conversation is dropped (no lag available), reducing N from 86,463 to 66,464.</w:t>
      </w:r>
    </w:p>
    <w:p w14:paraId="63E6445B" w14:textId="38693417" w:rsidR="002B416B" w:rsidRDefault="00F640E5">
      <w:pPr>
        <w:spacing w:after="200" w:line="360" w:lineRule="auto"/>
        <w:jc w:val="both"/>
      </w:pPr>
      <w:r>
        <w:t xml:space="preserve">We additionally report a per-component breakdown regressing each of the eight underlying register features on framing under Specification C, to characterize whether accommodation is concentrated </w:t>
      </w:r>
      <w:proofErr w:type="gramStart"/>
      <w:r>
        <w:t>in particular feature</w:t>
      </w:r>
      <w:proofErr w:type="gramEnd"/>
      <w:r>
        <w:t xml:space="preserve"> dimensions or coordinated across the register </w:t>
      </w:r>
      <w:proofErr w:type="gramStart"/>
      <w:r>
        <w:t>composite as a whole</w:t>
      </w:r>
      <w:proofErr w:type="gramEnd"/>
      <w:r>
        <w:t>.</w:t>
      </w:r>
    </w:p>
    <w:p w14:paraId="63E6445C" w14:textId="77777777" w:rsidR="002B416B" w:rsidRDefault="00F640E5">
      <w:pPr>
        <w:pStyle w:val="Heading1"/>
        <w:spacing w:before="360" w:after="200"/>
      </w:pPr>
      <w:r>
        <w:rPr>
          <w:b/>
          <w:bCs/>
          <w:sz w:val="28"/>
          <w:szCs w:val="28"/>
        </w:rPr>
        <w:t>4. Results</w:t>
      </w:r>
    </w:p>
    <w:p w14:paraId="63E6445D" w14:textId="77777777" w:rsidR="002B416B" w:rsidRDefault="00F640E5">
      <w:pPr>
        <w:pStyle w:val="Heading2"/>
        <w:spacing w:before="280" w:after="160"/>
      </w:pPr>
      <w:r>
        <w:rPr>
          <w:b/>
          <w:bCs/>
        </w:rPr>
        <w:t>4.1 Variance Decomposition</w:t>
      </w:r>
    </w:p>
    <w:p w14:paraId="63E6445E" w14:textId="506471A9" w:rsidR="002B416B" w:rsidRDefault="00F640E5">
      <w:pPr>
        <w:spacing w:after="200" w:line="360" w:lineRule="auto"/>
        <w:jc w:val="both"/>
      </w:pPr>
      <w:r>
        <w:t xml:space="preserve">Before estimating the regressions, we decompose the variance of both composites by grouping structure. For framing scores, 51.7% of total variance is between conversations and 48.3% within. For register scores, 56.0% is between and 44.0% within. Topic explains substantially less </w:t>
      </w:r>
      <w:r w:rsidR="00FE0C0D">
        <w:t xml:space="preserve">with </w:t>
      </w:r>
      <w:r>
        <w:t>14.4% of framing variance and 4.3% of register variance is attributable to topic clusters. These decompositions establish two facts. First, conversation-level variance dominates topic-level variance for both measures, suggesting conversation FE is the more important confound control. Second, substantial within-conversation variation exists in both measures, providing the variance our identification strategy requires.</w:t>
      </w:r>
    </w:p>
    <w:p w14:paraId="63E6445F" w14:textId="77777777" w:rsidR="002B416B" w:rsidRDefault="00F640E5">
      <w:pPr>
        <w:pStyle w:val="Heading2"/>
        <w:spacing w:before="280" w:after="160"/>
      </w:pPr>
      <w:r>
        <w:rPr>
          <w:b/>
          <w:bCs/>
        </w:rPr>
        <w:t>4.2 Main Results: The Selection-vs-Accommodation Decomposition</w:t>
      </w:r>
    </w:p>
    <w:p w14:paraId="63E64460" w14:textId="77777777" w:rsidR="002B416B" w:rsidRDefault="00F640E5">
      <w:pPr>
        <w:spacing w:after="200" w:line="360" w:lineRule="auto"/>
        <w:jc w:val="both"/>
      </w:pPr>
      <w:r>
        <w:t>Table 1 presents the headline regression results.</w:t>
      </w:r>
    </w:p>
    <w:p w14:paraId="63E64461" w14:textId="77777777" w:rsidR="002B416B" w:rsidRDefault="00F640E5">
      <w:pPr>
        <w:spacing w:after="200" w:line="360" w:lineRule="auto"/>
        <w:jc w:val="both"/>
      </w:pPr>
      <w:r>
        <w:rPr>
          <w:b/>
          <w:bCs/>
        </w:rPr>
        <w:lastRenderedPageBreak/>
        <w:t xml:space="preserve">Table 1. </w:t>
      </w:r>
      <w:r>
        <w:rPr>
          <w:i/>
          <w:iCs/>
        </w:rPr>
        <w:t>Framing → register coefficient under four specifications. N = 86,463 turn-level observations from 19,999 multi-turn English conversations.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100"/>
        <w:gridCol w:w="1500"/>
        <w:gridCol w:w="1100"/>
        <w:gridCol w:w="1500"/>
      </w:tblGrid>
      <w:tr w:rsidR="002B416B" w14:paraId="63E64468" w14:textId="77777777">
        <w:tc>
          <w:tcPr>
            <w:tcW w:w="2400" w:type="dxa"/>
            <w:shd w:val="clear" w:color="auto" w:fill="E5E5E5"/>
            <w:tcMar>
              <w:top w:w="80" w:type="dxa"/>
              <w:left w:w="120" w:type="dxa"/>
              <w:bottom w:w="80" w:type="dxa"/>
              <w:right w:w="120" w:type="dxa"/>
            </w:tcMar>
          </w:tcPr>
          <w:p w14:paraId="63E64462" w14:textId="77777777" w:rsidR="002B416B" w:rsidRDefault="00F640E5">
            <w:pPr>
              <w:spacing w:line="280" w:lineRule="auto"/>
            </w:pPr>
            <w:r>
              <w:rPr>
                <w:b/>
                <w:bCs/>
                <w:sz w:val="22"/>
                <w:szCs w:val="22"/>
              </w:rPr>
              <w:t>Specification</w:t>
            </w:r>
          </w:p>
        </w:tc>
        <w:tc>
          <w:tcPr>
            <w:tcW w:w="1400" w:type="dxa"/>
            <w:shd w:val="clear" w:color="auto" w:fill="E5E5E5"/>
            <w:tcMar>
              <w:top w:w="80" w:type="dxa"/>
              <w:left w:w="120" w:type="dxa"/>
              <w:bottom w:w="80" w:type="dxa"/>
              <w:right w:w="120" w:type="dxa"/>
            </w:tcMar>
          </w:tcPr>
          <w:p w14:paraId="63E64463" w14:textId="77777777" w:rsidR="002B416B" w:rsidRDefault="00F640E5">
            <w:pPr>
              <w:spacing w:line="280" w:lineRule="auto"/>
              <w:jc w:val="center"/>
            </w:pPr>
            <w:r>
              <w:rPr>
                <w:b/>
                <w:bCs/>
                <w:sz w:val="22"/>
                <w:szCs w:val="22"/>
              </w:rPr>
              <w:t>β (framing)</w:t>
            </w:r>
          </w:p>
        </w:tc>
        <w:tc>
          <w:tcPr>
            <w:tcW w:w="1100" w:type="dxa"/>
            <w:shd w:val="clear" w:color="auto" w:fill="E5E5E5"/>
            <w:tcMar>
              <w:top w:w="80" w:type="dxa"/>
              <w:left w:w="120" w:type="dxa"/>
              <w:bottom w:w="80" w:type="dxa"/>
              <w:right w:w="120" w:type="dxa"/>
            </w:tcMar>
          </w:tcPr>
          <w:p w14:paraId="63E64464" w14:textId="77777777" w:rsidR="002B416B" w:rsidRDefault="00F640E5">
            <w:pPr>
              <w:spacing w:line="280" w:lineRule="auto"/>
              <w:jc w:val="center"/>
            </w:pPr>
            <w:r>
              <w:rPr>
                <w:b/>
                <w:bCs/>
                <w:sz w:val="22"/>
                <w:szCs w:val="22"/>
              </w:rPr>
              <w:t>SE</w:t>
            </w:r>
          </w:p>
        </w:tc>
        <w:tc>
          <w:tcPr>
            <w:tcW w:w="1500" w:type="dxa"/>
            <w:shd w:val="clear" w:color="auto" w:fill="E5E5E5"/>
            <w:tcMar>
              <w:top w:w="80" w:type="dxa"/>
              <w:left w:w="120" w:type="dxa"/>
              <w:bottom w:w="80" w:type="dxa"/>
              <w:right w:w="120" w:type="dxa"/>
            </w:tcMar>
          </w:tcPr>
          <w:p w14:paraId="63E64465" w14:textId="77777777" w:rsidR="002B416B" w:rsidRDefault="00F640E5">
            <w:pPr>
              <w:spacing w:line="280" w:lineRule="auto"/>
              <w:jc w:val="center"/>
            </w:pPr>
            <w:r>
              <w:rPr>
                <w:b/>
                <w:bCs/>
                <w:sz w:val="22"/>
                <w:szCs w:val="22"/>
              </w:rPr>
              <w:t>p</w:t>
            </w:r>
          </w:p>
        </w:tc>
        <w:tc>
          <w:tcPr>
            <w:tcW w:w="1100" w:type="dxa"/>
            <w:shd w:val="clear" w:color="auto" w:fill="E5E5E5"/>
            <w:tcMar>
              <w:top w:w="80" w:type="dxa"/>
              <w:left w:w="120" w:type="dxa"/>
              <w:bottom w:w="80" w:type="dxa"/>
              <w:right w:w="120" w:type="dxa"/>
            </w:tcMar>
          </w:tcPr>
          <w:p w14:paraId="63E64466" w14:textId="77777777" w:rsidR="002B416B" w:rsidRDefault="00F640E5">
            <w:pPr>
              <w:spacing w:line="280" w:lineRule="auto"/>
              <w:jc w:val="center"/>
            </w:pPr>
            <w:r>
              <w:rPr>
                <w:b/>
                <w:bCs/>
                <w:sz w:val="22"/>
                <w:szCs w:val="22"/>
              </w:rPr>
              <w:t>R²</w:t>
            </w:r>
          </w:p>
        </w:tc>
        <w:tc>
          <w:tcPr>
            <w:tcW w:w="1500" w:type="dxa"/>
            <w:shd w:val="clear" w:color="auto" w:fill="E5E5E5"/>
            <w:tcMar>
              <w:top w:w="80" w:type="dxa"/>
              <w:left w:w="120" w:type="dxa"/>
              <w:bottom w:w="80" w:type="dxa"/>
              <w:right w:w="120" w:type="dxa"/>
            </w:tcMar>
          </w:tcPr>
          <w:p w14:paraId="63E64467" w14:textId="77777777" w:rsidR="002B416B" w:rsidRDefault="00F640E5">
            <w:pPr>
              <w:spacing w:line="280" w:lineRule="auto"/>
              <w:jc w:val="center"/>
            </w:pPr>
            <w:r>
              <w:rPr>
                <w:b/>
                <w:bCs/>
                <w:sz w:val="22"/>
                <w:szCs w:val="22"/>
              </w:rPr>
              <w:t>N</w:t>
            </w:r>
          </w:p>
        </w:tc>
      </w:tr>
      <w:tr w:rsidR="002B416B" w14:paraId="63E6446F" w14:textId="77777777">
        <w:tc>
          <w:tcPr>
            <w:tcW w:w="2400" w:type="dxa"/>
            <w:tcMar>
              <w:top w:w="80" w:type="dxa"/>
              <w:left w:w="120" w:type="dxa"/>
              <w:bottom w:w="80" w:type="dxa"/>
              <w:right w:w="120" w:type="dxa"/>
            </w:tcMar>
          </w:tcPr>
          <w:p w14:paraId="63E64469" w14:textId="77777777" w:rsidR="002B416B" w:rsidRDefault="00F640E5">
            <w:pPr>
              <w:spacing w:line="280" w:lineRule="auto"/>
            </w:pPr>
            <w:r>
              <w:rPr>
                <w:sz w:val="22"/>
                <w:szCs w:val="22"/>
              </w:rPr>
              <w:t>(A) Pooled OLS</w:t>
            </w:r>
          </w:p>
        </w:tc>
        <w:tc>
          <w:tcPr>
            <w:tcW w:w="1400" w:type="dxa"/>
            <w:tcMar>
              <w:top w:w="80" w:type="dxa"/>
              <w:left w:w="120" w:type="dxa"/>
              <w:bottom w:w="80" w:type="dxa"/>
              <w:right w:w="120" w:type="dxa"/>
            </w:tcMar>
          </w:tcPr>
          <w:p w14:paraId="63E6446A" w14:textId="77777777" w:rsidR="002B416B" w:rsidRDefault="00F640E5">
            <w:pPr>
              <w:spacing w:line="280" w:lineRule="auto"/>
              <w:jc w:val="center"/>
            </w:pPr>
            <w:r>
              <w:rPr>
                <w:sz w:val="22"/>
                <w:szCs w:val="22"/>
              </w:rPr>
              <w:t>+0.332</w:t>
            </w:r>
          </w:p>
        </w:tc>
        <w:tc>
          <w:tcPr>
            <w:tcW w:w="1100" w:type="dxa"/>
            <w:tcMar>
              <w:top w:w="80" w:type="dxa"/>
              <w:left w:w="120" w:type="dxa"/>
              <w:bottom w:w="80" w:type="dxa"/>
              <w:right w:w="120" w:type="dxa"/>
            </w:tcMar>
          </w:tcPr>
          <w:p w14:paraId="63E6446B" w14:textId="77777777" w:rsidR="002B416B" w:rsidRDefault="00F640E5">
            <w:pPr>
              <w:spacing w:line="280" w:lineRule="auto"/>
              <w:jc w:val="center"/>
            </w:pPr>
            <w:r>
              <w:rPr>
                <w:sz w:val="22"/>
                <w:szCs w:val="22"/>
              </w:rPr>
              <w:t>0.006</w:t>
            </w:r>
          </w:p>
        </w:tc>
        <w:tc>
          <w:tcPr>
            <w:tcW w:w="1500" w:type="dxa"/>
            <w:tcMar>
              <w:top w:w="80" w:type="dxa"/>
              <w:left w:w="120" w:type="dxa"/>
              <w:bottom w:w="80" w:type="dxa"/>
              <w:right w:w="120" w:type="dxa"/>
            </w:tcMar>
          </w:tcPr>
          <w:p w14:paraId="63E6446C" w14:textId="77777777" w:rsidR="002B416B" w:rsidRDefault="00F640E5">
            <w:pPr>
              <w:spacing w:line="280" w:lineRule="auto"/>
              <w:jc w:val="center"/>
            </w:pPr>
            <w:r>
              <w:rPr>
                <w:sz w:val="22"/>
                <w:szCs w:val="22"/>
              </w:rPr>
              <w:t>&lt; 0.001</w:t>
            </w:r>
          </w:p>
        </w:tc>
        <w:tc>
          <w:tcPr>
            <w:tcW w:w="1100" w:type="dxa"/>
            <w:tcMar>
              <w:top w:w="80" w:type="dxa"/>
              <w:left w:w="120" w:type="dxa"/>
              <w:bottom w:w="80" w:type="dxa"/>
              <w:right w:w="120" w:type="dxa"/>
            </w:tcMar>
          </w:tcPr>
          <w:p w14:paraId="63E6446D" w14:textId="77777777" w:rsidR="002B416B" w:rsidRDefault="00F640E5">
            <w:pPr>
              <w:spacing w:line="280" w:lineRule="auto"/>
              <w:jc w:val="center"/>
            </w:pPr>
            <w:r>
              <w:rPr>
                <w:sz w:val="22"/>
                <w:szCs w:val="22"/>
              </w:rPr>
              <w:t>0.101</w:t>
            </w:r>
          </w:p>
        </w:tc>
        <w:tc>
          <w:tcPr>
            <w:tcW w:w="1500" w:type="dxa"/>
            <w:tcMar>
              <w:top w:w="80" w:type="dxa"/>
              <w:left w:w="120" w:type="dxa"/>
              <w:bottom w:w="80" w:type="dxa"/>
              <w:right w:w="120" w:type="dxa"/>
            </w:tcMar>
          </w:tcPr>
          <w:p w14:paraId="63E6446E" w14:textId="77777777" w:rsidR="002B416B" w:rsidRDefault="00F640E5">
            <w:pPr>
              <w:spacing w:line="280" w:lineRule="auto"/>
              <w:jc w:val="center"/>
            </w:pPr>
            <w:r>
              <w:rPr>
                <w:sz w:val="22"/>
                <w:szCs w:val="22"/>
              </w:rPr>
              <w:t>86,463</w:t>
            </w:r>
          </w:p>
        </w:tc>
      </w:tr>
      <w:tr w:rsidR="002B416B" w14:paraId="63E64476" w14:textId="77777777">
        <w:tc>
          <w:tcPr>
            <w:tcW w:w="2400" w:type="dxa"/>
            <w:tcMar>
              <w:top w:w="80" w:type="dxa"/>
              <w:left w:w="120" w:type="dxa"/>
              <w:bottom w:w="80" w:type="dxa"/>
              <w:right w:w="120" w:type="dxa"/>
            </w:tcMar>
          </w:tcPr>
          <w:p w14:paraId="63E64470" w14:textId="77777777" w:rsidR="002B416B" w:rsidRDefault="00F640E5">
            <w:pPr>
              <w:spacing w:line="280" w:lineRule="auto"/>
            </w:pPr>
            <w:r>
              <w:rPr>
                <w:sz w:val="22"/>
                <w:szCs w:val="22"/>
              </w:rPr>
              <w:t>(B) Topic FE</w:t>
            </w:r>
          </w:p>
        </w:tc>
        <w:tc>
          <w:tcPr>
            <w:tcW w:w="1400" w:type="dxa"/>
            <w:tcMar>
              <w:top w:w="80" w:type="dxa"/>
              <w:left w:w="120" w:type="dxa"/>
              <w:bottom w:w="80" w:type="dxa"/>
              <w:right w:w="120" w:type="dxa"/>
            </w:tcMar>
          </w:tcPr>
          <w:p w14:paraId="63E64471" w14:textId="77777777" w:rsidR="002B416B" w:rsidRDefault="00F640E5">
            <w:pPr>
              <w:spacing w:line="280" w:lineRule="auto"/>
              <w:jc w:val="center"/>
            </w:pPr>
            <w:r>
              <w:rPr>
                <w:sz w:val="22"/>
                <w:szCs w:val="22"/>
              </w:rPr>
              <w:t>+0.350</w:t>
            </w:r>
          </w:p>
        </w:tc>
        <w:tc>
          <w:tcPr>
            <w:tcW w:w="1100" w:type="dxa"/>
            <w:tcMar>
              <w:top w:w="80" w:type="dxa"/>
              <w:left w:w="120" w:type="dxa"/>
              <w:bottom w:w="80" w:type="dxa"/>
              <w:right w:w="120" w:type="dxa"/>
            </w:tcMar>
          </w:tcPr>
          <w:p w14:paraId="63E64472" w14:textId="77777777" w:rsidR="002B416B" w:rsidRDefault="00F640E5">
            <w:pPr>
              <w:spacing w:line="280" w:lineRule="auto"/>
              <w:jc w:val="center"/>
            </w:pPr>
            <w:r>
              <w:rPr>
                <w:sz w:val="22"/>
                <w:szCs w:val="22"/>
              </w:rPr>
              <w:t>0.006</w:t>
            </w:r>
          </w:p>
        </w:tc>
        <w:tc>
          <w:tcPr>
            <w:tcW w:w="1500" w:type="dxa"/>
            <w:tcMar>
              <w:top w:w="80" w:type="dxa"/>
              <w:left w:w="120" w:type="dxa"/>
              <w:bottom w:w="80" w:type="dxa"/>
              <w:right w:w="120" w:type="dxa"/>
            </w:tcMar>
          </w:tcPr>
          <w:p w14:paraId="63E64473" w14:textId="77777777" w:rsidR="002B416B" w:rsidRDefault="00F640E5">
            <w:pPr>
              <w:spacing w:line="280" w:lineRule="auto"/>
              <w:jc w:val="center"/>
            </w:pPr>
            <w:r>
              <w:rPr>
                <w:sz w:val="22"/>
                <w:szCs w:val="22"/>
              </w:rPr>
              <w:t>&lt; 0.001</w:t>
            </w:r>
          </w:p>
        </w:tc>
        <w:tc>
          <w:tcPr>
            <w:tcW w:w="1100" w:type="dxa"/>
            <w:tcMar>
              <w:top w:w="80" w:type="dxa"/>
              <w:left w:w="120" w:type="dxa"/>
              <w:bottom w:w="80" w:type="dxa"/>
              <w:right w:w="120" w:type="dxa"/>
            </w:tcMar>
          </w:tcPr>
          <w:p w14:paraId="63E64474" w14:textId="77777777" w:rsidR="002B416B" w:rsidRDefault="00F640E5">
            <w:pPr>
              <w:spacing w:line="280" w:lineRule="auto"/>
              <w:jc w:val="center"/>
            </w:pPr>
            <w:r>
              <w:rPr>
                <w:sz w:val="22"/>
                <w:szCs w:val="22"/>
              </w:rPr>
              <w:t>0.144</w:t>
            </w:r>
          </w:p>
        </w:tc>
        <w:tc>
          <w:tcPr>
            <w:tcW w:w="1500" w:type="dxa"/>
            <w:tcMar>
              <w:top w:w="80" w:type="dxa"/>
              <w:left w:w="120" w:type="dxa"/>
              <w:bottom w:w="80" w:type="dxa"/>
              <w:right w:w="120" w:type="dxa"/>
            </w:tcMar>
          </w:tcPr>
          <w:p w14:paraId="63E64475" w14:textId="77777777" w:rsidR="002B416B" w:rsidRDefault="00F640E5">
            <w:pPr>
              <w:spacing w:line="280" w:lineRule="auto"/>
              <w:jc w:val="center"/>
            </w:pPr>
            <w:r>
              <w:rPr>
                <w:sz w:val="22"/>
                <w:szCs w:val="22"/>
              </w:rPr>
              <w:t>86,463</w:t>
            </w:r>
          </w:p>
        </w:tc>
      </w:tr>
      <w:tr w:rsidR="002B416B" w14:paraId="63E6447D" w14:textId="77777777">
        <w:tc>
          <w:tcPr>
            <w:tcW w:w="2400" w:type="dxa"/>
            <w:tcMar>
              <w:top w:w="80" w:type="dxa"/>
              <w:left w:w="120" w:type="dxa"/>
              <w:bottom w:w="80" w:type="dxa"/>
              <w:right w:w="120" w:type="dxa"/>
            </w:tcMar>
          </w:tcPr>
          <w:p w14:paraId="63E64477" w14:textId="77777777" w:rsidR="002B416B" w:rsidRDefault="00F640E5">
            <w:pPr>
              <w:spacing w:line="280" w:lineRule="auto"/>
            </w:pPr>
            <w:r>
              <w:rPr>
                <w:sz w:val="22"/>
                <w:szCs w:val="22"/>
              </w:rPr>
              <w:t>(C) Conversation FE</w:t>
            </w:r>
          </w:p>
        </w:tc>
        <w:tc>
          <w:tcPr>
            <w:tcW w:w="1400" w:type="dxa"/>
            <w:tcMar>
              <w:top w:w="80" w:type="dxa"/>
              <w:left w:w="120" w:type="dxa"/>
              <w:bottom w:w="80" w:type="dxa"/>
              <w:right w:w="120" w:type="dxa"/>
            </w:tcMar>
          </w:tcPr>
          <w:p w14:paraId="63E64478" w14:textId="77777777" w:rsidR="002B416B" w:rsidRDefault="00F640E5">
            <w:pPr>
              <w:spacing w:line="280" w:lineRule="auto"/>
              <w:jc w:val="center"/>
            </w:pPr>
            <w:r>
              <w:rPr>
                <w:sz w:val="22"/>
                <w:szCs w:val="22"/>
              </w:rPr>
              <w:t>+0.201</w:t>
            </w:r>
          </w:p>
        </w:tc>
        <w:tc>
          <w:tcPr>
            <w:tcW w:w="1100" w:type="dxa"/>
            <w:tcMar>
              <w:top w:w="80" w:type="dxa"/>
              <w:left w:w="120" w:type="dxa"/>
              <w:bottom w:w="80" w:type="dxa"/>
              <w:right w:w="120" w:type="dxa"/>
            </w:tcMar>
          </w:tcPr>
          <w:p w14:paraId="63E64479" w14:textId="77777777" w:rsidR="002B416B" w:rsidRDefault="00F640E5">
            <w:pPr>
              <w:spacing w:line="280" w:lineRule="auto"/>
              <w:jc w:val="center"/>
            </w:pPr>
            <w:r>
              <w:rPr>
                <w:sz w:val="22"/>
                <w:szCs w:val="22"/>
              </w:rPr>
              <w:t>0.007</w:t>
            </w:r>
          </w:p>
        </w:tc>
        <w:tc>
          <w:tcPr>
            <w:tcW w:w="1500" w:type="dxa"/>
            <w:tcMar>
              <w:top w:w="80" w:type="dxa"/>
              <w:left w:w="120" w:type="dxa"/>
              <w:bottom w:w="80" w:type="dxa"/>
              <w:right w:w="120" w:type="dxa"/>
            </w:tcMar>
          </w:tcPr>
          <w:p w14:paraId="63E6447A" w14:textId="77777777" w:rsidR="002B416B" w:rsidRDefault="00F640E5">
            <w:pPr>
              <w:spacing w:line="280" w:lineRule="auto"/>
              <w:jc w:val="center"/>
            </w:pPr>
            <w:r>
              <w:rPr>
                <w:sz w:val="22"/>
                <w:szCs w:val="22"/>
              </w:rPr>
              <w:t>&lt; 10⁻¹⁸³</w:t>
            </w:r>
          </w:p>
        </w:tc>
        <w:tc>
          <w:tcPr>
            <w:tcW w:w="1100" w:type="dxa"/>
            <w:tcMar>
              <w:top w:w="80" w:type="dxa"/>
              <w:left w:w="120" w:type="dxa"/>
              <w:bottom w:w="80" w:type="dxa"/>
              <w:right w:w="120" w:type="dxa"/>
            </w:tcMar>
          </w:tcPr>
          <w:p w14:paraId="63E6447B" w14:textId="77777777" w:rsidR="002B416B" w:rsidRDefault="00F640E5">
            <w:pPr>
              <w:spacing w:line="280" w:lineRule="auto"/>
              <w:jc w:val="center"/>
            </w:pPr>
            <w:r>
              <w:rPr>
                <w:sz w:val="22"/>
                <w:szCs w:val="22"/>
              </w:rPr>
              <w:t>0.093</w:t>
            </w:r>
          </w:p>
        </w:tc>
        <w:tc>
          <w:tcPr>
            <w:tcW w:w="1500" w:type="dxa"/>
            <w:tcMar>
              <w:top w:w="80" w:type="dxa"/>
              <w:left w:w="120" w:type="dxa"/>
              <w:bottom w:w="80" w:type="dxa"/>
              <w:right w:w="120" w:type="dxa"/>
            </w:tcMar>
          </w:tcPr>
          <w:p w14:paraId="63E6447C" w14:textId="77777777" w:rsidR="002B416B" w:rsidRDefault="00F640E5">
            <w:pPr>
              <w:spacing w:line="280" w:lineRule="auto"/>
              <w:jc w:val="center"/>
            </w:pPr>
            <w:r>
              <w:rPr>
                <w:sz w:val="22"/>
                <w:szCs w:val="22"/>
              </w:rPr>
              <w:t>86,463</w:t>
            </w:r>
          </w:p>
        </w:tc>
      </w:tr>
      <w:tr w:rsidR="002B416B" w14:paraId="63E64484" w14:textId="77777777">
        <w:tc>
          <w:tcPr>
            <w:tcW w:w="2400" w:type="dxa"/>
            <w:tcMar>
              <w:top w:w="80" w:type="dxa"/>
              <w:left w:w="120" w:type="dxa"/>
              <w:bottom w:w="80" w:type="dxa"/>
              <w:right w:w="120" w:type="dxa"/>
            </w:tcMar>
          </w:tcPr>
          <w:p w14:paraId="63E6447E" w14:textId="77777777" w:rsidR="002B416B" w:rsidRDefault="00F640E5">
            <w:pPr>
              <w:spacing w:line="280" w:lineRule="auto"/>
            </w:pPr>
            <w:r>
              <w:rPr>
                <w:sz w:val="22"/>
                <w:szCs w:val="22"/>
              </w:rPr>
              <w:t>(D) Conv FE + lag</w:t>
            </w:r>
          </w:p>
        </w:tc>
        <w:tc>
          <w:tcPr>
            <w:tcW w:w="1400" w:type="dxa"/>
            <w:tcMar>
              <w:top w:w="80" w:type="dxa"/>
              <w:left w:w="120" w:type="dxa"/>
              <w:bottom w:w="80" w:type="dxa"/>
              <w:right w:w="120" w:type="dxa"/>
            </w:tcMar>
          </w:tcPr>
          <w:p w14:paraId="63E6447F" w14:textId="77777777" w:rsidR="002B416B" w:rsidRDefault="00F640E5">
            <w:pPr>
              <w:spacing w:line="280" w:lineRule="auto"/>
              <w:jc w:val="center"/>
            </w:pPr>
            <w:r>
              <w:rPr>
                <w:sz w:val="22"/>
                <w:szCs w:val="22"/>
              </w:rPr>
              <w:t>+0.189</w:t>
            </w:r>
          </w:p>
        </w:tc>
        <w:tc>
          <w:tcPr>
            <w:tcW w:w="1100" w:type="dxa"/>
            <w:tcMar>
              <w:top w:w="80" w:type="dxa"/>
              <w:left w:w="120" w:type="dxa"/>
              <w:bottom w:w="80" w:type="dxa"/>
              <w:right w:w="120" w:type="dxa"/>
            </w:tcMar>
          </w:tcPr>
          <w:p w14:paraId="63E64480" w14:textId="77777777" w:rsidR="002B416B" w:rsidRDefault="00F640E5">
            <w:pPr>
              <w:spacing w:line="280" w:lineRule="auto"/>
              <w:jc w:val="center"/>
            </w:pPr>
            <w:r>
              <w:rPr>
                <w:sz w:val="22"/>
                <w:szCs w:val="22"/>
              </w:rPr>
              <w:t>0.008</w:t>
            </w:r>
          </w:p>
        </w:tc>
        <w:tc>
          <w:tcPr>
            <w:tcW w:w="1500" w:type="dxa"/>
            <w:tcMar>
              <w:top w:w="80" w:type="dxa"/>
              <w:left w:w="120" w:type="dxa"/>
              <w:bottom w:w="80" w:type="dxa"/>
              <w:right w:w="120" w:type="dxa"/>
            </w:tcMar>
          </w:tcPr>
          <w:p w14:paraId="63E64481" w14:textId="77777777" w:rsidR="002B416B" w:rsidRDefault="00F640E5">
            <w:pPr>
              <w:spacing w:line="280" w:lineRule="auto"/>
              <w:jc w:val="center"/>
            </w:pPr>
            <w:r>
              <w:rPr>
                <w:sz w:val="22"/>
                <w:szCs w:val="22"/>
              </w:rPr>
              <w:t>&lt; 10⁻¹²⁰</w:t>
            </w:r>
          </w:p>
        </w:tc>
        <w:tc>
          <w:tcPr>
            <w:tcW w:w="1100" w:type="dxa"/>
            <w:tcMar>
              <w:top w:w="80" w:type="dxa"/>
              <w:left w:w="120" w:type="dxa"/>
              <w:bottom w:w="80" w:type="dxa"/>
              <w:right w:w="120" w:type="dxa"/>
            </w:tcMar>
          </w:tcPr>
          <w:p w14:paraId="63E64482" w14:textId="77777777" w:rsidR="002B416B" w:rsidRDefault="00F640E5">
            <w:pPr>
              <w:spacing w:line="280" w:lineRule="auto"/>
              <w:jc w:val="center"/>
            </w:pPr>
            <w:r>
              <w:rPr>
                <w:sz w:val="22"/>
                <w:szCs w:val="22"/>
              </w:rPr>
              <w:t>0.085</w:t>
            </w:r>
          </w:p>
        </w:tc>
        <w:tc>
          <w:tcPr>
            <w:tcW w:w="1500" w:type="dxa"/>
            <w:tcMar>
              <w:top w:w="80" w:type="dxa"/>
              <w:left w:w="120" w:type="dxa"/>
              <w:bottom w:w="80" w:type="dxa"/>
              <w:right w:w="120" w:type="dxa"/>
            </w:tcMar>
          </w:tcPr>
          <w:p w14:paraId="63E64483" w14:textId="77777777" w:rsidR="002B416B" w:rsidRDefault="00F640E5">
            <w:pPr>
              <w:spacing w:line="280" w:lineRule="auto"/>
              <w:jc w:val="center"/>
            </w:pPr>
            <w:r>
              <w:rPr>
                <w:sz w:val="22"/>
                <w:szCs w:val="22"/>
              </w:rPr>
              <w:t>66,464</w:t>
            </w:r>
          </w:p>
        </w:tc>
      </w:tr>
    </w:tbl>
    <w:p w14:paraId="63E64485" w14:textId="228514B6" w:rsidR="002B416B" w:rsidRDefault="00F640E5">
      <w:pPr>
        <w:spacing w:before="200" w:after="240" w:line="360" w:lineRule="auto"/>
        <w:jc w:val="both"/>
      </w:pPr>
      <w:r>
        <w:rPr>
          <w:i/>
          <w:iCs/>
        </w:rPr>
        <w:t xml:space="preserve">Notes: Specifications A and B use HC3 standard errors; Specifications C and D use cluster-robust standard errors clustered on </w:t>
      </w:r>
      <w:proofErr w:type="spellStart"/>
      <w:r>
        <w:rPr>
          <w:i/>
          <w:iCs/>
        </w:rPr>
        <w:t>conversation_hash</w:t>
      </w:r>
      <w:proofErr w:type="spellEnd"/>
      <w:r>
        <w:rPr>
          <w:i/>
          <w:iCs/>
        </w:rPr>
        <w:t xml:space="preserve">. Specifications A and B include framing × </w:t>
      </w:r>
      <w:proofErr w:type="spellStart"/>
      <w:r>
        <w:rPr>
          <w:i/>
          <w:iCs/>
        </w:rPr>
        <w:t>model_version</w:t>
      </w:r>
      <w:proofErr w:type="spellEnd"/>
      <w:r>
        <w:rPr>
          <w:i/>
          <w:iCs/>
        </w:rPr>
        <w:t xml:space="preserve"> interactions, log prompt and response token counts, and turn index as controls. Specifications C and D include the latter three as within-transformed controls</w:t>
      </w:r>
      <w:r w:rsidR="00FE0C0D">
        <w:rPr>
          <w:i/>
          <w:iCs/>
        </w:rPr>
        <w:t>,</w:t>
      </w:r>
      <w:r>
        <w:rPr>
          <w:i/>
          <w:iCs/>
        </w:rPr>
        <w:t xml:space="preserve"> the </w:t>
      </w:r>
      <w:proofErr w:type="spellStart"/>
      <w:r>
        <w:rPr>
          <w:i/>
          <w:iCs/>
        </w:rPr>
        <w:t>model_version</w:t>
      </w:r>
      <w:proofErr w:type="spellEnd"/>
      <w:r>
        <w:rPr>
          <w:i/>
          <w:iCs/>
        </w:rPr>
        <w:t xml:space="preserve"> interaction is not identified under conversation FE because model is constant within conversation. Specification D adds within-transformed lagged register as an additional control.</w:t>
      </w:r>
    </w:p>
    <w:p w14:paraId="63E64486" w14:textId="77777777" w:rsidR="002B416B" w:rsidRDefault="00F640E5">
      <w:pPr>
        <w:spacing w:after="200" w:line="360" w:lineRule="auto"/>
        <w:jc w:val="both"/>
      </w:pPr>
      <w:r>
        <w:t>Three observations from Table 1 anchor the analysis.</w:t>
      </w:r>
    </w:p>
    <w:p w14:paraId="63E64487" w14:textId="0FF105F9" w:rsidR="002B416B" w:rsidRDefault="00F640E5">
      <w:pPr>
        <w:spacing w:after="200" w:line="360" w:lineRule="auto"/>
        <w:jc w:val="both"/>
      </w:pPr>
      <w:r>
        <w:t xml:space="preserve">First, </w:t>
      </w:r>
      <w:r w:rsidRPr="00FE0C0D">
        <w:t>the cross-sectional effect is large and topic-FE-stable.</w:t>
      </w:r>
      <w:r>
        <w:t xml:space="preserve"> The pooled OLS coefficient (β = 0.332) is highly statistically significant at this sample size (p essentially zero, given SE of 0.006). Adding topic fixed effects in Specification B does not attenuate the coefficient</w:t>
      </w:r>
      <w:r w:rsidR="00FE0C0D">
        <w:t xml:space="preserve"> but</w:t>
      </w:r>
      <w:r>
        <w:t xml:space="preserve"> it slightly increases to β = 0.350. This rules out between-topic confounding as an explanation for the cross-sectional result; if anything, </w:t>
      </w:r>
      <w:proofErr w:type="spellStart"/>
      <w:r>
        <w:t>partialling</w:t>
      </w:r>
      <w:proofErr w:type="spellEnd"/>
      <w:r>
        <w:t xml:space="preserve"> out topic removes noise rather than signal, leaving a slightly cleaner estimate.</w:t>
      </w:r>
    </w:p>
    <w:p w14:paraId="63E64488" w14:textId="039B552A" w:rsidR="002B416B" w:rsidRDefault="00F640E5">
      <w:pPr>
        <w:spacing w:after="200" w:line="360" w:lineRule="auto"/>
        <w:jc w:val="both"/>
      </w:pPr>
      <w:r>
        <w:t xml:space="preserve">Second, </w:t>
      </w:r>
      <w:r w:rsidRPr="00FE0C0D">
        <w:t>conversation fixed effects attenuate the coefficient by approximately 40%, from β = 0.350 to β = 0.201.</w:t>
      </w:r>
      <w:r>
        <w:t xml:space="preserve"> This is the central decomposition result. A 40% attenuation under the within-conversation specification means that approximately 40% of the cross-sectionally apparent relationship between user framing and response register is explained by stable, between-conversation correlations</w:t>
      </w:r>
      <w:r w:rsidR="00FE0C0D">
        <w:t xml:space="preserve"> meaning</w:t>
      </w:r>
      <w:r>
        <w:t xml:space="preserve"> chatty users in chatty conversations produce chatty data</w:t>
      </w:r>
      <w:r w:rsidR="00FE0C0D">
        <w:t xml:space="preserve"> and</w:t>
      </w:r>
      <w:r>
        <w:t xml:space="preserve"> terse users in instrumental conversations produce terse data</w:t>
      </w:r>
      <w:r w:rsidR="00FE0C0D">
        <w:t>. B</w:t>
      </w:r>
      <w:r>
        <w:t xml:space="preserve">oth observations enter the cross-sectional regression as evidence of "mirroring" without requiring any moment-to-moment model responsiveness. Conversation FE absorbs this between-conversation component, leaving only </w:t>
      </w:r>
      <w:r>
        <w:lastRenderedPageBreak/>
        <w:t xml:space="preserve">within-conversation, turn-to-turn variation. The fact that </w:t>
      </w:r>
      <w:proofErr w:type="gramStart"/>
      <w:r>
        <w:t>the majority of</w:t>
      </w:r>
      <w:proofErr w:type="gramEnd"/>
      <w:r>
        <w:t xml:space="preserve"> the effect survives this transformation and remains highly significant (p &lt; 10⁻¹⁸³) establishes that genuine within-conversation accommodation is occurring, but at substantially smaller magnitude than cross-sectional analysis would suggest.</w:t>
      </w:r>
    </w:p>
    <w:p w14:paraId="755C93C7" w14:textId="2DB1210B" w:rsidR="00DA6664" w:rsidRDefault="00F640E5">
      <w:pPr>
        <w:spacing w:after="200" w:line="360" w:lineRule="auto"/>
        <w:jc w:val="both"/>
      </w:pPr>
      <w:r>
        <w:t xml:space="preserve">Third, </w:t>
      </w:r>
      <w:r w:rsidRPr="00FE0C0D">
        <w:t xml:space="preserve">adding the lagged register control further attenuates the coefficient slightly to β = 0.189, </w:t>
      </w:r>
      <w:r>
        <w:t>with the lag coefficient itself estimated at λ = −0.035 (SE = 0.008, p &lt; 10⁻⁵). The negative sign on λ is informative. If LLM responses were autoregressively maintaining a register established earlier in the conversation, we would expect λ &gt; 0 (high prior register predicts high current register). The observed λ &lt; 0 is inconsistent with that pattern. We interpret this as evidence that within-conversation accommodation reflects responsiveness to the current user signal rather than autoregressive maintenance of the model's own prior tone  that is, the model weights current input over its prior register.</w:t>
      </w:r>
    </w:p>
    <w:p w14:paraId="589E87BA" w14:textId="77777777" w:rsidR="00FE0C0D" w:rsidRDefault="00FE0C0D">
      <w:pPr>
        <w:spacing w:after="200" w:line="360" w:lineRule="auto"/>
        <w:jc w:val="both"/>
      </w:pPr>
    </w:p>
    <w:p w14:paraId="63E6448A" w14:textId="77777777" w:rsidR="002B416B" w:rsidRDefault="00F640E5">
      <w:pPr>
        <w:pStyle w:val="Heading2"/>
        <w:spacing w:before="280" w:after="160"/>
      </w:pPr>
      <w:r>
        <w:rPr>
          <w:b/>
          <w:bCs/>
        </w:rPr>
        <w:t>4.3 Per-Component Breakdown</w:t>
      </w:r>
    </w:p>
    <w:p w14:paraId="63E6448B" w14:textId="77777777" w:rsidR="002B416B" w:rsidRDefault="00F640E5">
      <w:pPr>
        <w:spacing w:after="200" w:line="360" w:lineRule="auto"/>
        <w:jc w:val="both"/>
      </w:pPr>
      <w:r>
        <w:t>Table 2 shows the per-component framing effect on each of the eight underlying response register features, estimated under Specification C.</w:t>
      </w:r>
    </w:p>
    <w:p w14:paraId="63E6448C" w14:textId="77777777" w:rsidR="002B416B" w:rsidRDefault="00F640E5">
      <w:pPr>
        <w:spacing w:after="200" w:line="360" w:lineRule="auto"/>
        <w:jc w:val="both"/>
      </w:pPr>
      <w:r>
        <w:rPr>
          <w:b/>
          <w:bCs/>
        </w:rPr>
        <w:t xml:space="preserve">Table 2. </w:t>
      </w:r>
      <w:r>
        <w:rPr>
          <w:i/>
          <w:iCs/>
        </w:rPr>
        <w:t>Per-component framing effect on response register features under conversation FE.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000"/>
      </w:tblGrid>
      <w:tr w:rsidR="002B416B" w14:paraId="63E64491" w14:textId="77777777">
        <w:tc>
          <w:tcPr>
            <w:tcW w:w="3200" w:type="dxa"/>
            <w:shd w:val="clear" w:color="auto" w:fill="E5E5E5"/>
            <w:tcMar>
              <w:top w:w="80" w:type="dxa"/>
              <w:left w:w="120" w:type="dxa"/>
              <w:bottom w:w="80" w:type="dxa"/>
              <w:right w:w="120" w:type="dxa"/>
            </w:tcMar>
          </w:tcPr>
          <w:p w14:paraId="63E6448D" w14:textId="77777777" w:rsidR="002B416B" w:rsidRDefault="00F640E5">
            <w:pPr>
              <w:spacing w:line="280" w:lineRule="auto"/>
            </w:pPr>
            <w:r>
              <w:rPr>
                <w:b/>
                <w:bCs/>
                <w:sz w:val="22"/>
                <w:szCs w:val="22"/>
              </w:rPr>
              <w:t>Component</w:t>
            </w:r>
          </w:p>
        </w:tc>
        <w:tc>
          <w:tcPr>
            <w:tcW w:w="1900" w:type="dxa"/>
            <w:shd w:val="clear" w:color="auto" w:fill="E5E5E5"/>
            <w:tcMar>
              <w:top w:w="80" w:type="dxa"/>
              <w:left w:w="120" w:type="dxa"/>
              <w:bottom w:w="80" w:type="dxa"/>
              <w:right w:w="120" w:type="dxa"/>
            </w:tcMar>
          </w:tcPr>
          <w:p w14:paraId="63E6448E" w14:textId="77777777" w:rsidR="002B416B" w:rsidRDefault="00F640E5">
            <w:pPr>
              <w:spacing w:line="280" w:lineRule="auto"/>
              <w:jc w:val="center"/>
            </w:pPr>
            <w:r>
              <w:rPr>
                <w:b/>
                <w:bCs/>
                <w:sz w:val="22"/>
                <w:szCs w:val="22"/>
              </w:rPr>
              <w:t>β</w:t>
            </w:r>
          </w:p>
        </w:tc>
        <w:tc>
          <w:tcPr>
            <w:tcW w:w="1900" w:type="dxa"/>
            <w:shd w:val="clear" w:color="auto" w:fill="E5E5E5"/>
            <w:tcMar>
              <w:top w:w="80" w:type="dxa"/>
              <w:left w:w="120" w:type="dxa"/>
              <w:bottom w:w="80" w:type="dxa"/>
              <w:right w:w="120" w:type="dxa"/>
            </w:tcMar>
          </w:tcPr>
          <w:p w14:paraId="63E6448F" w14:textId="77777777" w:rsidR="002B416B" w:rsidRDefault="00F640E5">
            <w:pPr>
              <w:spacing w:line="280" w:lineRule="auto"/>
              <w:jc w:val="center"/>
            </w:pPr>
            <w:r>
              <w:rPr>
                <w:b/>
                <w:bCs/>
                <w:sz w:val="22"/>
                <w:szCs w:val="22"/>
              </w:rPr>
              <w:t>SE</w:t>
            </w:r>
          </w:p>
        </w:tc>
        <w:tc>
          <w:tcPr>
            <w:tcW w:w="2000" w:type="dxa"/>
            <w:shd w:val="clear" w:color="auto" w:fill="E5E5E5"/>
            <w:tcMar>
              <w:top w:w="80" w:type="dxa"/>
              <w:left w:w="120" w:type="dxa"/>
              <w:bottom w:w="80" w:type="dxa"/>
              <w:right w:w="120" w:type="dxa"/>
            </w:tcMar>
          </w:tcPr>
          <w:p w14:paraId="63E64490" w14:textId="77777777" w:rsidR="002B416B" w:rsidRDefault="00F640E5">
            <w:pPr>
              <w:spacing w:line="280" w:lineRule="auto"/>
              <w:jc w:val="center"/>
            </w:pPr>
            <w:r>
              <w:rPr>
                <w:b/>
                <w:bCs/>
                <w:sz w:val="22"/>
                <w:szCs w:val="22"/>
              </w:rPr>
              <w:t>p</w:t>
            </w:r>
          </w:p>
        </w:tc>
      </w:tr>
      <w:tr w:rsidR="002B416B" w14:paraId="63E64496" w14:textId="77777777">
        <w:tc>
          <w:tcPr>
            <w:tcW w:w="3200" w:type="dxa"/>
            <w:tcMar>
              <w:top w:w="80" w:type="dxa"/>
              <w:left w:w="120" w:type="dxa"/>
              <w:bottom w:w="80" w:type="dxa"/>
              <w:right w:w="120" w:type="dxa"/>
            </w:tcMar>
          </w:tcPr>
          <w:p w14:paraId="63E64492" w14:textId="77777777" w:rsidR="002B416B" w:rsidRDefault="00F640E5">
            <w:pPr>
              <w:spacing w:line="280" w:lineRule="auto"/>
            </w:pPr>
            <w:r>
              <w:rPr>
                <w:sz w:val="22"/>
                <w:szCs w:val="22"/>
              </w:rPr>
              <w:t>Empath social</w:t>
            </w:r>
          </w:p>
        </w:tc>
        <w:tc>
          <w:tcPr>
            <w:tcW w:w="1900" w:type="dxa"/>
            <w:tcMar>
              <w:top w:w="80" w:type="dxa"/>
              <w:left w:w="120" w:type="dxa"/>
              <w:bottom w:w="80" w:type="dxa"/>
              <w:right w:w="120" w:type="dxa"/>
            </w:tcMar>
          </w:tcPr>
          <w:p w14:paraId="63E64493" w14:textId="77777777" w:rsidR="002B416B" w:rsidRDefault="00F640E5">
            <w:pPr>
              <w:spacing w:line="280" w:lineRule="auto"/>
              <w:jc w:val="center"/>
            </w:pPr>
            <w:r>
              <w:rPr>
                <w:sz w:val="22"/>
                <w:szCs w:val="22"/>
              </w:rPr>
              <w:t>+0.0117</w:t>
            </w:r>
          </w:p>
        </w:tc>
        <w:tc>
          <w:tcPr>
            <w:tcW w:w="1900" w:type="dxa"/>
            <w:tcMar>
              <w:top w:w="80" w:type="dxa"/>
              <w:left w:w="120" w:type="dxa"/>
              <w:bottom w:w="80" w:type="dxa"/>
              <w:right w:w="120" w:type="dxa"/>
            </w:tcMar>
          </w:tcPr>
          <w:p w14:paraId="63E64494" w14:textId="77777777" w:rsidR="002B416B" w:rsidRDefault="00F640E5">
            <w:pPr>
              <w:spacing w:line="280" w:lineRule="auto"/>
              <w:jc w:val="center"/>
            </w:pPr>
            <w:r>
              <w:rPr>
                <w:sz w:val="22"/>
                <w:szCs w:val="22"/>
              </w:rPr>
              <w:t>0.0004</w:t>
            </w:r>
          </w:p>
        </w:tc>
        <w:tc>
          <w:tcPr>
            <w:tcW w:w="2000" w:type="dxa"/>
            <w:tcMar>
              <w:top w:w="80" w:type="dxa"/>
              <w:left w:w="120" w:type="dxa"/>
              <w:bottom w:w="80" w:type="dxa"/>
              <w:right w:w="120" w:type="dxa"/>
            </w:tcMar>
          </w:tcPr>
          <w:p w14:paraId="63E64495" w14:textId="77777777" w:rsidR="002B416B" w:rsidRDefault="00F640E5">
            <w:pPr>
              <w:spacing w:line="280" w:lineRule="auto"/>
              <w:jc w:val="center"/>
            </w:pPr>
            <w:r>
              <w:rPr>
                <w:sz w:val="22"/>
                <w:szCs w:val="22"/>
              </w:rPr>
              <w:t>&lt; 0.001</w:t>
            </w:r>
          </w:p>
        </w:tc>
      </w:tr>
      <w:tr w:rsidR="002B416B" w14:paraId="63E6449B" w14:textId="77777777">
        <w:tc>
          <w:tcPr>
            <w:tcW w:w="3200" w:type="dxa"/>
            <w:tcMar>
              <w:top w:w="80" w:type="dxa"/>
              <w:left w:w="120" w:type="dxa"/>
              <w:bottom w:w="80" w:type="dxa"/>
              <w:right w:w="120" w:type="dxa"/>
            </w:tcMar>
          </w:tcPr>
          <w:p w14:paraId="63E64497" w14:textId="77777777" w:rsidR="002B416B" w:rsidRDefault="00F640E5">
            <w:pPr>
              <w:spacing w:line="280" w:lineRule="auto"/>
            </w:pPr>
            <w:r>
              <w:rPr>
                <w:sz w:val="22"/>
                <w:szCs w:val="22"/>
              </w:rPr>
              <w:t>Second-person pronouns</w:t>
            </w:r>
          </w:p>
        </w:tc>
        <w:tc>
          <w:tcPr>
            <w:tcW w:w="1900" w:type="dxa"/>
            <w:tcMar>
              <w:top w:w="80" w:type="dxa"/>
              <w:left w:w="120" w:type="dxa"/>
              <w:bottom w:w="80" w:type="dxa"/>
              <w:right w:w="120" w:type="dxa"/>
            </w:tcMar>
          </w:tcPr>
          <w:p w14:paraId="63E64498" w14:textId="77777777" w:rsidR="002B416B" w:rsidRDefault="00F640E5">
            <w:pPr>
              <w:spacing w:line="280" w:lineRule="auto"/>
              <w:jc w:val="center"/>
            </w:pPr>
            <w:r>
              <w:rPr>
                <w:sz w:val="22"/>
                <w:szCs w:val="22"/>
              </w:rPr>
              <w:t>+0.0074</w:t>
            </w:r>
          </w:p>
        </w:tc>
        <w:tc>
          <w:tcPr>
            <w:tcW w:w="1900" w:type="dxa"/>
            <w:tcMar>
              <w:top w:w="80" w:type="dxa"/>
              <w:left w:w="120" w:type="dxa"/>
              <w:bottom w:w="80" w:type="dxa"/>
              <w:right w:w="120" w:type="dxa"/>
            </w:tcMar>
          </w:tcPr>
          <w:p w14:paraId="63E64499" w14:textId="77777777" w:rsidR="002B416B" w:rsidRDefault="00F640E5">
            <w:pPr>
              <w:spacing w:line="280" w:lineRule="auto"/>
              <w:jc w:val="center"/>
            </w:pPr>
            <w:r>
              <w:rPr>
                <w:sz w:val="22"/>
                <w:szCs w:val="22"/>
              </w:rPr>
              <w:t>0.0003</w:t>
            </w:r>
          </w:p>
        </w:tc>
        <w:tc>
          <w:tcPr>
            <w:tcW w:w="2000" w:type="dxa"/>
            <w:tcMar>
              <w:top w:w="80" w:type="dxa"/>
              <w:left w:w="120" w:type="dxa"/>
              <w:bottom w:w="80" w:type="dxa"/>
              <w:right w:w="120" w:type="dxa"/>
            </w:tcMar>
          </w:tcPr>
          <w:p w14:paraId="63E6449A" w14:textId="77777777" w:rsidR="002B416B" w:rsidRDefault="00F640E5">
            <w:pPr>
              <w:spacing w:line="280" w:lineRule="auto"/>
              <w:jc w:val="center"/>
            </w:pPr>
            <w:r>
              <w:rPr>
                <w:sz w:val="22"/>
                <w:szCs w:val="22"/>
              </w:rPr>
              <w:t>&lt; 0.001</w:t>
            </w:r>
          </w:p>
        </w:tc>
      </w:tr>
      <w:tr w:rsidR="002B416B" w14:paraId="63E644A0" w14:textId="77777777">
        <w:tc>
          <w:tcPr>
            <w:tcW w:w="3200" w:type="dxa"/>
            <w:tcMar>
              <w:top w:w="80" w:type="dxa"/>
              <w:left w:w="120" w:type="dxa"/>
              <w:bottom w:w="80" w:type="dxa"/>
              <w:right w:w="120" w:type="dxa"/>
            </w:tcMar>
          </w:tcPr>
          <w:p w14:paraId="63E6449C" w14:textId="77777777" w:rsidR="002B416B" w:rsidRDefault="00F640E5">
            <w:pPr>
              <w:spacing w:line="280" w:lineRule="auto"/>
            </w:pPr>
            <w:r>
              <w:rPr>
                <w:sz w:val="22"/>
                <w:szCs w:val="22"/>
              </w:rPr>
              <w:t>First-person singular</w:t>
            </w:r>
          </w:p>
        </w:tc>
        <w:tc>
          <w:tcPr>
            <w:tcW w:w="1900" w:type="dxa"/>
            <w:tcMar>
              <w:top w:w="80" w:type="dxa"/>
              <w:left w:w="120" w:type="dxa"/>
              <w:bottom w:w="80" w:type="dxa"/>
              <w:right w:w="120" w:type="dxa"/>
            </w:tcMar>
          </w:tcPr>
          <w:p w14:paraId="63E6449D" w14:textId="77777777" w:rsidR="002B416B" w:rsidRDefault="00F640E5">
            <w:pPr>
              <w:spacing w:line="280" w:lineRule="auto"/>
              <w:jc w:val="center"/>
            </w:pPr>
            <w:r>
              <w:rPr>
                <w:sz w:val="22"/>
                <w:szCs w:val="22"/>
              </w:rPr>
              <w:t>+0.0067</w:t>
            </w:r>
          </w:p>
        </w:tc>
        <w:tc>
          <w:tcPr>
            <w:tcW w:w="1900" w:type="dxa"/>
            <w:tcMar>
              <w:top w:w="80" w:type="dxa"/>
              <w:left w:w="120" w:type="dxa"/>
              <w:bottom w:w="80" w:type="dxa"/>
              <w:right w:w="120" w:type="dxa"/>
            </w:tcMar>
          </w:tcPr>
          <w:p w14:paraId="63E6449E" w14:textId="77777777" w:rsidR="002B416B" w:rsidRDefault="00F640E5">
            <w:pPr>
              <w:spacing w:line="280" w:lineRule="auto"/>
              <w:jc w:val="center"/>
            </w:pPr>
            <w:r>
              <w:rPr>
                <w:sz w:val="22"/>
                <w:szCs w:val="22"/>
              </w:rPr>
              <w:t>0.0003</w:t>
            </w:r>
          </w:p>
        </w:tc>
        <w:tc>
          <w:tcPr>
            <w:tcW w:w="2000" w:type="dxa"/>
            <w:tcMar>
              <w:top w:w="80" w:type="dxa"/>
              <w:left w:w="120" w:type="dxa"/>
              <w:bottom w:w="80" w:type="dxa"/>
              <w:right w:w="120" w:type="dxa"/>
            </w:tcMar>
          </w:tcPr>
          <w:p w14:paraId="63E6449F" w14:textId="77777777" w:rsidR="002B416B" w:rsidRDefault="00F640E5">
            <w:pPr>
              <w:spacing w:line="280" w:lineRule="auto"/>
              <w:jc w:val="center"/>
            </w:pPr>
            <w:r>
              <w:rPr>
                <w:sz w:val="22"/>
                <w:szCs w:val="22"/>
              </w:rPr>
              <w:t>&lt; 0.001</w:t>
            </w:r>
          </w:p>
        </w:tc>
      </w:tr>
      <w:tr w:rsidR="002B416B" w14:paraId="63E644A5" w14:textId="77777777">
        <w:tc>
          <w:tcPr>
            <w:tcW w:w="3200" w:type="dxa"/>
            <w:tcMar>
              <w:top w:w="80" w:type="dxa"/>
              <w:left w:w="120" w:type="dxa"/>
              <w:bottom w:w="80" w:type="dxa"/>
              <w:right w:w="120" w:type="dxa"/>
            </w:tcMar>
          </w:tcPr>
          <w:p w14:paraId="63E644A1" w14:textId="77777777" w:rsidR="002B416B" w:rsidRDefault="00F640E5">
            <w:pPr>
              <w:spacing w:line="280" w:lineRule="auto"/>
            </w:pPr>
            <w:r>
              <w:rPr>
                <w:sz w:val="22"/>
                <w:szCs w:val="22"/>
              </w:rPr>
              <w:t>Relational verbs</w:t>
            </w:r>
          </w:p>
        </w:tc>
        <w:tc>
          <w:tcPr>
            <w:tcW w:w="1900" w:type="dxa"/>
            <w:tcMar>
              <w:top w:w="80" w:type="dxa"/>
              <w:left w:w="120" w:type="dxa"/>
              <w:bottom w:w="80" w:type="dxa"/>
              <w:right w:w="120" w:type="dxa"/>
            </w:tcMar>
          </w:tcPr>
          <w:p w14:paraId="63E644A2" w14:textId="77777777" w:rsidR="002B416B" w:rsidRDefault="00F640E5">
            <w:pPr>
              <w:spacing w:line="280" w:lineRule="auto"/>
              <w:jc w:val="center"/>
            </w:pPr>
            <w:r>
              <w:rPr>
                <w:sz w:val="22"/>
                <w:szCs w:val="22"/>
              </w:rPr>
              <w:t>+0.0040</w:t>
            </w:r>
          </w:p>
        </w:tc>
        <w:tc>
          <w:tcPr>
            <w:tcW w:w="1900" w:type="dxa"/>
            <w:tcMar>
              <w:top w:w="80" w:type="dxa"/>
              <w:left w:w="120" w:type="dxa"/>
              <w:bottom w:w="80" w:type="dxa"/>
              <w:right w:w="120" w:type="dxa"/>
            </w:tcMar>
          </w:tcPr>
          <w:p w14:paraId="63E644A3" w14:textId="77777777" w:rsidR="002B416B" w:rsidRDefault="00F640E5">
            <w:pPr>
              <w:spacing w:line="280" w:lineRule="auto"/>
              <w:jc w:val="center"/>
            </w:pPr>
            <w:r>
              <w:rPr>
                <w:sz w:val="22"/>
                <w:szCs w:val="22"/>
              </w:rPr>
              <w:t>0.0002</w:t>
            </w:r>
          </w:p>
        </w:tc>
        <w:tc>
          <w:tcPr>
            <w:tcW w:w="2000" w:type="dxa"/>
            <w:tcMar>
              <w:top w:w="80" w:type="dxa"/>
              <w:left w:w="120" w:type="dxa"/>
              <w:bottom w:w="80" w:type="dxa"/>
              <w:right w:w="120" w:type="dxa"/>
            </w:tcMar>
          </w:tcPr>
          <w:p w14:paraId="63E644A4" w14:textId="77777777" w:rsidR="002B416B" w:rsidRDefault="00F640E5">
            <w:pPr>
              <w:spacing w:line="280" w:lineRule="auto"/>
              <w:jc w:val="center"/>
            </w:pPr>
            <w:r>
              <w:rPr>
                <w:sz w:val="22"/>
                <w:szCs w:val="22"/>
              </w:rPr>
              <w:t>&lt; 0.001</w:t>
            </w:r>
          </w:p>
        </w:tc>
      </w:tr>
      <w:tr w:rsidR="002B416B" w14:paraId="63E644AA" w14:textId="77777777">
        <w:tc>
          <w:tcPr>
            <w:tcW w:w="3200" w:type="dxa"/>
            <w:tcMar>
              <w:top w:w="80" w:type="dxa"/>
              <w:left w:w="120" w:type="dxa"/>
              <w:bottom w:w="80" w:type="dxa"/>
              <w:right w:w="120" w:type="dxa"/>
            </w:tcMar>
          </w:tcPr>
          <w:p w14:paraId="63E644A6" w14:textId="77777777" w:rsidR="002B416B" w:rsidRDefault="00F640E5">
            <w:pPr>
              <w:spacing w:line="280" w:lineRule="auto"/>
            </w:pPr>
            <w:r>
              <w:rPr>
                <w:sz w:val="22"/>
                <w:szCs w:val="22"/>
              </w:rPr>
              <w:t>Politeness</w:t>
            </w:r>
          </w:p>
        </w:tc>
        <w:tc>
          <w:tcPr>
            <w:tcW w:w="1900" w:type="dxa"/>
            <w:tcMar>
              <w:top w:w="80" w:type="dxa"/>
              <w:left w:w="120" w:type="dxa"/>
              <w:bottom w:w="80" w:type="dxa"/>
              <w:right w:w="120" w:type="dxa"/>
            </w:tcMar>
          </w:tcPr>
          <w:p w14:paraId="63E644A7" w14:textId="77777777" w:rsidR="002B416B" w:rsidRDefault="00F640E5">
            <w:pPr>
              <w:spacing w:line="280" w:lineRule="auto"/>
              <w:jc w:val="center"/>
            </w:pPr>
            <w:r>
              <w:rPr>
                <w:sz w:val="22"/>
                <w:szCs w:val="22"/>
              </w:rPr>
              <w:t>+0.0024</w:t>
            </w:r>
          </w:p>
        </w:tc>
        <w:tc>
          <w:tcPr>
            <w:tcW w:w="1900" w:type="dxa"/>
            <w:tcMar>
              <w:top w:w="80" w:type="dxa"/>
              <w:left w:w="120" w:type="dxa"/>
              <w:bottom w:w="80" w:type="dxa"/>
              <w:right w:w="120" w:type="dxa"/>
            </w:tcMar>
          </w:tcPr>
          <w:p w14:paraId="63E644A8" w14:textId="77777777" w:rsidR="002B416B" w:rsidRDefault="00F640E5">
            <w:pPr>
              <w:spacing w:line="280" w:lineRule="auto"/>
              <w:jc w:val="center"/>
            </w:pPr>
            <w:r>
              <w:rPr>
                <w:sz w:val="22"/>
                <w:szCs w:val="22"/>
              </w:rPr>
              <w:t>0.0002</w:t>
            </w:r>
          </w:p>
        </w:tc>
        <w:tc>
          <w:tcPr>
            <w:tcW w:w="2000" w:type="dxa"/>
            <w:tcMar>
              <w:top w:w="80" w:type="dxa"/>
              <w:left w:w="120" w:type="dxa"/>
              <w:bottom w:w="80" w:type="dxa"/>
              <w:right w:w="120" w:type="dxa"/>
            </w:tcMar>
          </w:tcPr>
          <w:p w14:paraId="63E644A9" w14:textId="77777777" w:rsidR="002B416B" w:rsidRDefault="00F640E5">
            <w:pPr>
              <w:spacing w:line="280" w:lineRule="auto"/>
              <w:jc w:val="center"/>
            </w:pPr>
            <w:r>
              <w:rPr>
                <w:sz w:val="22"/>
                <w:szCs w:val="22"/>
              </w:rPr>
              <w:t>&lt; 0.001</w:t>
            </w:r>
          </w:p>
        </w:tc>
      </w:tr>
      <w:tr w:rsidR="002B416B" w14:paraId="63E644AF" w14:textId="77777777">
        <w:tc>
          <w:tcPr>
            <w:tcW w:w="3200" w:type="dxa"/>
            <w:tcMar>
              <w:top w:w="80" w:type="dxa"/>
              <w:left w:w="120" w:type="dxa"/>
              <w:bottom w:w="80" w:type="dxa"/>
              <w:right w:w="120" w:type="dxa"/>
            </w:tcMar>
          </w:tcPr>
          <w:p w14:paraId="63E644AB" w14:textId="77777777" w:rsidR="002B416B" w:rsidRDefault="00F640E5">
            <w:pPr>
              <w:spacing w:line="280" w:lineRule="auto"/>
            </w:pPr>
            <w:r>
              <w:rPr>
                <w:sz w:val="22"/>
                <w:szCs w:val="22"/>
              </w:rPr>
              <w:t>Affect words</w:t>
            </w:r>
          </w:p>
        </w:tc>
        <w:tc>
          <w:tcPr>
            <w:tcW w:w="1900" w:type="dxa"/>
            <w:tcMar>
              <w:top w:w="80" w:type="dxa"/>
              <w:left w:w="120" w:type="dxa"/>
              <w:bottom w:w="80" w:type="dxa"/>
              <w:right w:w="120" w:type="dxa"/>
            </w:tcMar>
          </w:tcPr>
          <w:p w14:paraId="63E644AC" w14:textId="77777777" w:rsidR="002B416B" w:rsidRDefault="00F640E5">
            <w:pPr>
              <w:spacing w:line="280" w:lineRule="auto"/>
              <w:jc w:val="center"/>
            </w:pPr>
            <w:r>
              <w:rPr>
                <w:sz w:val="22"/>
                <w:szCs w:val="22"/>
              </w:rPr>
              <w:t>+0.0011</w:t>
            </w:r>
          </w:p>
        </w:tc>
        <w:tc>
          <w:tcPr>
            <w:tcW w:w="1900" w:type="dxa"/>
            <w:tcMar>
              <w:top w:w="80" w:type="dxa"/>
              <w:left w:w="120" w:type="dxa"/>
              <w:bottom w:w="80" w:type="dxa"/>
              <w:right w:w="120" w:type="dxa"/>
            </w:tcMar>
          </w:tcPr>
          <w:p w14:paraId="63E644AD" w14:textId="77777777" w:rsidR="002B416B" w:rsidRDefault="00F640E5">
            <w:pPr>
              <w:spacing w:line="280" w:lineRule="auto"/>
              <w:jc w:val="center"/>
            </w:pPr>
            <w:r>
              <w:rPr>
                <w:sz w:val="22"/>
                <w:szCs w:val="22"/>
              </w:rPr>
              <w:t>0.0001</w:t>
            </w:r>
          </w:p>
        </w:tc>
        <w:tc>
          <w:tcPr>
            <w:tcW w:w="2000" w:type="dxa"/>
            <w:tcMar>
              <w:top w:w="80" w:type="dxa"/>
              <w:left w:w="120" w:type="dxa"/>
              <w:bottom w:w="80" w:type="dxa"/>
              <w:right w:w="120" w:type="dxa"/>
            </w:tcMar>
          </w:tcPr>
          <w:p w14:paraId="63E644AE" w14:textId="77777777" w:rsidR="002B416B" w:rsidRDefault="00F640E5">
            <w:pPr>
              <w:spacing w:line="280" w:lineRule="auto"/>
              <w:jc w:val="center"/>
            </w:pPr>
            <w:r>
              <w:rPr>
                <w:sz w:val="22"/>
                <w:szCs w:val="22"/>
              </w:rPr>
              <w:t>&lt; 0.001</w:t>
            </w:r>
          </w:p>
        </w:tc>
      </w:tr>
      <w:tr w:rsidR="002B416B" w14:paraId="63E644B4" w14:textId="77777777">
        <w:tc>
          <w:tcPr>
            <w:tcW w:w="3200" w:type="dxa"/>
            <w:tcMar>
              <w:top w:w="80" w:type="dxa"/>
              <w:left w:w="120" w:type="dxa"/>
              <w:bottom w:w="80" w:type="dxa"/>
              <w:right w:w="120" w:type="dxa"/>
            </w:tcMar>
          </w:tcPr>
          <w:p w14:paraId="63E644B0" w14:textId="77777777" w:rsidR="002B416B" w:rsidRDefault="00F640E5">
            <w:pPr>
              <w:spacing w:line="280" w:lineRule="auto"/>
            </w:pPr>
            <w:r>
              <w:rPr>
                <w:sz w:val="22"/>
                <w:szCs w:val="22"/>
              </w:rPr>
              <w:t>Hedges</w:t>
            </w:r>
          </w:p>
        </w:tc>
        <w:tc>
          <w:tcPr>
            <w:tcW w:w="1900" w:type="dxa"/>
            <w:tcMar>
              <w:top w:w="80" w:type="dxa"/>
              <w:left w:w="120" w:type="dxa"/>
              <w:bottom w:w="80" w:type="dxa"/>
              <w:right w:w="120" w:type="dxa"/>
            </w:tcMar>
          </w:tcPr>
          <w:p w14:paraId="63E644B1" w14:textId="77777777" w:rsidR="002B416B" w:rsidRDefault="00F640E5">
            <w:pPr>
              <w:spacing w:line="280" w:lineRule="auto"/>
              <w:jc w:val="center"/>
            </w:pPr>
            <w:r>
              <w:rPr>
                <w:sz w:val="22"/>
                <w:szCs w:val="22"/>
              </w:rPr>
              <w:t>+0.0007</w:t>
            </w:r>
          </w:p>
        </w:tc>
        <w:tc>
          <w:tcPr>
            <w:tcW w:w="1900" w:type="dxa"/>
            <w:tcMar>
              <w:top w:w="80" w:type="dxa"/>
              <w:left w:w="120" w:type="dxa"/>
              <w:bottom w:w="80" w:type="dxa"/>
              <w:right w:w="120" w:type="dxa"/>
            </w:tcMar>
          </w:tcPr>
          <w:p w14:paraId="63E644B2" w14:textId="77777777" w:rsidR="002B416B" w:rsidRDefault="00F640E5">
            <w:pPr>
              <w:spacing w:line="280" w:lineRule="auto"/>
              <w:jc w:val="center"/>
            </w:pPr>
            <w:r>
              <w:rPr>
                <w:sz w:val="22"/>
                <w:szCs w:val="22"/>
              </w:rPr>
              <w:t>0.0001</w:t>
            </w:r>
          </w:p>
        </w:tc>
        <w:tc>
          <w:tcPr>
            <w:tcW w:w="2000" w:type="dxa"/>
            <w:tcMar>
              <w:top w:w="80" w:type="dxa"/>
              <w:left w:w="120" w:type="dxa"/>
              <w:bottom w:w="80" w:type="dxa"/>
              <w:right w:w="120" w:type="dxa"/>
            </w:tcMar>
          </w:tcPr>
          <w:p w14:paraId="63E644B3" w14:textId="77777777" w:rsidR="002B416B" w:rsidRDefault="00F640E5">
            <w:pPr>
              <w:spacing w:line="280" w:lineRule="auto"/>
              <w:jc w:val="center"/>
            </w:pPr>
            <w:r>
              <w:rPr>
                <w:sz w:val="22"/>
                <w:szCs w:val="22"/>
              </w:rPr>
              <w:t>&lt; 0.001</w:t>
            </w:r>
          </w:p>
        </w:tc>
      </w:tr>
      <w:tr w:rsidR="002B416B" w14:paraId="63E644B9" w14:textId="77777777">
        <w:tc>
          <w:tcPr>
            <w:tcW w:w="3200" w:type="dxa"/>
            <w:tcMar>
              <w:top w:w="80" w:type="dxa"/>
              <w:left w:w="120" w:type="dxa"/>
              <w:bottom w:w="80" w:type="dxa"/>
              <w:right w:w="120" w:type="dxa"/>
            </w:tcMar>
          </w:tcPr>
          <w:p w14:paraId="63E644B5" w14:textId="77777777" w:rsidR="002B416B" w:rsidRDefault="00F640E5">
            <w:pPr>
              <w:spacing w:line="280" w:lineRule="auto"/>
            </w:pPr>
            <w:r>
              <w:rPr>
                <w:sz w:val="22"/>
                <w:szCs w:val="22"/>
              </w:rPr>
              <w:t>Analytic markers</w:t>
            </w:r>
          </w:p>
        </w:tc>
        <w:tc>
          <w:tcPr>
            <w:tcW w:w="1900" w:type="dxa"/>
            <w:tcMar>
              <w:top w:w="80" w:type="dxa"/>
              <w:left w:w="120" w:type="dxa"/>
              <w:bottom w:w="80" w:type="dxa"/>
              <w:right w:w="120" w:type="dxa"/>
            </w:tcMar>
          </w:tcPr>
          <w:p w14:paraId="63E644B6" w14:textId="77777777" w:rsidR="002B416B" w:rsidRDefault="00F640E5">
            <w:pPr>
              <w:spacing w:line="280" w:lineRule="auto"/>
              <w:jc w:val="center"/>
            </w:pPr>
            <w:r>
              <w:rPr>
                <w:sz w:val="22"/>
                <w:szCs w:val="22"/>
              </w:rPr>
              <w:t>−0.0031</w:t>
            </w:r>
          </w:p>
        </w:tc>
        <w:tc>
          <w:tcPr>
            <w:tcW w:w="1900" w:type="dxa"/>
            <w:tcMar>
              <w:top w:w="80" w:type="dxa"/>
              <w:left w:w="120" w:type="dxa"/>
              <w:bottom w:w="80" w:type="dxa"/>
              <w:right w:w="120" w:type="dxa"/>
            </w:tcMar>
          </w:tcPr>
          <w:p w14:paraId="63E644B7" w14:textId="77777777" w:rsidR="002B416B" w:rsidRDefault="00F640E5">
            <w:pPr>
              <w:spacing w:line="280" w:lineRule="auto"/>
              <w:jc w:val="center"/>
            </w:pPr>
            <w:r>
              <w:rPr>
                <w:sz w:val="22"/>
                <w:szCs w:val="22"/>
              </w:rPr>
              <w:t>0.0006</w:t>
            </w:r>
          </w:p>
        </w:tc>
        <w:tc>
          <w:tcPr>
            <w:tcW w:w="2000" w:type="dxa"/>
            <w:tcMar>
              <w:top w:w="80" w:type="dxa"/>
              <w:left w:w="120" w:type="dxa"/>
              <w:bottom w:w="80" w:type="dxa"/>
              <w:right w:w="120" w:type="dxa"/>
            </w:tcMar>
          </w:tcPr>
          <w:p w14:paraId="63E644B8" w14:textId="77777777" w:rsidR="002B416B" w:rsidRDefault="00F640E5">
            <w:pPr>
              <w:spacing w:line="280" w:lineRule="auto"/>
              <w:jc w:val="center"/>
            </w:pPr>
            <w:r>
              <w:rPr>
                <w:sz w:val="22"/>
                <w:szCs w:val="22"/>
              </w:rPr>
              <w:t>&lt; 0.001</w:t>
            </w:r>
          </w:p>
        </w:tc>
      </w:tr>
    </w:tbl>
    <w:p w14:paraId="7F3AD833" w14:textId="77777777" w:rsidR="00DA6664" w:rsidRDefault="00DA6664">
      <w:pPr>
        <w:spacing w:after="200" w:line="360" w:lineRule="auto"/>
        <w:jc w:val="both"/>
      </w:pPr>
    </w:p>
    <w:p w14:paraId="63E644BA" w14:textId="5809F00F" w:rsidR="002B416B" w:rsidRDefault="00F640E5">
      <w:pPr>
        <w:spacing w:after="200" w:line="360" w:lineRule="auto"/>
        <w:jc w:val="both"/>
      </w:pPr>
      <w:r>
        <w:lastRenderedPageBreak/>
        <w:t>All eight components mirror in the predicted direction at p &lt; 0.001 under conversation FE. The strongest component-level signal is in aggregated social-content lexicon hits (Empath social), followed by pronoun use</w:t>
      </w:r>
      <w:r w:rsidR="00FE0C0D">
        <w:t>.</w:t>
      </w:r>
      <w:r>
        <w:t xml:space="preserve"> </w:t>
      </w:r>
      <w:r w:rsidR="00FE0C0D">
        <w:t>T</w:t>
      </w:r>
      <w:r>
        <w:t xml:space="preserve">he weakest is in hedge words and affect words, though both remain significant at this sample size. The negative coefficient on analytic markers is the cleanest single-component finding as users frame the model more socially, the model's response becomes measurably less analytic. The coordination of effects across all eight components </w:t>
      </w:r>
      <w:r w:rsidR="00FE0C0D">
        <w:t xml:space="preserve">, </w:t>
      </w:r>
      <w:proofErr w:type="gramStart"/>
      <w:r>
        <w:t>none null</w:t>
      </w:r>
      <w:proofErr w:type="gramEnd"/>
      <w:r>
        <w:t>, none reversed in sign</w:t>
      </w:r>
      <w:r w:rsidR="00FE0C0D">
        <w:t>,</w:t>
      </w:r>
      <w:r>
        <w:t xml:space="preserve"> indicates accommodation is a coherent register-wide phenomenon rather than an artifact concentrated in one or two features. This coordination supports the construct-validity argument advanced in Section 3.3.</w:t>
      </w:r>
    </w:p>
    <w:p w14:paraId="63E644BB" w14:textId="77777777" w:rsidR="002B416B" w:rsidRDefault="00F640E5">
      <w:pPr>
        <w:pStyle w:val="Heading1"/>
        <w:spacing w:before="360" w:after="200"/>
      </w:pPr>
      <w:r>
        <w:rPr>
          <w:b/>
          <w:bCs/>
          <w:sz w:val="28"/>
          <w:szCs w:val="28"/>
        </w:rPr>
        <w:t>5. Discussion</w:t>
      </w:r>
    </w:p>
    <w:p w14:paraId="63E644BC" w14:textId="77777777" w:rsidR="002B416B" w:rsidRDefault="00F640E5">
      <w:pPr>
        <w:pStyle w:val="Heading2"/>
        <w:spacing w:before="280" w:after="160"/>
      </w:pPr>
      <w:r>
        <w:rPr>
          <w:b/>
          <w:bCs/>
        </w:rPr>
        <w:t>5.1 Summary of Findings</w:t>
      </w:r>
    </w:p>
    <w:p w14:paraId="63E644BD" w14:textId="2F188821" w:rsidR="002B416B" w:rsidRDefault="00F640E5">
      <w:pPr>
        <w:spacing w:after="200" w:line="360" w:lineRule="auto"/>
        <w:jc w:val="both"/>
      </w:pPr>
      <w:r>
        <w:t>We report three findings. First, in real human-LLM conversational data at substantial scale (n = 86,463 turn-level observations from 19,999 conversations), user framing and response register are strongly correlated cross-sectionally (β = 0.33, p &lt; 0.001). Second, this cross-sectional correlation decomposes into a substantial between-conversation selection component and a within-conversation responsiveness component</w:t>
      </w:r>
      <w:r w:rsidR="00FE0C0D">
        <w:t>.</w:t>
      </w:r>
      <w:r>
        <w:t xml:space="preserve"> </w:t>
      </w:r>
      <w:r w:rsidR="00FE0C0D">
        <w:t>U</w:t>
      </w:r>
      <w:r>
        <w:t>nder conversation fixed effects</w:t>
      </w:r>
      <w:r w:rsidR="00FE0C0D">
        <w:t xml:space="preserve">, </w:t>
      </w:r>
      <w:r>
        <w:t>which absorb every time-invariant property of a conversation, including user, topic, and conversational context</w:t>
      </w:r>
      <w:r w:rsidR="00FE0C0D">
        <w:t>,</w:t>
      </w:r>
      <w:r>
        <w:t xml:space="preserve"> the framing coefficient attenuates by approximately 40% to β = 0.20 but remains highly significant (p &lt; 10⁻¹⁸³). Third, the within-conversation responsive component is driven by current-turn user framing rather than autoregressive maintenance of the model's prior register</w:t>
      </w:r>
      <w:r w:rsidR="00FE0C0D">
        <w:t xml:space="preserve">. A </w:t>
      </w:r>
      <w:r>
        <w:t>negative lag coefficient (λ = −0.035, p &lt; 10⁻⁵) indicates the model weights current user input over its prior tone.</w:t>
      </w:r>
    </w:p>
    <w:p w14:paraId="63E644BE" w14:textId="77777777" w:rsidR="002B416B" w:rsidRDefault="00F640E5">
      <w:pPr>
        <w:pStyle w:val="Heading2"/>
        <w:spacing w:before="280" w:after="160"/>
      </w:pPr>
      <w:r>
        <w:rPr>
          <w:b/>
          <w:bCs/>
        </w:rPr>
        <w:t>5.2 The Substantive Significance of the Decomposition</w:t>
      </w:r>
    </w:p>
    <w:p w14:paraId="63E644BF" w14:textId="4B6514E0" w:rsidR="002B416B" w:rsidRDefault="00F640E5">
      <w:pPr>
        <w:spacing w:after="200" w:line="360" w:lineRule="auto"/>
        <w:jc w:val="both"/>
      </w:pPr>
      <w:r>
        <w:t>The headline numbe</w:t>
      </w:r>
      <w:r w:rsidR="00FE0C0D">
        <w:t>r,</w:t>
      </w:r>
      <w:r>
        <w:t xml:space="preserve"> that approximately 40% of cross-sectionally apparent LLM register accommodation is between-conversation selection rather than within-conversation responsiveness</w:t>
      </w:r>
      <w:r w:rsidR="00FE0C0D">
        <w:t>,</w:t>
      </w:r>
      <w:r>
        <w:t xml:space="preserve"> has implications for how observational findings about LLM behavior should be interpreted, and for how concerns about sycophancy and echo chambers should be calibrated.</w:t>
      </w:r>
    </w:p>
    <w:p w14:paraId="4324E71B" w14:textId="10F75E4E" w:rsidR="00FE0C0D" w:rsidRDefault="00FE0C0D" w:rsidP="00FE0C0D">
      <w:pPr>
        <w:spacing w:after="200" w:line="360" w:lineRule="auto"/>
        <w:jc w:val="both"/>
      </w:pPr>
      <w:r>
        <w:t xml:space="preserve">A naive interpretation of the results of cross-sectional accommodation would suggest that the whole observed effect could be attributed to the responsiveness of LLMs to users and that this </w:t>
      </w:r>
      <w:r>
        <w:lastRenderedPageBreak/>
        <w:t xml:space="preserve">responsiveness results in the entire observed effect. This reading is materially overstated by our decomposition, which indicates that the responsiveness of LLM is less than suggested by this reading. A significant part of what </w:t>
      </w:r>
      <w:r w:rsidR="003B546A">
        <w:t xml:space="preserve">would be a surface level explanation would be </w:t>
      </w:r>
      <w:r>
        <w:t>the model adapting to the user is in fact the structural</w:t>
      </w:r>
      <w:r w:rsidR="003B546A">
        <w:t xml:space="preserve">, and </w:t>
      </w:r>
      <w:r>
        <w:t>that different kinds of users initiate different kinds of conversation</w:t>
      </w:r>
      <w:r w:rsidR="003B546A">
        <w:t>.</w:t>
      </w:r>
      <w:r>
        <w:t xml:space="preserve"> </w:t>
      </w:r>
      <w:r w:rsidR="003B546A">
        <w:t>A</w:t>
      </w:r>
      <w:r>
        <w:t xml:space="preserve"> user who opens a chat with a message like </w:t>
      </w:r>
      <w:r w:rsidR="003B546A">
        <w:t>“</w:t>
      </w:r>
      <w:r>
        <w:t>Hey, I'm feeling kind of stuck on this presentation, can we think through it together?</w:t>
      </w:r>
      <w:r w:rsidR="003B546A">
        <w:t xml:space="preserve">” </w:t>
      </w:r>
      <w:r>
        <w:t>will be having a different kind of conversation and will receive a differently</w:t>
      </w:r>
      <w:r w:rsidR="003B546A">
        <w:t xml:space="preserve"> </w:t>
      </w:r>
      <w:proofErr w:type="spellStart"/>
      <w:r w:rsidR="003B546A">
        <w:t>formed</w:t>
      </w:r>
      <w:r>
        <w:t xml:space="preserve"> </w:t>
      </w:r>
      <w:proofErr w:type="spellEnd"/>
      <w:r>
        <w:t xml:space="preserve">set of responses than a user who opens a chat with a message like </w:t>
      </w:r>
      <w:r w:rsidR="003B546A">
        <w:t>“</w:t>
      </w:r>
      <w:r>
        <w:t>Generate a Python function to compute the nth Fibonacci number.</w:t>
      </w:r>
      <w:r w:rsidR="003B546A">
        <w:t>”</w:t>
      </w:r>
      <w:r>
        <w:t xml:space="preserve"> Both observations lead to apparent mirroring of cross-sectional data, yet neither demands that the model be doing anything other than processing the prompt it received.</w:t>
      </w:r>
    </w:p>
    <w:p w14:paraId="79C2CBED" w14:textId="29D3DA25" w:rsidR="00FE0C0D" w:rsidRDefault="00FE0C0D" w:rsidP="00FE0C0D">
      <w:pPr>
        <w:spacing w:after="200" w:line="360" w:lineRule="auto"/>
        <w:jc w:val="both"/>
      </w:pPr>
      <w:r>
        <w:t xml:space="preserve">The rest of the within-conversation, turn-to-turn responsiveness component is real, statistically robust and can be identified by observational data only in the kind of within-conversation FE design we use here. This component can be cleanly identified by </w:t>
      </w:r>
      <w:proofErr w:type="gramStart"/>
      <w:r>
        <w:t>construction, but</w:t>
      </w:r>
      <w:proofErr w:type="gramEnd"/>
      <w:r>
        <w:t xml:space="preserve"> cannot give its proportional share of the overall apparent accommodation. The two methodologies are complementary: synthetic designs can establish that when observers </w:t>
      </w:r>
      <w:proofErr w:type="gramStart"/>
      <w:r>
        <w:t>actually observe</w:t>
      </w:r>
      <w:proofErr w:type="gramEnd"/>
      <w:r>
        <w:t xml:space="preserve"> real interaction, the LLM is the cause of the accommodation</w:t>
      </w:r>
      <w:r w:rsidR="003B546A">
        <w:t>,</w:t>
      </w:r>
      <w:r>
        <w:t xml:space="preserve"> observational decomposition can establish how much of the accommodation that observers </w:t>
      </w:r>
      <w:proofErr w:type="gramStart"/>
      <w:r>
        <w:t>actually observe</w:t>
      </w:r>
      <w:proofErr w:type="gramEnd"/>
      <w:r>
        <w:t xml:space="preserve"> in real interaction is the LLM versus the structural characteristics of who has which conversations.</w:t>
      </w:r>
    </w:p>
    <w:p w14:paraId="58698497" w14:textId="479B11A1" w:rsidR="00FE0C0D" w:rsidRDefault="00FE0C0D" w:rsidP="00FE0C0D">
      <w:pPr>
        <w:spacing w:after="200" w:line="360" w:lineRule="auto"/>
        <w:jc w:val="both"/>
      </w:pPr>
      <w:r>
        <w:t xml:space="preserve">In the case of sycophancy issues, in particular, this decomposition advocates moderate calibration. The truly responsive element is real and substantively </w:t>
      </w:r>
      <w:proofErr w:type="gramStart"/>
      <w:r>
        <w:t>significant, but</w:t>
      </w:r>
      <w:proofErr w:type="gramEnd"/>
      <w:r>
        <w:t xml:space="preserve"> is meaningfully smaller than would be implied by cross-sectional observation. Policy and design responses that are tuned to the magnitude of cross-sectional response would over-weight the contribution of the LLM to observable patterns of interaction</w:t>
      </w:r>
      <w:r w:rsidR="003B546A">
        <w:t>. P</w:t>
      </w:r>
      <w:r>
        <w:t xml:space="preserve">olicy and design responses tuned to the magnitude of within-conversation response would better target what the model is </w:t>
      </w:r>
      <w:proofErr w:type="gramStart"/>
      <w:r>
        <w:t>actually doing</w:t>
      </w:r>
      <w:proofErr w:type="gramEnd"/>
      <w:r>
        <w:t>.</w:t>
      </w:r>
    </w:p>
    <w:p w14:paraId="63E644C3" w14:textId="77777777" w:rsidR="002B416B" w:rsidRDefault="00F640E5">
      <w:pPr>
        <w:pStyle w:val="Heading2"/>
        <w:spacing w:before="280" w:after="160"/>
      </w:pPr>
      <w:r>
        <w:rPr>
          <w:b/>
          <w:bCs/>
        </w:rPr>
        <w:t>5.3 The Lag Finding</w:t>
      </w:r>
    </w:p>
    <w:p w14:paraId="63E644C4" w14:textId="1F41FC47" w:rsidR="002B416B" w:rsidRDefault="00F640E5">
      <w:pPr>
        <w:spacing w:after="200" w:line="360" w:lineRule="auto"/>
        <w:jc w:val="both"/>
      </w:pPr>
      <w:r>
        <w:t>The negative coefficient on lagged register provides an additional substantive specification of the within-conversation responsiveness component. Under a model where LLM responses inherit register from preceding turns</w:t>
      </w:r>
      <w:r w:rsidR="003B546A">
        <w:t>,</w:t>
      </w:r>
      <w:r>
        <w:t xml:space="preserve"> through the same conversational history that the model conditions on at each generation step</w:t>
      </w:r>
      <w:r w:rsidR="003B546A">
        <w:t>,</w:t>
      </w:r>
      <w:r>
        <w:t xml:space="preserve"> we would expect λ &gt; 0: prior affiliative register would predict current </w:t>
      </w:r>
      <w:r>
        <w:lastRenderedPageBreak/>
        <w:t>affiliative register, holding current user framing constant. The observed λ &lt; 0 is inconsistent with that pattern.</w:t>
      </w:r>
    </w:p>
    <w:p w14:paraId="63E644C5" w14:textId="7C86850C" w:rsidR="002B416B" w:rsidRDefault="00F640E5">
      <w:pPr>
        <w:spacing w:after="200" w:line="360" w:lineRule="auto"/>
        <w:jc w:val="both"/>
      </w:pPr>
      <w:r>
        <w:t xml:space="preserve">The substantive reading is that the model attends to the current user prompt as the primary input to register selection on each turn, rather than maintaining a tonal trajectory established earlier. This is consistent with the architecture of transformer-based LLMs, which condition on the full conversational context at each turn but can in principle weight current input strongly. Whether the slightly negative point estimate reflects active mean-reversion or simply the absence of autoregressive momentum is not </w:t>
      </w:r>
      <w:proofErr w:type="spellStart"/>
      <w:r>
        <w:t>adjudicable</w:t>
      </w:r>
      <w:proofErr w:type="spellEnd"/>
      <w:r>
        <w:t xml:space="preserve"> from this analysis. Either reading is consistent with the broader characterization</w:t>
      </w:r>
      <w:r w:rsidR="003B546A">
        <w:t xml:space="preserve"> which is that</w:t>
      </w:r>
      <w:r>
        <w:t xml:space="preserve"> the within-conversation accommodation component is responsive rather than inertial.</w:t>
      </w:r>
    </w:p>
    <w:p w14:paraId="63E644C6" w14:textId="77777777" w:rsidR="002B416B" w:rsidRDefault="00F640E5">
      <w:pPr>
        <w:pStyle w:val="Heading2"/>
        <w:spacing w:before="280" w:after="160"/>
      </w:pPr>
      <w:r>
        <w:rPr>
          <w:b/>
          <w:bCs/>
        </w:rPr>
        <w:t>5.4 Component-Level Coordination</w:t>
      </w:r>
    </w:p>
    <w:p w14:paraId="63E644C7" w14:textId="646C38E5" w:rsidR="002B416B" w:rsidRDefault="00F640E5">
      <w:pPr>
        <w:spacing w:after="200" w:line="360" w:lineRule="auto"/>
        <w:jc w:val="both"/>
      </w:pPr>
      <w:r>
        <w:t>The fact that all eight register components mirror in the predicted direction (Table 2)</w:t>
      </w:r>
      <w:r w:rsidR="003B546A">
        <w:t>,</w:t>
      </w:r>
      <w:r>
        <w:t xml:space="preserve"> </w:t>
      </w:r>
      <w:proofErr w:type="gramStart"/>
      <w:r>
        <w:t>none null</w:t>
      </w:r>
      <w:proofErr w:type="gramEnd"/>
      <w:r>
        <w:t>, none sign-reversed</w:t>
      </w:r>
      <w:r w:rsidR="003B546A">
        <w:t>,</w:t>
      </w:r>
      <w:r>
        <w:t xml:space="preserve"> has implications for the construct interpretation. Accommodation is not concentrated in one or two surface features but is coordinated across the response register as a whole: pronouns, social content, politeness, hedges, affect, relational verbs all increase together, while analytic markers (articles, prepositions) decrease. This coordinated pattern is what would be expected if the model were operating on a coherent register-level signal rather than mirroring individual lexical features. A reviewer might reasonably ask whether the composite-level result is an artifact of one or two strong components dominating the average</w:t>
      </w:r>
      <w:r w:rsidR="003B546A">
        <w:t xml:space="preserve">, </w:t>
      </w:r>
      <w:r>
        <w:t>Table 2 shows it is not.</w:t>
      </w:r>
    </w:p>
    <w:p w14:paraId="63E644C8" w14:textId="77777777" w:rsidR="002B416B" w:rsidRDefault="00F640E5">
      <w:pPr>
        <w:pStyle w:val="Heading2"/>
        <w:spacing w:before="280" w:after="160"/>
      </w:pPr>
      <w:r>
        <w:rPr>
          <w:b/>
          <w:bCs/>
        </w:rPr>
        <w:t>5.5 Limitations</w:t>
      </w:r>
    </w:p>
    <w:p w14:paraId="63E644C9" w14:textId="77777777" w:rsidR="002B416B" w:rsidRDefault="00F640E5">
      <w:pPr>
        <w:spacing w:after="200" w:line="360" w:lineRule="auto"/>
        <w:jc w:val="both"/>
      </w:pPr>
      <w:r>
        <w:t>Six limitations bound the interpretation of these results.</w:t>
      </w:r>
    </w:p>
    <w:p w14:paraId="63E644CA" w14:textId="586C5C29" w:rsidR="002B416B" w:rsidRDefault="00F640E5">
      <w:pPr>
        <w:spacing w:after="200" w:line="360" w:lineRule="auto"/>
        <w:jc w:val="both"/>
      </w:pPr>
      <w:r>
        <w:rPr>
          <w:b/>
          <w:bCs/>
        </w:rPr>
        <w:t xml:space="preserve">Single-vendor, single-generation data. </w:t>
      </w:r>
      <w:r>
        <w:t>All conversations in WildChat-1M involve OpenAI's gpt-3.5-turbo-0301 and gpt-4-0314 models, both released in early 2023 and trained under the same RLHF generation. Our results characterize accommodation in these specific models</w:t>
      </w:r>
      <w:r w:rsidR="003B546A">
        <w:t>. Ge</w:t>
      </w:r>
      <w:r>
        <w:t>neralization to other model families (</w:t>
      </w:r>
      <w:proofErr w:type="spellStart"/>
      <w:r>
        <w:t>Anthropic's</w:t>
      </w:r>
      <w:proofErr w:type="spellEnd"/>
      <w:r>
        <w:t xml:space="preserve"> Claude, Google's Gemini, open-weight models) or to subsequent training generations cannot be made from this corpus. Extension to multi-vendor data (e.g., LMSYS-Chat-1M; Zheng et al., 2024) is the most important next step for establishing the generality of the decomposition. Within the present analysis, the conversation FE </w:t>
      </w:r>
      <w:r>
        <w:lastRenderedPageBreak/>
        <w:t xml:space="preserve">design also structurally precludes estimation of the </w:t>
      </w:r>
      <w:proofErr w:type="spellStart"/>
      <w:r>
        <w:t>model_version</w:t>
      </w:r>
      <w:proofErr w:type="spellEnd"/>
      <w:r>
        <w:t xml:space="preserve"> × framing interaction term, since model is constant within conversation.</w:t>
      </w:r>
    </w:p>
    <w:p w14:paraId="63E644CB" w14:textId="516139F3" w:rsidR="002B416B" w:rsidRDefault="00F640E5">
      <w:pPr>
        <w:spacing w:after="200" w:line="360" w:lineRule="auto"/>
        <w:jc w:val="both"/>
      </w:pPr>
      <w:r>
        <w:rPr>
          <w:b/>
          <w:bCs/>
        </w:rPr>
        <w:t xml:space="preserve">Bag-of-words measurement. </w:t>
      </w:r>
      <w:r>
        <w:t>The lexicon-based composite cannot perform word-sense disambiguation. Visual inspection of the highest-scoring response</w:t>
      </w:r>
      <w:r w:rsidR="003B546A">
        <w:t>,</w:t>
      </w:r>
      <w:r>
        <w:t xml:space="preserve"> a numbered list of "[species] care" phrases that scored at the extreme tail of the register distribution</w:t>
      </w:r>
      <w:r w:rsidR="003B546A">
        <w:t xml:space="preserve">, </w:t>
      </w:r>
      <w:r>
        <w:t>confirmed the predictable failure mode</w:t>
      </w:r>
      <w:r w:rsidR="003B546A">
        <w:t>. T</w:t>
      </w:r>
      <w:r>
        <w:t>he word "care" as a noun denoting husbandry triggers the same affect-lexicon hit as "care" as a verb denoting concern. Such cases are infrequent (the 99th percentile of the register distribution is at +2.11 standard deviations, far below the +9.39 outlier) and have negligible influence on the regression results, but they bound the construct interpretation of the composite. Robustness checks using the validated LIWC-22 instrument are planned for the extended version of this work.</w:t>
      </w:r>
    </w:p>
    <w:p w14:paraId="63E644CC" w14:textId="77777777" w:rsidR="002B416B" w:rsidRDefault="00F640E5">
      <w:pPr>
        <w:spacing w:after="200" w:line="360" w:lineRule="auto"/>
        <w:jc w:val="both"/>
      </w:pPr>
      <w:r>
        <w:rPr>
          <w:b/>
          <w:bCs/>
        </w:rPr>
        <w:t xml:space="preserve">Empirical convergent validity not yet assessed. </w:t>
      </w:r>
      <w:r>
        <w:t>Construct validity for the composite currently rests on construction logic (theoretically grounded features, symmetric application to prompts and responses, coherent within-conversation movement of all eight components) rather than on an empirical check against external raters. We plan to add convergent validity tests against LIWC-22, against human-rated construct judgments, and against LLM-judge ratings for the extended version of this work.</w:t>
      </w:r>
    </w:p>
    <w:p w14:paraId="63E644CD" w14:textId="3FD9409D" w:rsidR="002B416B" w:rsidRDefault="00F640E5">
      <w:pPr>
        <w:spacing w:after="200" w:line="360" w:lineRule="auto"/>
        <w:jc w:val="both"/>
      </w:pPr>
      <w:r>
        <w:rPr>
          <w:b/>
          <w:bCs/>
        </w:rPr>
        <w:t xml:space="preserve">Observational identification. </w:t>
      </w:r>
      <w:r>
        <w:t>The within-conversation FE design provides the strongest causal identification available from observational data, but it remains observational. Two threats to causal interpretation persist after conversation FE: (</w:t>
      </w:r>
      <w:proofErr w:type="spellStart"/>
      <w:r>
        <w:t>i</w:t>
      </w:r>
      <w:proofErr w:type="spellEnd"/>
      <w:r>
        <w:t>) reverse causality within turn structure</w:t>
      </w:r>
      <w:r w:rsidR="003B546A">
        <w:t xml:space="preserve"> which is</w:t>
      </w:r>
      <w:r>
        <w:t xml:space="preserve"> the user's prompt at turn t is itself partly responsive to the model's response at turn t−1, raising the possibility that the framing coefficient partly captures user accommodation to model register rather than (only) the reverse</w:t>
      </w:r>
      <w:r w:rsidR="003B546A">
        <w:t>,</w:t>
      </w:r>
      <w:r>
        <w:t xml:space="preserve"> (ii) shared lexical machinery between framing and register composites, which could mechanically inflate within-topic correlation even in the absence of behavioral mirroring. The autoregressive specification in Specification D partially addresses (</w:t>
      </w:r>
      <w:proofErr w:type="spellStart"/>
      <w:r>
        <w:t>i</w:t>
      </w:r>
      <w:proofErr w:type="spellEnd"/>
      <w:r>
        <w:t>), and the per-component analysis (Table 2) partially addresses (ii) by showing the coordinated pattern across feature dimensions, but a fully causal identification would require experimental manipulation of framing while holding semantic content constan</w:t>
      </w:r>
      <w:r w:rsidR="003B546A">
        <w:t>t,</w:t>
      </w:r>
      <w:r>
        <w:t xml:space="preserve"> a counterfactual rewrite design we are developing as a follow-up.</w:t>
      </w:r>
    </w:p>
    <w:p w14:paraId="63E644CE" w14:textId="6929D607" w:rsidR="002B416B" w:rsidRDefault="00F640E5">
      <w:pPr>
        <w:spacing w:after="200" w:line="360" w:lineRule="auto"/>
        <w:jc w:val="both"/>
      </w:pPr>
      <w:r>
        <w:rPr>
          <w:b/>
          <w:bCs/>
        </w:rPr>
        <w:lastRenderedPageBreak/>
        <w:t xml:space="preserve">Generalization beyond English. </w:t>
      </w:r>
      <w:r>
        <w:t xml:space="preserve">Our analysis is restricted to English-language conversations, following the language metadata in WildChat-1M. Cross-linguistic accommodation patterns may differ substantively, particularly in languages where pronominal and politeness systems </w:t>
      </w:r>
      <w:r w:rsidR="003B546A">
        <w:t xml:space="preserve">may be different </w:t>
      </w:r>
      <w:r>
        <w:t>than the English features we measure.</w:t>
      </w:r>
    </w:p>
    <w:p w14:paraId="63E644D0" w14:textId="77777777" w:rsidR="002B416B" w:rsidRDefault="00F640E5">
      <w:pPr>
        <w:pStyle w:val="Heading1"/>
        <w:spacing w:before="360" w:after="200"/>
      </w:pPr>
      <w:r>
        <w:rPr>
          <w:b/>
          <w:bCs/>
          <w:sz w:val="28"/>
          <w:szCs w:val="28"/>
        </w:rPr>
        <w:t>6. Conclusion</w:t>
      </w:r>
    </w:p>
    <w:p w14:paraId="63E644D1" w14:textId="3B9CBB96" w:rsidR="002B416B" w:rsidRDefault="00F640E5">
      <w:pPr>
        <w:spacing w:after="200" w:line="360" w:lineRule="auto"/>
        <w:jc w:val="both"/>
      </w:pPr>
      <w:r>
        <w:t>We document register accommodation in 86,463 turn-level observations of real human-LLM interaction and provide a decomposition that observational analyses of LLM behavior have not previously offered</w:t>
      </w:r>
      <w:r w:rsidR="003B546A">
        <w:t xml:space="preserve"> which is</w:t>
      </w:r>
      <w:r>
        <w:t xml:space="preserve"> approximately 40% of cross-sectionally apparent mirroring </w:t>
      </w:r>
      <w:r w:rsidR="003B546A">
        <w:t xml:space="preserve">between </w:t>
      </w:r>
      <w:r>
        <w:t>between-conversation selection (chatty users in chatty conversations), with the larger remainder reflecting genuine within-conversation responsiveness driven by current user framing rather than autoregressive maintenance of the model's prior register. The within-conversation effect is real and statistically robust (β = 0.20, p &lt; 10⁻¹⁸³) but substantially smaller than the cross-sectional estimate (β = 0.33), suggesting that observational findings about LLM accommodation should be interpreted with the selection-vs-responsiveness decomposition in mind.</w:t>
      </w:r>
    </w:p>
    <w:p w14:paraId="528842F5" w14:textId="77777777" w:rsidR="00ED33B4" w:rsidRDefault="00ED33B4" w:rsidP="00ED33B4">
      <w:pPr>
        <w:spacing w:after="200" w:line="360" w:lineRule="auto"/>
        <w:jc w:val="both"/>
      </w:pPr>
      <w:r>
        <w:t xml:space="preserve">There are practical implications of the decomposition. The concerns about the sycophancy of LLM models and the dynamics of echo-chambers, which are based on the assumptions about the strength with which models adapt to users, need to be calibrated to within-conversation magnitudes, rather than cross-sectional ones. Design and policy responses to the cross-sectional magnitude would over-weight the contribution of the model, and under-weight the structural fact that different users initiate different kinds of conversations. The </w:t>
      </w:r>
      <w:proofErr w:type="gramStart"/>
      <w:r>
        <w:t>actually responsive</w:t>
      </w:r>
      <w:proofErr w:type="gramEnd"/>
      <w:r>
        <w:t xml:space="preserve"> element is significant and worthy of attention, but it is meaningfully less than casual observation would indicate.</w:t>
      </w:r>
    </w:p>
    <w:p w14:paraId="1FDDC15C" w14:textId="507D829A" w:rsidR="003B546A" w:rsidRDefault="00ED33B4" w:rsidP="00ED33B4">
      <w:pPr>
        <w:spacing w:after="200" w:line="360" w:lineRule="auto"/>
        <w:jc w:val="both"/>
      </w:pPr>
      <w:r>
        <w:t>Future research ought to extend the decomposition to multi-vendor and multi-generation data, verify the lexical composite with LIWC-22 and human raters, and seek experimental identification using counterfactual prompt rewrites. This paper, combined with experimental identification (a proposed follow-up), would provide a more complete picture of register accommodation in human-LLM interaction, at both ends of the methodological spectrum: ecological-validity and causal-identification.</w:t>
      </w:r>
    </w:p>
    <w:p w14:paraId="24CE887F" w14:textId="77777777" w:rsidR="00ED33B4" w:rsidRDefault="00ED33B4" w:rsidP="00ED33B4">
      <w:pPr>
        <w:spacing w:after="200" w:line="360" w:lineRule="auto"/>
        <w:jc w:val="both"/>
      </w:pPr>
    </w:p>
    <w:p w14:paraId="63E644D4" w14:textId="77777777" w:rsidR="002B416B" w:rsidRDefault="00F640E5">
      <w:pPr>
        <w:pStyle w:val="Heading1"/>
        <w:spacing w:before="360" w:after="200"/>
      </w:pPr>
      <w:r>
        <w:rPr>
          <w:b/>
          <w:bCs/>
          <w:sz w:val="28"/>
          <w:szCs w:val="28"/>
        </w:rPr>
        <w:lastRenderedPageBreak/>
        <w:t>Code and Data Availability</w:t>
      </w:r>
    </w:p>
    <w:p w14:paraId="7BEA323D" w14:textId="77777777" w:rsidR="003B546A" w:rsidRDefault="00F640E5">
      <w:pPr>
        <w:spacing w:after="200" w:line="360" w:lineRule="auto"/>
        <w:jc w:val="both"/>
        <w:rPr>
          <w:rFonts w:ascii="Courier New" w:eastAsia="Courier New" w:hAnsi="Courier New" w:cs="Courier New"/>
          <w:sz w:val="22"/>
          <w:szCs w:val="22"/>
        </w:rPr>
      </w:pPr>
      <w:r>
        <w:t>All analysis code, including the lexicon-based measurement module (</w:t>
      </w:r>
      <w:r>
        <w:rPr>
          <w:rFonts w:ascii="Courier New" w:eastAsia="Courier New" w:hAnsi="Courier New" w:cs="Courier New"/>
          <w:sz w:val="22"/>
          <w:szCs w:val="22"/>
        </w:rPr>
        <w:t>measurement.py</w:t>
      </w:r>
      <w:r>
        <w:t>), the data pull and feature extraction pipeline (</w:t>
      </w:r>
      <w:r>
        <w:rPr>
          <w:rFonts w:ascii="Courier New" w:eastAsia="Courier New" w:hAnsi="Courier New" w:cs="Courier New"/>
          <w:sz w:val="22"/>
          <w:szCs w:val="22"/>
        </w:rPr>
        <w:t>run_production.py</w:t>
      </w:r>
      <w:r>
        <w:t>), and the regression analysis script (</w:t>
      </w:r>
      <w:r>
        <w:rPr>
          <w:rFonts w:ascii="Courier New" w:eastAsia="Courier New" w:hAnsi="Courier New" w:cs="Courier New"/>
          <w:sz w:val="22"/>
          <w:szCs w:val="22"/>
        </w:rPr>
        <w:t>run_regressions.py</w:t>
      </w:r>
      <w:r>
        <w:t xml:space="preserve">), is available at </w:t>
      </w:r>
      <w:hyperlink r:id="rId8" w:history="1">
        <w:r w:rsidR="003B546A" w:rsidRPr="00FC7758">
          <w:rPr>
            <w:rStyle w:val="Hyperlink"/>
            <w:rFonts w:ascii="Courier New" w:eastAsia="Courier New" w:hAnsi="Courier New" w:cs="Courier New"/>
            <w:sz w:val="22"/>
            <w:szCs w:val="22"/>
          </w:rPr>
          <w:t>https://github.com/emreguzeldal</w:t>
        </w:r>
      </w:hyperlink>
      <w:r w:rsidR="003B546A">
        <w:rPr>
          <w:rFonts w:ascii="Courier New" w:eastAsia="Courier New" w:hAnsi="Courier New" w:cs="Courier New"/>
          <w:sz w:val="22"/>
          <w:szCs w:val="22"/>
        </w:rPr>
        <w:t xml:space="preserve"> </w:t>
      </w:r>
    </w:p>
    <w:p w14:paraId="63E644D5" w14:textId="75A5FD0F" w:rsidR="002B416B" w:rsidRDefault="00F640E5">
      <w:pPr>
        <w:spacing w:after="200" w:line="360" w:lineRule="auto"/>
        <w:jc w:val="both"/>
      </w:pPr>
      <w:r>
        <w:t xml:space="preserve">The repository includes a </w:t>
      </w:r>
      <w:r>
        <w:rPr>
          <w:rFonts w:ascii="Courier New" w:eastAsia="Courier New" w:hAnsi="Courier New" w:cs="Courier New"/>
          <w:sz w:val="22"/>
          <w:szCs w:val="22"/>
        </w:rPr>
        <w:t>requirements.txt</w:t>
      </w:r>
      <w:r>
        <w:t xml:space="preserve"> specifying all dependencies and a </w:t>
      </w:r>
      <w:r>
        <w:rPr>
          <w:rFonts w:ascii="Courier New" w:eastAsia="Courier New" w:hAnsi="Courier New" w:cs="Courier New"/>
          <w:sz w:val="22"/>
          <w:szCs w:val="22"/>
        </w:rPr>
        <w:t>README.md</w:t>
      </w:r>
      <w:r>
        <w:t xml:space="preserve"> with replication instructions. The WildChat-1M dataset is publicly available at </w:t>
      </w:r>
      <w:r>
        <w:rPr>
          <w:rFonts w:ascii="Courier New" w:eastAsia="Courier New" w:hAnsi="Courier New" w:cs="Courier New"/>
          <w:sz w:val="22"/>
          <w:szCs w:val="22"/>
        </w:rPr>
        <w:t>https://huggingface.co/datasets/allenai/WildChat-1M</w:t>
      </w:r>
      <w:r>
        <w:t xml:space="preserve"> (Zhao et al., 2024).</w:t>
      </w:r>
    </w:p>
    <w:p w14:paraId="4F427018" w14:textId="77777777" w:rsidR="00DA6664" w:rsidRDefault="00DA6664">
      <w:pPr>
        <w:spacing w:after="200" w:line="360" w:lineRule="auto"/>
        <w:jc w:val="both"/>
      </w:pPr>
    </w:p>
    <w:p w14:paraId="3C8AAF76" w14:textId="77777777" w:rsidR="00DA6664" w:rsidRDefault="00DA6664">
      <w:pPr>
        <w:spacing w:after="200" w:line="360" w:lineRule="auto"/>
        <w:jc w:val="both"/>
      </w:pPr>
    </w:p>
    <w:p w14:paraId="7A57C27E" w14:textId="77777777" w:rsidR="00DA6664" w:rsidRDefault="00DA6664">
      <w:pPr>
        <w:spacing w:after="200" w:line="360" w:lineRule="auto"/>
        <w:jc w:val="both"/>
      </w:pPr>
    </w:p>
    <w:p w14:paraId="469F2AF7" w14:textId="77777777" w:rsidR="00DA6664" w:rsidRDefault="00DA6664">
      <w:pPr>
        <w:spacing w:after="200" w:line="360" w:lineRule="auto"/>
        <w:jc w:val="both"/>
      </w:pPr>
    </w:p>
    <w:p w14:paraId="01A777F3" w14:textId="77777777" w:rsidR="003B546A" w:rsidRDefault="003B546A">
      <w:pPr>
        <w:spacing w:after="200" w:line="360" w:lineRule="auto"/>
        <w:jc w:val="both"/>
      </w:pPr>
    </w:p>
    <w:p w14:paraId="7E4D99CB" w14:textId="77777777" w:rsidR="003B546A" w:rsidRDefault="003B546A">
      <w:pPr>
        <w:spacing w:after="200" w:line="360" w:lineRule="auto"/>
        <w:jc w:val="both"/>
      </w:pPr>
    </w:p>
    <w:p w14:paraId="05894546" w14:textId="77777777" w:rsidR="003B546A" w:rsidRDefault="003B546A">
      <w:pPr>
        <w:spacing w:after="200" w:line="360" w:lineRule="auto"/>
        <w:jc w:val="both"/>
      </w:pPr>
    </w:p>
    <w:p w14:paraId="0FEA24A6" w14:textId="77777777" w:rsidR="003B546A" w:rsidRDefault="003B546A">
      <w:pPr>
        <w:spacing w:after="200" w:line="360" w:lineRule="auto"/>
        <w:jc w:val="both"/>
      </w:pPr>
    </w:p>
    <w:p w14:paraId="42C8786F" w14:textId="77777777" w:rsidR="003B546A" w:rsidRDefault="003B546A">
      <w:pPr>
        <w:spacing w:after="200" w:line="360" w:lineRule="auto"/>
        <w:jc w:val="both"/>
      </w:pPr>
    </w:p>
    <w:p w14:paraId="4AB13DA4" w14:textId="77777777" w:rsidR="003B546A" w:rsidRDefault="003B546A">
      <w:pPr>
        <w:spacing w:after="200" w:line="360" w:lineRule="auto"/>
        <w:jc w:val="both"/>
      </w:pPr>
    </w:p>
    <w:p w14:paraId="205F40BE" w14:textId="77777777" w:rsidR="003B546A" w:rsidRDefault="003B546A">
      <w:pPr>
        <w:spacing w:after="200" w:line="360" w:lineRule="auto"/>
        <w:jc w:val="both"/>
      </w:pPr>
    </w:p>
    <w:p w14:paraId="15805B53" w14:textId="77777777" w:rsidR="003B546A" w:rsidRDefault="003B546A">
      <w:pPr>
        <w:spacing w:after="200" w:line="360" w:lineRule="auto"/>
        <w:jc w:val="both"/>
      </w:pPr>
    </w:p>
    <w:p w14:paraId="3C79F91B" w14:textId="77777777" w:rsidR="003B546A" w:rsidRDefault="003B546A">
      <w:pPr>
        <w:spacing w:after="200" w:line="360" w:lineRule="auto"/>
        <w:jc w:val="both"/>
      </w:pPr>
    </w:p>
    <w:p w14:paraId="4025B7E5" w14:textId="77777777" w:rsidR="003B546A" w:rsidRDefault="003B546A">
      <w:pPr>
        <w:spacing w:after="200" w:line="360" w:lineRule="auto"/>
        <w:jc w:val="both"/>
      </w:pPr>
    </w:p>
    <w:p w14:paraId="0723E369" w14:textId="77777777" w:rsidR="003B546A" w:rsidRDefault="003B546A">
      <w:pPr>
        <w:spacing w:after="200" w:line="360" w:lineRule="auto"/>
        <w:jc w:val="both"/>
      </w:pPr>
    </w:p>
    <w:p w14:paraId="63E644D6" w14:textId="77777777" w:rsidR="002B416B" w:rsidRDefault="00F640E5">
      <w:pPr>
        <w:pStyle w:val="Heading1"/>
        <w:spacing w:before="360" w:after="200"/>
      </w:pPr>
      <w:r>
        <w:rPr>
          <w:b/>
          <w:bCs/>
          <w:sz w:val="28"/>
          <w:szCs w:val="28"/>
        </w:rPr>
        <w:lastRenderedPageBreak/>
        <w:t>References</w:t>
      </w:r>
    </w:p>
    <w:p w14:paraId="63E644D7" w14:textId="77777777" w:rsidR="002B416B" w:rsidRPr="003B546A" w:rsidRDefault="00F640E5">
      <w:pPr>
        <w:spacing w:after="200" w:line="320" w:lineRule="auto"/>
        <w:ind w:left="720" w:hanging="720"/>
      </w:pPr>
      <w:r w:rsidRPr="003B546A">
        <w:rPr>
          <w:sz w:val="22"/>
          <w:szCs w:val="22"/>
        </w:rPr>
        <w:t>Fast, E., Chen, B., &amp; Bernstein, M. S. (2016). Empath: Understanding topic signals in large-scale text. Proceedings of the 2016 CHI Conference on Human Factors in Computing Systems, 4647–4657.</w:t>
      </w:r>
    </w:p>
    <w:p w14:paraId="63E644D8" w14:textId="77777777" w:rsidR="002B416B" w:rsidRPr="003B546A" w:rsidRDefault="00F640E5">
      <w:pPr>
        <w:spacing w:after="200" w:line="320" w:lineRule="auto"/>
        <w:ind w:left="720" w:hanging="720"/>
      </w:pPr>
      <w:r w:rsidRPr="003B546A">
        <w:rPr>
          <w:sz w:val="22"/>
          <w:szCs w:val="22"/>
        </w:rPr>
        <w:t>Giles, H., Coupland, N., &amp; Coupland, J. (1991). Accommodation theory: Communication, context, and consequence. In H. Giles, J. Coupland, &amp; N. Coupland (Eds.), Contexts of accommodation: Developments in applied sociolinguistics (pp. 1–68). Cambridge University Press.</w:t>
      </w:r>
    </w:p>
    <w:p w14:paraId="63E644DB" w14:textId="77777777" w:rsidR="002B416B" w:rsidRPr="003B546A" w:rsidRDefault="00F640E5">
      <w:pPr>
        <w:spacing w:after="200" w:line="320" w:lineRule="auto"/>
        <w:ind w:left="720" w:hanging="720"/>
      </w:pPr>
      <w:r w:rsidRPr="003B546A">
        <w:rPr>
          <w:sz w:val="22"/>
          <w:szCs w:val="22"/>
        </w:rPr>
        <w:t>Nass, C., &amp; Moon, Y. (2000). Machines and mindlessness: Social responses to computers. Journal of Social Issues, 56(1), 81–103.</w:t>
      </w:r>
    </w:p>
    <w:p w14:paraId="63E644DC" w14:textId="77777777" w:rsidR="002B416B" w:rsidRPr="003B546A" w:rsidRDefault="00F640E5">
      <w:pPr>
        <w:spacing w:after="200" w:line="320" w:lineRule="auto"/>
        <w:ind w:left="720" w:hanging="720"/>
      </w:pPr>
      <w:r w:rsidRPr="003B546A">
        <w:rPr>
          <w:sz w:val="22"/>
          <w:szCs w:val="22"/>
        </w:rPr>
        <w:t>Niederhoffer, K. G., &amp; Pennebaker, J. W. (2002). Linguistic style matching in social interaction. Journal of Language and Social Psychology, 21(4), 337–360.</w:t>
      </w:r>
    </w:p>
    <w:p w14:paraId="63E644DD" w14:textId="77777777" w:rsidR="002B416B" w:rsidRPr="003B546A" w:rsidRDefault="00F640E5">
      <w:pPr>
        <w:spacing w:after="200" w:line="320" w:lineRule="auto"/>
        <w:ind w:left="720" w:hanging="720"/>
      </w:pPr>
      <w:r w:rsidRPr="003B546A">
        <w:rPr>
          <w:sz w:val="22"/>
          <w:szCs w:val="22"/>
        </w:rPr>
        <w:t>Pennebaker, J. W., Boyd, R. L., Booth, R. J., Ashokkumar, A., &amp; Francis, M. E. (2022). Linguistic Inquiry and Word Count: LIWC-22. Pennebaker Conglomerates.</w:t>
      </w:r>
    </w:p>
    <w:p w14:paraId="63E644DE" w14:textId="77777777" w:rsidR="002B416B" w:rsidRPr="003B546A" w:rsidRDefault="00F640E5">
      <w:pPr>
        <w:spacing w:after="200" w:line="320" w:lineRule="auto"/>
        <w:ind w:left="720" w:hanging="720"/>
      </w:pPr>
      <w:r w:rsidRPr="003B546A">
        <w:rPr>
          <w:sz w:val="22"/>
          <w:szCs w:val="22"/>
        </w:rPr>
        <w:t>Pennebaker, J. W., Chung, C. K., Ireland, M., Gonzales, A., &amp; Booth, R. J. (2007). The development and psychometric properties of LIWC2007. University of Texas at Austin.</w:t>
      </w:r>
    </w:p>
    <w:p w14:paraId="63E644E0" w14:textId="77777777" w:rsidR="002B416B" w:rsidRPr="003B546A" w:rsidRDefault="00F640E5">
      <w:pPr>
        <w:spacing w:after="200" w:line="320" w:lineRule="auto"/>
        <w:ind w:left="720" w:hanging="720"/>
      </w:pPr>
      <w:r w:rsidRPr="003B546A">
        <w:rPr>
          <w:sz w:val="22"/>
          <w:szCs w:val="22"/>
        </w:rPr>
        <w:t>Reeves, B., &amp; Nass, C. (1996). The media equation: How people treat computers, television, and new media like real people and places. Cambridge University Press.</w:t>
      </w:r>
    </w:p>
    <w:p w14:paraId="63E644E1" w14:textId="77777777" w:rsidR="002B416B" w:rsidRPr="003B546A" w:rsidRDefault="00F640E5">
      <w:pPr>
        <w:spacing w:after="200" w:line="320" w:lineRule="auto"/>
        <w:ind w:left="720" w:hanging="720"/>
      </w:pPr>
      <w:r w:rsidRPr="003B546A">
        <w:rPr>
          <w:sz w:val="22"/>
          <w:szCs w:val="22"/>
        </w:rPr>
        <w:t xml:space="preserve">Sharma, M., Tong, M., </w:t>
      </w:r>
      <w:proofErr w:type="spellStart"/>
      <w:r w:rsidRPr="003B546A">
        <w:rPr>
          <w:sz w:val="22"/>
          <w:szCs w:val="22"/>
        </w:rPr>
        <w:t>Korbak</w:t>
      </w:r>
      <w:proofErr w:type="spellEnd"/>
      <w:r w:rsidRPr="003B546A">
        <w:rPr>
          <w:sz w:val="22"/>
          <w:szCs w:val="22"/>
        </w:rPr>
        <w:t xml:space="preserve">, T., </w:t>
      </w:r>
      <w:proofErr w:type="spellStart"/>
      <w:r w:rsidRPr="003B546A">
        <w:rPr>
          <w:sz w:val="22"/>
          <w:szCs w:val="22"/>
        </w:rPr>
        <w:t>Duvenaud</w:t>
      </w:r>
      <w:proofErr w:type="spellEnd"/>
      <w:r w:rsidRPr="003B546A">
        <w:rPr>
          <w:sz w:val="22"/>
          <w:szCs w:val="22"/>
        </w:rPr>
        <w:t xml:space="preserve">, D., Askell, A., Bowman, S. R., et al. (2023). Towards understanding sycophancy in language models. </w:t>
      </w:r>
      <w:proofErr w:type="spellStart"/>
      <w:r w:rsidRPr="003B546A">
        <w:rPr>
          <w:sz w:val="22"/>
          <w:szCs w:val="22"/>
        </w:rPr>
        <w:t>arXiv</w:t>
      </w:r>
      <w:proofErr w:type="spellEnd"/>
      <w:r w:rsidRPr="003B546A">
        <w:rPr>
          <w:sz w:val="22"/>
          <w:szCs w:val="22"/>
        </w:rPr>
        <w:t xml:space="preserve"> preprint arXiv:2310.13548.</w:t>
      </w:r>
    </w:p>
    <w:p w14:paraId="63E644E2" w14:textId="77777777" w:rsidR="002B416B" w:rsidRPr="003B546A" w:rsidRDefault="00F640E5">
      <w:pPr>
        <w:spacing w:after="200" w:line="320" w:lineRule="auto"/>
        <w:ind w:left="720" w:hanging="720"/>
      </w:pPr>
      <w:r w:rsidRPr="003B546A">
        <w:rPr>
          <w:sz w:val="22"/>
          <w:szCs w:val="22"/>
        </w:rPr>
        <w:t xml:space="preserve">Zhao, W., Ren, X., Hessel, J., Cardie, C., Choi, Y., &amp; Deng, Y. (2024). </w:t>
      </w:r>
      <w:proofErr w:type="spellStart"/>
      <w:r w:rsidRPr="003B546A">
        <w:rPr>
          <w:sz w:val="22"/>
          <w:szCs w:val="22"/>
        </w:rPr>
        <w:t>WildChat</w:t>
      </w:r>
      <w:proofErr w:type="spellEnd"/>
      <w:r w:rsidRPr="003B546A">
        <w:rPr>
          <w:sz w:val="22"/>
          <w:szCs w:val="22"/>
        </w:rPr>
        <w:t xml:space="preserve">: 1M ChatGPT interaction logs in the wild. </w:t>
      </w:r>
      <w:proofErr w:type="spellStart"/>
      <w:r w:rsidRPr="003B546A">
        <w:rPr>
          <w:sz w:val="22"/>
          <w:szCs w:val="22"/>
        </w:rPr>
        <w:t>arXiv</w:t>
      </w:r>
      <w:proofErr w:type="spellEnd"/>
      <w:r w:rsidRPr="003B546A">
        <w:rPr>
          <w:sz w:val="22"/>
          <w:szCs w:val="22"/>
        </w:rPr>
        <w:t xml:space="preserve"> preprint arXiv:2405.01470.</w:t>
      </w:r>
    </w:p>
    <w:p w14:paraId="63E644E3" w14:textId="77777777" w:rsidR="002B416B" w:rsidRDefault="00F640E5">
      <w:pPr>
        <w:spacing w:after="200" w:line="320" w:lineRule="auto"/>
        <w:ind w:left="720" w:hanging="720"/>
      </w:pPr>
      <w:r w:rsidRPr="003B546A">
        <w:rPr>
          <w:sz w:val="22"/>
          <w:szCs w:val="22"/>
        </w:rPr>
        <w:t xml:space="preserve">Zheng, L., Chiang, W. L., Sheng, Y., et al. (2024). LMSYS-Chat-1M: A large-scale real-world LLM conversation dataset. </w:t>
      </w:r>
      <w:proofErr w:type="spellStart"/>
      <w:r w:rsidRPr="003B546A">
        <w:rPr>
          <w:sz w:val="22"/>
          <w:szCs w:val="22"/>
        </w:rPr>
        <w:t>arXiv</w:t>
      </w:r>
      <w:proofErr w:type="spellEnd"/>
      <w:r w:rsidRPr="003B546A">
        <w:rPr>
          <w:sz w:val="22"/>
          <w:szCs w:val="22"/>
        </w:rPr>
        <w:t xml:space="preserve"> preprint arXiv:2309.11998.</w:t>
      </w:r>
    </w:p>
    <w:sectPr w:rsidR="002B416B">
      <w:headerReference w:type="even" r:id="rId9"/>
      <w:headerReference w:type="default" r:id="rId10"/>
      <w:footerReference w:type="default" r:id="rId11"/>
      <w:head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94DF" w14:textId="77777777" w:rsidR="00F35F1C" w:rsidRDefault="00F35F1C">
      <w:r>
        <w:separator/>
      </w:r>
    </w:p>
  </w:endnote>
  <w:endnote w:type="continuationSeparator" w:id="0">
    <w:p w14:paraId="672D1969" w14:textId="77777777" w:rsidR="00F35F1C" w:rsidRDefault="00F35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44E5" w14:textId="70223367" w:rsidR="002B416B" w:rsidRDefault="00F640E5">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F5D5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BBD6" w14:textId="77777777" w:rsidR="00F35F1C" w:rsidRDefault="00F35F1C">
      <w:r>
        <w:separator/>
      </w:r>
    </w:p>
  </w:footnote>
  <w:footnote w:type="continuationSeparator" w:id="0">
    <w:p w14:paraId="68C901E3" w14:textId="77777777" w:rsidR="00F35F1C" w:rsidRDefault="00F35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69BC" w14:textId="17FF1653" w:rsidR="004F5D56" w:rsidRDefault="004F5D56">
    <w:pPr>
      <w:pStyle w:val="Header"/>
    </w:pPr>
    <w:r>
      <w:rPr>
        <w:noProof/>
      </w:rPr>
      <mc:AlternateContent>
        <mc:Choice Requires="wps">
          <w:drawing>
            <wp:anchor distT="0" distB="0" distL="0" distR="0" simplePos="0" relativeHeight="251659264" behindDoc="0" locked="0" layoutInCell="1" allowOverlap="1" wp14:anchorId="300833E9" wp14:editId="33709E3E">
              <wp:simplePos x="635" y="635"/>
              <wp:positionH relativeFrom="page">
                <wp:align>left</wp:align>
              </wp:positionH>
              <wp:positionV relativeFrom="page">
                <wp:align>top</wp:align>
              </wp:positionV>
              <wp:extent cx="274955" cy="314325"/>
              <wp:effectExtent l="0" t="0" r="10795" b="9525"/>
              <wp:wrapNone/>
              <wp:docPr id="1493813003" name="Metin Kutusu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4955" cy="314325"/>
                      </a:xfrm>
                      <a:prstGeom prst="rect">
                        <a:avLst/>
                      </a:prstGeom>
                      <a:noFill/>
                      <a:ln>
                        <a:noFill/>
                      </a:ln>
                    </wps:spPr>
                    <wps:txbx>
                      <w:txbxContent>
                        <w:p w14:paraId="090B1D39" w14:textId="0A6CD02E"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0833E9" id="_x0000_t202" coordsize="21600,21600" o:spt="202" path="m,l,21600r21600,l21600,xe">
              <v:stroke joinstyle="miter"/>
              <v:path gradientshapeok="t" o:connecttype="rect"/>
            </v:shapetype>
            <v:shape id="Metin Kutusu 2" o:spid="_x0000_s1026" type="#_x0000_t202" alt=" " style="position:absolute;margin-left:0;margin-top:0;width:21.65pt;height:24.7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" filled="f" stroked="f">
              <v:textbox style="mso-fit-shape-to-text:t" inset="20pt,15pt,0,0">
                <w:txbxContent>
                  <w:p w14:paraId="090B1D39" w14:textId="0A6CD02E"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44E4" w14:textId="2FFFB5B7" w:rsidR="002B416B" w:rsidRDefault="002B416B">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85C3" w14:textId="241C3DC5" w:rsidR="004F5D56" w:rsidRDefault="004F5D56">
    <w:pPr>
      <w:pStyle w:val="Header"/>
    </w:pPr>
    <w:r>
      <w:rPr>
        <w:noProof/>
      </w:rPr>
      <mc:AlternateContent>
        <mc:Choice Requires="wps">
          <w:drawing>
            <wp:anchor distT="0" distB="0" distL="0" distR="0" simplePos="0" relativeHeight="251658240" behindDoc="0" locked="0" layoutInCell="1" allowOverlap="1" wp14:anchorId="6A7A6F27" wp14:editId="138D8A2B">
              <wp:simplePos x="635" y="635"/>
              <wp:positionH relativeFrom="page">
                <wp:align>left</wp:align>
              </wp:positionH>
              <wp:positionV relativeFrom="page">
                <wp:align>top</wp:align>
              </wp:positionV>
              <wp:extent cx="274955" cy="314325"/>
              <wp:effectExtent l="0" t="0" r="10795" b="9525"/>
              <wp:wrapNone/>
              <wp:docPr id="201455418" name="Metin Kutusu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4955" cy="314325"/>
                      </a:xfrm>
                      <a:prstGeom prst="rect">
                        <a:avLst/>
                      </a:prstGeom>
                      <a:noFill/>
                      <a:ln>
                        <a:noFill/>
                      </a:ln>
                    </wps:spPr>
                    <wps:txbx>
                      <w:txbxContent>
                        <w:p w14:paraId="1B65914D" w14:textId="22840041"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7A6F27" id="_x0000_t202" coordsize="21600,21600" o:spt="202" path="m,l,21600r21600,l21600,xe">
              <v:stroke joinstyle="miter"/>
              <v:path gradientshapeok="t" o:connecttype="rect"/>
            </v:shapetype>
            <v:shape id="Metin Kutusu 1" o:spid="_x0000_s1027" type="#_x0000_t202" alt=" " style="position:absolute;margin-left:0;margin-top:0;width:21.65pt;height:24.7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" filled="f" stroked="f">
              <v:textbox style="mso-fit-shape-to-text:t" inset="20pt,15pt,0,0">
                <w:txbxContent>
                  <w:p w14:paraId="1B65914D" w14:textId="22840041" w:rsidR="004F5D56" w:rsidRPr="004F5D56" w:rsidRDefault="004F5D56" w:rsidP="004F5D56">
                    <w:pPr>
                      <w:rPr>
                        <w:rFonts w:ascii="Aptos" w:eastAsia="Aptos" w:hAnsi="Aptos" w:cs="Aptos"/>
                        <w:noProof/>
                        <w:color w:val="000000"/>
                        <w:sz w:val="16"/>
                        <w:szCs w:val="16"/>
                      </w:rPr>
                    </w:pPr>
                    <w:r w:rsidRPr="004F5D56">
                      <w:rPr>
                        <w:rFonts w:ascii="Aptos" w:eastAsia="Aptos" w:hAnsi="Aptos" w:cs="Aptos"/>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201ED"/>
    <w:multiLevelType w:val="hybridMultilevel"/>
    <w:tmpl w:val="6AD865B4"/>
    <w:lvl w:ilvl="0" w:tplc="186EBB6C">
      <w:start w:val="1"/>
      <w:numFmt w:val="bullet"/>
      <w:lvlText w:val="●"/>
      <w:lvlJc w:val="left"/>
      <w:pPr>
        <w:ind w:left="720" w:hanging="360"/>
      </w:pPr>
    </w:lvl>
    <w:lvl w:ilvl="1" w:tplc="9042B6C2">
      <w:start w:val="1"/>
      <w:numFmt w:val="bullet"/>
      <w:lvlText w:val="○"/>
      <w:lvlJc w:val="left"/>
      <w:pPr>
        <w:ind w:left="1440" w:hanging="360"/>
      </w:pPr>
    </w:lvl>
    <w:lvl w:ilvl="2" w:tplc="D0587002">
      <w:start w:val="1"/>
      <w:numFmt w:val="bullet"/>
      <w:lvlText w:val="■"/>
      <w:lvlJc w:val="left"/>
      <w:pPr>
        <w:ind w:left="2160" w:hanging="360"/>
      </w:pPr>
    </w:lvl>
    <w:lvl w:ilvl="3" w:tplc="7D409E34">
      <w:start w:val="1"/>
      <w:numFmt w:val="bullet"/>
      <w:lvlText w:val="●"/>
      <w:lvlJc w:val="left"/>
      <w:pPr>
        <w:ind w:left="2880" w:hanging="360"/>
      </w:pPr>
    </w:lvl>
    <w:lvl w:ilvl="4" w:tplc="A5EA8804">
      <w:start w:val="1"/>
      <w:numFmt w:val="bullet"/>
      <w:lvlText w:val="○"/>
      <w:lvlJc w:val="left"/>
      <w:pPr>
        <w:ind w:left="3600" w:hanging="360"/>
      </w:pPr>
    </w:lvl>
    <w:lvl w:ilvl="5" w:tplc="72EE9AE2">
      <w:start w:val="1"/>
      <w:numFmt w:val="bullet"/>
      <w:lvlText w:val="■"/>
      <w:lvlJc w:val="left"/>
      <w:pPr>
        <w:ind w:left="4320" w:hanging="360"/>
      </w:pPr>
    </w:lvl>
    <w:lvl w:ilvl="6" w:tplc="5BDC74E0">
      <w:start w:val="1"/>
      <w:numFmt w:val="bullet"/>
      <w:lvlText w:val="●"/>
      <w:lvlJc w:val="left"/>
      <w:pPr>
        <w:ind w:left="5040" w:hanging="360"/>
      </w:pPr>
    </w:lvl>
    <w:lvl w:ilvl="7" w:tplc="4522BBEC">
      <w:start w:val="1"/>
      <w:numFmt w:val="bullet"/>
      <w:lvlText w:val="●"/>
      <w:lvlJc w:val="left"/>
      <w:pPr>
        <w:ind w:left="5760" w:hanging="360"/>
      </w:pPr>
    </w:lvl>
    <w:lvl w:ilvl="8" w:tplc="ED1C0E8C">
      <w:start w:val="1"/>
      <w:numFmt w:val="bullet"/>
      <w:lvlText w:val="●"/>
      <w:lvlJc w:val="left"/>
      <w:pPr>
        <w:ind w:left="6480" w:hanging="360"/>
      </w:pPr>
    </w:lvl>
  </w:abstractNum>
  <w:num w:numId="1" w16cid:durableId="159910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6B"/>
    <w:rsid w:val="000159D6"/>
    <w:rsid w:val="001B74D8"/>
    <w:rsid w:val="002B416B"/>
    <w:rsid w:val="003B546A"/>
    <w:rsid w:val="00401939"/>
    <w:rsid w:val="004F5D56"/>
    <w:rsid w:val="00781DF3"/>
    <w:rsid w:val="00996382"/>
    <w:rsid w:val="00A962C4"/>
    <w:rsid w:val="00DA6664"/>
    <w:rsid w:val="00E765CB"/>
    <w:rsid w:val="00ED33B4"/>
    <w:rsid w:val="00F35F1C"/>
    <w:rsid w:val="00F640E5"/>
    <w:rsid w:val="00FE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442C"/>
  <w15:docId w15:val="{E102D69B-34D9-477B-A525-C2630CD8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5D56"/>
    <w:pPr>
      <w:tabs>
        <w:tab w:val="center" w:pos="4703"/>
        <w:tab w:val="right" w:pos="9406"/>
      </w:tabs>
    </w:pPr>
  </w:style>
  <w:style w:type="character" w:customStyle="1" w:styleId="HeaderChar">
    <w:name w:val="Header Char"/>
    <w:basedOn w:val="DefaultParagraphFont"/>
    <w:link w:val="Header"/>
    <w:uiPriority w:val="99"/>
    <w:rsid w:val="004F5D56"/>
  </w:style>
  <w:style w:type="character" w:styleId="UnresolvedMention">
    <w:name w:val="Unresolved Mention"/>
    <w:basedOn w:val="DefaultParagraphFont"/>
    <w:uiPriority w:val="99"/>
    <w:semiHidden/>
    <w:unhideWhenUsed/>
    <w:rsid w:val="003B5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mreguzeld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C1084-1332-47BD-BF86-FCD20A55F7F5}">
  <ds:schemaRefs>
    <ds:schemaRef ds:uri="http://schemas.openxmlformats.org/officeDocument/2006/bibliography"/>
  </ds:schemaRefs>
</ds:datastoreItem>
</file>

<file path=docMetadata/LabelInfo.xml><?xml version="1.0" encoding="utf-8"?>
<clbl:labelList xmlns:clbl="http://schemas.microsoft.com/office/2020/mipLabelMetadata">
  <clbl:label id="{6beccce0-6c7b-48b8-93f3-a6e4d786204b}" enabled="1" method="Privileged" siteId="{bcb5eab3-872d-4e34-9dc5-8ac3d404c0c9}" removed="0"/>
</clbl:labelList>
</file>

<file path=docProps/app.xml><?xml version="1.0" encoding="utf-8"?>
<Properties xmlns="http://schemas.openxmlformats.org/officeDocument/2006/extended-properties" xmlns:vt="http://schemas.openxmlformats.org/officeDocument/2006/docPropsVTypes">
  <Template>Normal.dotm</Template>
  <TotalTime>50</TotalTime>
  <Pages>18</Pages>
  <Words>5528</Words>
  <Characters>31512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EMRE GUZELDAL</cp:lastModifiedBy>
  <cp:revision>4</cp:revision>
  <dcterms:created xsi:type="dcterms:W3CDTF">2026-05-04T08:46:00Z</dcterms:created>
  <dcterms:modified xsi:type="dcterms:W3CDTF">2026-05-04T20:06:00Z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c01f73a,5909c70b,29aa08ac</vt:lpwstr>
  </property>
  <property fmtid="{D5CDD505-2E9C-101B-9397-08002B2CF9AE}" pid="3" name="ClassificationContentMarkingHeaderFontProps">
    <vt:lpwstr>#000000,8,Aptos</vt:lpwstr>
  </property>
  <property fmtid="{D5CDD505-2E9C-101B-9397-08002B2CF9AE}" pid="4" name="ClassificationContentMarkingHeaderText">
    <vt:lpwstr> </vt:lpwstr>
  </property>
</Properties>
</file>