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6442C" w14:textId="77777777" w:rsidR="002B416B" w:rsidRDefault="00F640E5">
      <w:pPr>
        <w:spacing w:before="1200" w:after="480" w:line="360" w:lineRule="auto"/>
        <w:jc w:val="center"/>
      </w:pPr>
      <w:r>
        <w:rPr>
          <w:b/>
          <w:bCs/>
          <w:sz w:val="32"/>
          <w:szCs w:val="32"/>
        </w:rPr>
        <w:t>Mirroring the User: Decomposing Apparent Register Accommodation in LLM Responses</w:t>
      </w:r>
    </w:p>
    <w:p w14:paraId="63E6442D" w14:textId="77777777" w:rsidR="002B416B" w:rsidRDefault="00F640E5">
      <w:pPr>
        <w:spacing w:before="240" w:after="120" w:line="360" w:lineRule="auto"/>
        <w:jc w:val="center"/>
      </w:pPr>
      <w:r>
        <w:rPr>
          <w:sz w:val="26"/>
          <w:szCs w:val="26"/>
        </w:rPr>
        <w:t>Emre Güzeldal</w:t>
      </w:r>
    </w:p>
    <w:p w14:paraId="63E6442E" w14:textId="31F0D1D3" w:rsidR="002B416B" w:rsidRDefault="00F640E5">
      <w:pPr>
        <w:spacing w:after="60" w:line="360" w:lineRule="auto"/>
        <w:jc w:val="center"/>
      </w:pPr>
      <w:r>
        <w:rPr>
          <w:sz w:val="22"/>
          <w:szCs w:val="22"/>
        </w:rPr>
        <w:t>M.A. Candidate, Computational Social Science</w:t>
      </w:r>
      <w:r w:rsidR="004F5D56">
        <w:rPr>
          <w:sz w:val="22"/>
          <w:szCs w:val="22"/>
        </w:rPr>
        <w:t>s</w:t>
      </w:r>
    </w:p>
    <w:p w14:paraId="63E6442F" w14:textId="77777777" w:rsidR="002B416B" w:rsidRDefault="00F640E5">
      <w:pPr>
        <w:spacing w:after="480" w:line="360" w:lineRule="auto"/>
        <w:jc w:val="center"/>
      </w:pPr>
      <w:r>
        <w:rPr>
          <w:sz w:val="22"/>
          <w:szCs w:val="22"/>
        </w:rPr>
        <w:t>Koç University</w:t>
      </w:r>
    </w:p>
    <w:p w14:paraId="63E64430" w14:textId="77777777" w:rsidR="002B416B" w:rsidRDefault="00F640E5">
      <w:pPr>
        <w:spacing w:after="60" w:line="360" w:lineRule="auto"/>
        <w:jc w:val="center"/>
      </w:pPr>
      <w:r>
        <w:rPr>
          <w:sz w:val="22"/>
          <w:szCs w:val="22"/>
        </w:rPr>
        <w:t xml:space="preserve">Domain expert: Dr. Merih </w:t>
      </w:r>
      <w:proofErr w:type="spellStart"/>
      <w:r>
        <w:rPr>
          <w:sz w:val="22"/>
          <w:szCs w:val="22"/>
        </w:rPr>
        <w:t>Angın</w:t>
      </w:r>
      <w:proofErr w:type="spellEnd"/>
    </w:p>
    <w:p w14:paraId="63E64431" w14:textId="06D9533B" w:rsidR="002B416B" w:rsidRDefault="00F640E5">
      <w:pPr>
        <w:spacing w:after="480" w:line="360" w:lineRule="auto"/>
        <w:jc w:val="center"/>
      </w:pPr>
      <w:r>
        <w:rPr>
          <w:sz w:val="22"/>
          <w:szCs w:val="22"/>
        </w:rPr>
        <w:t xml:space="preserve">Department of </w:t>
      </w:r>
      <w:r w:rsidR="004F5D56">
        <w:rPr>
          <w:sz w:val="22"/>
          <w:szCs w:val="22"/>
        </w:rPr>
        <w:t>Computational Social Sciences</w:t>
      </w:r>
      <w:r>
        <w:rPr>
          <w:sz w:val="22"/>
          <w:szCs w:val="22"/>
        </w:rPr>
        <w:t>, Koç University</w:t>
      </w:r>
    </w:p>
    <w:p w14:paraId="63E64432" w14:textId="69137D87" w:rsidR="002B416B" w:rsidRDefault="00F640E5">
      <w:pPr>
        <w:spacing w:after="60" w:line="360" w:lineRule="auto"/>
        <w:jc w:val="center"/>
      </w:pPr>
      <w:r>
        <w:rPr>
          <w:sz w:val="22"/>
          <w:szCs w:val="22"/>
        </w:rPr>
        <w:t>Course: CSSM 530</w:t>
      </w:r>
      <w:r w:rsidR="004F5D56">
        <w:rPr>
          <w:sz w:val="22"/>
          <w:szCs w:val="22"/>
        </w:rPr>
        <w:t xml:space="preserve">: </w:t>
      </w:r>
      <w:r>
        <w:rPr>
          <w:sz w:val="22"/>
          <w:szCs w:val="22"/>
        </w:rPr>
        <w:t>Automated Text Processing for Social Sciences (Spring 2026)</w:t>
      </w:r>
    </w:p>
    <w:p w14:paraId="63E64433" w14:textId="77777777" w:rsidR="002B416B" w:rsidRDefault="00F640E5">
      <w:pPr>
        <w:spacing w:after="800" w:line="360" w:lineRule="auto"/>
        <w:jc w:val="center"/>
      </w:pPr>
      <w:r>
        <w:rPr>
          <w:sz w:val="22"/>
          <w:szCs w:val="22"/>
        </w:rPr>
        <w:t xml:space="preserve">Instructor: Dr. Ali </w:t>
      </w:r>
      <w:proofErr w:type="spellStart"/>
      <w:r>
        <w:rPr>
          <w:sz w:val="22"/>
          <w:szCs w:val="22"/>
        </w:rPr>
        <w:t>Hürriyetoğlu</w:t>
      </w:r>
      <w:proofErr w:type="spellEnd"/>
    </w:p>
    <w:p w14:paraId="63E64434" w14:textId="77777777" w:rsidR="002B416B" w:rsidRDefault="00F640E5">
      <w:r>
        <w:br/>
      </w:r>
    </w:p>
    <w:p w14:paraId="091F71FB" w14:textId="77777777" w:rsidR="004F5D56" w:rsidRDefault="004F5D56"/>
    <w:p w14:paraId="220B3DD9" w14:textId="77777777" w:rsidR="004F5D56" w:rsidRDefault="004F5D56"/>
    <w:p w14:paraId="3B3BDF2A" w14:textId="77777777" w:rsidR="004F5D56" w:rsidRDefault="004F5D56"/>
    <w:p w14:paraId="5E30E3E0" w14:textId="77777777" w:rsidR="004F5D56" w:rsidRDefault="004F5D56"/>
    <w:p w14:paraId="491AB1A7" w14:textId="77777777" w:rsidR="004F5D56" w:rsidRDefault="004F5D56"/>
    <w:p w14:paraId="4270F2A1" w14:textId="77777777" w:rsidR="004F5D56" w:rsidRDefault="004F5D56"/>
    <w:p w14:paraId="0FE25D5B" w14:textId="77777777" w:rsidR="004F5D56" w:rsidRDefault="004F5D56"/>
    <w:p w14:paraId="5698966B" w14:textId="77777777" w:rsidR="004F5D56" w:rsidRDefault="004F5D56"/>
    <w:p w14:paraId="4E0B68C9" w14:textId="77777777" w:rsidR="004F5D56" w:rsidRDefault="004F5D56"/>
    <w:p w14:paraId="285EA6AD" w14:textId="77777777" w:rsidR="004F5D56" w:rsidRDefault="004F5D56"/>
    <w:p w14:paraId="266876A5" w14:textId="77777777" w:rsidR="004F5D56" w:rsidRDefault="004F5D56"/>
    <w:p w14:paraId="5BE5A16A" w14:textId="77777777" w:rsidR="004F5D56" w:rsidRDefault="004F5D56"/>
    <w:p w14:paraId="08B744B2" w14:textId="77777777" w:rsidR="004F5D56" w:rsidRDefault="004F5D56"/>
    <w:p w14:paraId="3087C876" w14:textId="77777777" w:rsidR="004F5D56" w:rsidRDefault="004F5D56"/>
    <w:p w14:paraId="3CFA5683" w14:textId="77777777" w:rsidR="004F5D56" w:rsidRDefault="004F5D56"/>
    <w:p w14:paraId="0EA9D944" w14:textId="77777777" w:rsidR="004F5D56" w:rsidRDefault="004F5D56"/>
    <w:p w14:paraId="63E64435" w14:textId="77777777" w:rsidR="002B416B" w:rsidRDefault="00F640E5">
      <w:pPr>
        <w:pStyle w:val="Balk1"/>
        <w:spacing w:before="360" w:after="200"/>
      </w:pPr>
      <w:r>
        <w:rPr>
          <w:b/>
          <w:bCs/>
          <w:sz w:val="28"/>
          <w:szCs w:val="28"/>
        </w:rPr>
        <w:lastRenderedPageBreak/>
        <w:t>Abstract</w:t>
      </w:r>
    </w:p>
    <w:p w14:paraId="63E64436" w14:textId="77777777" w:rsidR="002B416B" w:rsidRDefault="00F640E5">
      <w:pPr>
        <w:spacing w:after="200" w:line="360" w:lineRule="auto"/>
        <w:jc w:val="both"/>
      </w:pPr>
      <w:r>
        <w:t>A growing body of work documents that large language models (LLMs) accommodate user style in their responses, raising concerns about sycophancy, echo-chamber dynamics, and the design of human-AI interaction. We examine register accommodation in real human-LLM conversations and ask a question that synthetic-completion designs cannot answer: of the apparent mirroring observable in cross-sectional data, how much reflects genuine turn-by-turn responsiveness, and how much reflects between-conversation selection — chatty users initiating chatty conversations? Using 86,463 turn-level observations from 19,999 multi-turn English conversations in WildChat-1M, we construct parallel lexicon-based composites measuring user social-actor framing on prompts and register accommodation on responses, then estimate the framing-register relationship under four progressively stronger specifications: pooled OLS, topic fixed effects, conversation fixed effects, and conversation FE with autoregressive control. The pooled effect is large (β = 0.33, p &lt; 0.001) and survives topic fixed effects (β = 0.35). Conversation fixed effects attenuate the coefficient by approximately 40% to β = 0.20 (p &lt; 10⁻¹⁸³), indicating that approximately 40% of cross-sectionally apparent mirroring is between-conversation selection rather than within-conversation accommodation. The remaining within-conversation responsiveness is driven by current user framing rather than autoregressive register maintenance: a negative lag coefficient (β = −0.035, p &lt; 10⁻⁵) indicates the model weights current user input over its prior register. All eight components of the response register composite mirror in the predicted direction at p &lt; 0.001. We discuss implications for sycophancy concerns and for the interpretation of accommodation findings derived from observational data.</w:t>
      </w:r>
    </w:p>
    <w:p w14:paraId="63E64437" w14:textId="2D4BDA5D" w:rsidR="002B416B" w:rsidRDefault="00F640E5">
      <w:pPr>
        <w:spacing w:after="200" w:line="360" w:lineRule="auto"/>
        <w:jc w:val="both"/>
      </w:pPr>
      <w:r>
        <w:rPr>
          <w:b/>
          <w:bCs/>
        </w:rPr>
        <w:t xml:space="preserve">Keywords: </w:t>
      </w:r>
      <w:r>
        <w:t>large language models, register accommodation, computational social science, communication accommodation theory</w:t>
      </w:r>
    </w:p>
    <w:p w14:paraId="2AE087F3" w14:textId="77777777" w:rsidR="004F5D56" w:rsidRDefault="004F5D56">
      <w:pPr>
        <w:spacing w:after="200" w:line="360" w:lineRule="auto"/>
        <w:jc w:val="both"/>
      </w:pPr>
    </w:p>
    <w:p w14:paraId="7074A10E" w14:textId="77777777" w:rsidR="004F5D56" w:rsidRDefault="004F5D56">
      <w:pPr>
        <w:spacing w:after="200" w:line="360" w:lineRule="auto"/>
        <w:jc w:val="both"/>
      </w:pPr>
    </w:p>
    <w:p w14:paraId="2FBCDFF6" w14:textId="77777777" w:rsidR="004F5D56" w:rsidRDefault="004F5D56">
      <w:pPr>
        <w:spacing w:after="200" w:line="360" w:lineRule="auto"/>
        <w:jc w:val="both"/>
      </w:pPr>
    </w:p>
    <w:p w14:paraId="265CA18C" w14:textId="77777777" w:rsidR="004F5D56" w:rsidRDefault="004F5D56">
      <w:pPr>
        <w:spacing w:after="200" w:line="360" w:lineRule="auto"/>
        <w:jc w:val="both"/>
      </w:pPr>
    </w:p>
    <w:p w14:paraId="63E64438" w14:textId="77777777" w:rsidR="002B416B" w:rsidRDefault="00F640E5">
      <w:pPr>
        <w:pStyle w:val="Balk1"/>
        <w:spacing w:before="360" w:after="200"/>
      </w:pPr>
      <w:r>
        <w:rPr>
          <w:b/>
          <w:bCs/>
          <w:sz w:val="28"/>
          <w:szCs w:val="28"/>
        </w:rPr>
        <w:lastRenderedPageBreak/>
        <w:t>1. Introduction</w:t>
      </w:r>
    </w:p>
    <w:p w14:paraId="63E64439" w14:textId="77777777" w:rsidR="002B416B" w:rsidRDefault="00F640E5">
      <w:pPr>
        <w:spacing w:after="200" w:line="360" w:lineRule="auto"/>
        <w:jc w:val="both"/>
      </w:pPr>
      <w:r>
        <w:t xml:space="preserve">When users converse with large language models (LLMs), the resulting interactions appear to exhibit a familiar sociolinguistic pattern: users who write socially get </w:t>
      </w:r>
      <w:proofErr w:type="gramStart"/>
      <w:r>
        <w:t>socially-toned</w:t>
      </w:r>
      <w:proofErr w:type="gramEnd"/>
      <w:r>
        <w:t xml:space="preserve"> responses; users who issue terse instrumental commands get terse, businesslike replies. Recent stylometric work has formalized this intuition, documenting that LLMs adapt their outputs to user style across a range of features (Rao, Yerukola, Xu, Sap, &amp; Choi, 2025) and that users themselves systematically adjust how they write to LLMs versus humans (Mind the Gap, 2025). These findings extend a forty-year tradition in human-computer interaction — the Computers Are Social Actors (CASA) paradigm (Reeves &amp; Nass, </w:t>
      </w:r>
      <w:proofErr w:type="gramStart"/>
      <w:r>
        <w:t>1996) —</w:t>
      </w:r>
      <w:proofErr w:type="gramEnd"/>
      <w:r>
        <w:t xml:space="preserve"> into the era of generative </w:t>
      </w:r>
      <w:proofErr w:type="gramStart"/>
      <w:r>
        <w:t>AI, and</w:t>
      </w:r>
      <w:proofErr w:type="gramEnd"/>
      <w:r>
        <w:t xml:space="preserve"> connect to a still older sociolinguistic literature on communication accommodation (Giles, Coupland, &amp; Coupland, 1991) and linguistic style matching (</w:t>
      </w:r>
      <w:proofErr w:type="spellStart"/>
      <w:r>
        <w:t>Niederhoffer</w:t>
      </w:r>
      <w:proofErr w:type="spellEnd"/>
      <w:r>
        <w:t xml:space="preserve"> &amp; Pennebaker, 2002).</w:t>
      </w:r>
    </w:p>
    <w:p w14:paraId="63E6443A" w14:textId="77777777" w:rsidR="002B416B" w:rsidRDefault="00F640E5">
      <w:pPr>
        <w:spacing w:after="200" w:line="360" w:lineRule="auto"/>
        <w:jc w:val="both"/>
      </w:pPr>
      <w:r>
        <w:t xml:space="preserve">A question of substantive importance remains </w:t>
      </w:r>
      <w:proofErr w:type="spellStart"/>
      <w:r>
        <w:t>underaddressed</w:t>
      </w:r>
      <w:proofErr w:type="spellEnd"/>
      <w:r>
        <w:t xml:space="preserve">: when we observe register similarity between user prompts and model responses in real conversational data, how much of that similarity reflects the model's responsiveness to the user, and how much reflects selection — the fact that users with </w:t>
      </w:r>
      <w:proofErr w:type="gramStart"/>
      <w:r>
        <w:t>particular conversational</w:t>
      </w:r>
      <w:proofErr w:type="gramEnd"/>
      <w:r>
        <w:t xml:space="preserve"> styles initiate conversations of </w:t>
      </w:r>
      <w:proofErr w:type="gramStart"/>
      <w:r>
        <w:t>particular characters</w:t>
      </w:r>
      <w:proofErr w:type="gramEnd"/>
      <w:r>
        <w:t>? This distinction matters. Concerns about LLM sycophancy (Sharma et al., 2023), echo-chamber dynamics in human-AI interaction, and the design implications of accommodation behavior all rest on the assumption that observed mirroring reflects model behavior. If a substantial portion of observed accommodation is in fact user self-sorting into conversational types, then the design priorities, policy concerns, and theoretical implications shift accordingly.</w:t>
      </w:r>
    </w:p>
    <w:p w14:paraId="63E6443B" w14:textId="77777777" w:rsidR="002B416B" w:rsidRDefault="00F640E5">
      <w:pPr>
        <w:spacing w:after="200" w:line="360" w:lineRule="auto"/>
        <w:jc w:val="both"/>
      </w:pPr>
      <w:r>
        <w:t xml:space="preserve">Synthetic-completion designs, in which an LLM is given the role of completing a turn in a pre-existing dialogue and its outputs are compared to human controls (Rao et al., 2025), have clean causal interpretations but cannot speak to this question. By construction, they hold the conversational context fixed and isolate the LLM's contribution. They tell us how much LLMs adapt when they are the source of accommodation, but they tell us nothing about how much of the apparent mirroring observers see in real human-LLM interactions </w:t>
      </w:r>
      <w:proofErr w:type="gramStart"/>
      <w:r>
        <w:t>reflects</w:t>
      </w:r>
      <w:proofErr w:type="gramEnd"/>
      <w:r>
        <w:t xml:space="preserve"> model behavior versus the structural fact that different users have different conversations.</w:t>
      </w:r>
    </w:p>
    <w:p w14:paraId="63E6443C" w14:textId="77777777" w:rsidR="002B416B" w:rsidRDefault="00F640E5">
      <w:pPr>
        <w:spacing w:after="200" w:line="360" w:lineRule="auto"/>
        <w:jc w:val="both"/>
      </w:pPr>
      <w:r>
        <w:t xml:space="preserve">In this paper, we provide </w:t>
      </w:r>
      <w:proofErr w:type="gramStart"/>
      <w:r>
        <w:t>the complementary</w:t>
      </w:r>
      <w:proofErr w:type="gramEnd"/>
      <w:r>
        <w:t xml:space="preserve"> observational analysis. Using 86,463 turn-level observations from 19,999 multi-turn English conversations in the WildChat-1M corpus (Zhao et </w:t>
      </w:r>
      <w:r>
        <w:lastRenderedPageBreak/>
        <w:t>al., 2024), we construct parallel lexicon-based composites measuring user social-actor framing on prompts and response register on AI replies, then exploit the within-conversation structure of multi-turn data to decompose apparent mirroring into between-conversation and within-conversation components. The within-conversation specification — equivalent to a fixed-effects estimator that absorbs every time-invariant property of a conversation, including user, topic, and conversational tone-setting — identifies the responsive component cleanly under standard FE assumptions. The difference between the cross-sectional and within-conversation estimates yields the selection component.</w:t>
      </w:r>
    </w:p>
    <w:p w14:paraId="63E6443D" w14:textId="77777777" w:rsidR="002B416B" w:rsidRDefault="00F640E5">
      <w:pPr>
        <w:spacing w:after="200" w:line="360" w:lineRule="auto"/>
        <w:jc w:val="both"/>
      </w:pPr>
      <w:r>
        <w:t>Our main contribution is this decomposition. We find that approximately 40% of cross-sectionally apparent mirroring is between-conversation selection (chatty users in chatty conversations), with the remaining variation reflecting genuine within-conversation responsiveness. The within-conversation effect is real (β = 0.20, p &lt; 10⁻¹⁸³) but substantially smaller than the naive cross-sectional estimate (β = 0.33). A negative lag coefficient further specifies that the responsive component is driven by current user framing rather than autoregressive maintenance of the model's own prior register, indicating that the model weights current input over its own prior tone.</w:t>
      </w:r>
    </w:p>
    <w:p w14:paraId="63E6443E" w14:textId="77777777" w:rsidR="002B416B" w:rsidRDefault="00F640E5">
      <w:pPr>
        <w:spacing w:after="200" w:line="360" w:lineRule="auto"/>
        <w:jc w:val="both"/>
      </w:pPr>
      <w:r>
        <w:t xml:space="preserve">The paper proceeds as follows. Section 2 situates our work in the accommodation, CASA, and recent LLM-stylometry literatures. Section 3 describes the </w:t>
      </w:r>
      <w:proofErr w:type="spellStart"/>
      <w:r>
        <w:t>WildChat</w:t>
      </w:r>
      <w:proofErr w:type="spellEnd"/>
      <w:r>
        <w:t xml:space="preserve"> sample, the lexicon-based composite construction, and the four regression specifications. Section 4 presents results. Section 5 discusses the substantive implications of the decomposition, the lag finding, and the limits of bag-of-words measurement. Section 6 concludes.</w:t>
      </w:r>
    </w:p>
    <w:p w14:paraId="63E6443F" w14:textId="77777777" w:rsidR="002B416B" w:rsidRDefault="00F640E5">
      <w:pPr>
        <w:pStyle w:val="Balk1"/>
        <w:spacing w:before="360" w:after="200"/>
      </w:pPr>
      <w:r>
        <w:rPr>
          <w:b/>
          <w:bCs/>
          <w:sz w:val="28"/>
          <w:szCs w:val="28"/>
        </w:rPr>
        <w:t>2. Related Work</w:t>
      </w:r>
    </w:p>
    <w:p w14:paraId="63E64440" w14:textId="77777777" w:rsidR="002B416B" w:rsidRDefault="00F640E5">
      <w:pPr>
        <w:spacing w:after="200" w:line="360" w:lineRule="auto"/>
        <w:jc w:val="both"/>
      </w:pPr>
      <w:r>
        <w:t xml:space="preserve">Three </w:t>
      </w:r>
      <w:proofErr w:type="gramStart"/>
      <w:r>
        <w:t>literatures</w:t>
      </w:r>
      <w:proofErr w:type="gramEnd"/>
      <w:r>
        <w:t xml:space="preserve"> bear directly on the present analysis.</w:t>
      </w:r>
    </w:p>
    <w:p w14:paraId="63E64441" w14:textId="77777777" w:rsidR="002B416B" w:rsidRDefault="00F640E5">
      <w:pPr>
        <w:spacing w:after="200" w:line="360" w:lineRule="auto"/>
        <w:jc w:val="both"/>
      </w:pPr>
      <w:r>
        <w:rPr>
          <w:b/>
          <w:bCs/>
        </w:rPr>
        <w:t xml:space="preserve">Communication accommodation theory and linguistic style matching. </w:t>
      </w:r>
      <w:r>
        <w:t>Communication Accommodation Theory (Giles et al., 1991) holds that interlocutors converge or diverge in their linguistic behavior as a function of social motivations — affiliation, distinction</w:t>
      </w:r>
      <w:proofErr w:type="gramStart"/>
      <w:r>
        <w:t>, identity</w:t>
      </w:r>
      <w:proofErr w:type="gramEnd"/>
      <w:r>
        <w:t xml:space="preserve"> signaling. Within this tradition, </w:t>
      </w:r>
      <w:proofErr w:type="spellStart"/>
      <w:r>
        <w:t>Niederhoffer</w:t>
      </w:r>
      <w:proofErr w:type="spellEnd"/>
      <w:r>
        <w:t xml:space="preserve"> and Pennebaker's (2002) study of linguistic style matching demonstrated that conversation partners coordinate their use of function-word categories (pronouns, articles, prepositions) over the course of an interaction, and that the degree of matching predicts conversational engagement. This literature establishes the theoretical and methodological </w:t>
      </w:r>
      <w:r>
        <w:lastRenderedPageBreak/>
        <w:t>grounding for treating function-word lexicon overlap as a measurable proxy for interpersonal accommodation, independent of any claim about underlying social cognition.</w:t>
      </w:r>
    </w:p>
    <w:p w14:paraId="63E64442" w14:textId="77777777" w:rsidR="002B416B" w:rsidRDefault="00F640E5">
      <w:pPr>
        <w:spacing w:after="200" w:line="360" w:lineRule="auto"/>
        <w:jc w:val="both"/>
      </w:pPr>
      <w:r>
        <w:rPr>
          <w:b/>
          <w:bCs/>
        </w:rPr>
        <w:t xml:space="preserve">Computers Are Social Actors (CASA). </w:t>
      </w:r>
      <w:r>
        <w:t xml:space="preserve">A parallel research program in human-computer interaction (Reeves &amp; Nass, 1996; Nass &amp; Moon, 2000) demonstrated that humans extend social-interaction patterns to computational systems, applying politeness norms, gender stereotypes, and reciprocity heuristics to non-human interlocutors. The CASA tradition is careful to distinguish behavioral patterns from claims about machine cognition: humans act as if computers are social actors without requiring that computers </w:t>
      </w:r>
      <w:proofErr w:type="gramStart"/>
      <w:r>
        <w:t>actually be</w:t>
      </w:r>
      <w:proofErr w:type="gramEnd"/>
      <w:r>
        <w:t xml:space="preserve"> social actors. Our work inherits this distinction. When we measure register accommodation in LLM responses, we make no claim about the model's underlying cognition; we measure surface lexical features that, in human-human interaction, would index interpersonal accommodation.</w:t>
      </w:r>
    </w:p>
    <w:p w14:paraId="63E64443" w14:textId="77777777" w:rsidR="002B416B" w:rsidRDefault="00F640E5">
      <w:pPr>
        <w:spacing w:after="200" w:line="360" w:lineRule="auto"/>
        <w:jc w:val="both"/>
      </w:pPr>
      <w:r>
        <w:rPr>
          <w:b/>
          <w:bCs/>
        </w:rPr>
        <w:t xml:space="preserve">LLM stylometric accommodation. </w:t>
      </w:r>
      <w:r>
        <w:t xml:space="preserve">Most directly relevant, Rao et al. (2025) document that LLMs converge stylistically to user context across multiple stylometric features, in some cases exceeding human accommodation baselines. Their experimental design — having LLMs complete turns in human dialogues and </w:t>
      </w:r>
      <w:proofErr w:type="gramStart"/>
      <w:r>
        <w:t>comparing</w:t>
      </w:r>
      <w:proofErr w:type="gramEnd"/>
      <w:r>
        <w:t xml:space="preserve"> to human controls — provides clean causal identification of the LLM's contribution to apparent accommodation. Mind the Gap (2025) approaches the question from the user side, finding that users adopt distinct communication styles when interacting with chatbots versus human agents. Together these works establish the existence of stylistic adaptation in human-LLM interaction. Our contribution is complementary: where Rao et al. </w:t>
      </w:r>
      <w:proofErr w:type="gramStart"/>
      <w:r>
        <w:t>ask</w:t>
      </w:r>
      <w:proofErr w:type="gramEnd"/>
      <w:r>
        <w:t xml:space="preserve"> "how much does the LLM adapt when it is the source of accommodation," we ask "how much of the apparent accommodation observers see in real interaction is the LLM, versus user-level selection into different kinds of conversations."</w:t>
      </w:r>
    </w:p>
    <w:p w14:paraId="63E64444" w14:textId="77777777" w:rsidR="002B416B" w:rsidRDefault="00F640E5">
      <w:pPr>
        <w:spacing w:after="200" w:line="360" w:lineRule="auto"/>
        <w:jc w:val="both"/>
      </w:pPr>
      <w:r>
        <w:t>The methodological link between these literatures is provided by lexicon-based register measurement. Pennebaker's Linguistic Inquiry and Word Count (LIWC; Pennebaker et al., 2007; current version LIWC-22) operationalizes register dimensions through validated word lists, enabling the kind of large-scale register comparison that hand-coding cannot achieve at corpus scale. We use a transparent, open-source lexicon-based composite in this analysis (described in Section 3), with LIWC-22 robustness checks planned for the extended version of this work.</w:t>
      </w:r>
    </w:p>
    <w:p w14:paraId="247817D3" w14:textId="77777777" w:rsidR="00DA6664" w:rsidRDefault="00DA6664">
      <w:pPr>
        <w:spacing w:after="200" w:line="360" w:lineRule="auto"/>
        <w:jc w:val="both"/>
      </w:pPr>
    </w:p>
    <w:p w14:paraId="63E64445" w14:textId="77777777" w:rsidR="002B416B" w:rsidRDefault="00F640E5">
      <w:pPr>
        <w:pStyle w:val="Balk1"/>
        <w:spacing w:before="360" w:after="200"/>
      </w:pPr>
      <w:r>
        <w:rPr>
          <w:b/>
          <w:bCs/>
          <w:sz w:val="28"/>
          <w:szCs w:val="28"/>
        </w:rPr>
        <w:lastRenderedPageBreak/>
        <w:t>3. Data and Methods</w:t>
      </w:r>
    </w:p>
    <w:p w14:paraId="63E64446" w14:textId="77777777" w:rsidR="002B416B" w:rsidRDefault="00F640E5">
      <w:pPr>
        <w:pStyle w:val="Balk2"/>
        <w:spacing w:before="280" w:after="160"/>
      </w:pPr>
      <w:r>
        <w:rPr>
          <w:b/>
          <w:bCs/>
        </w:rPr>
        <w:t>3.1 Sample</w:t>
      </w:r>
    </w:p>
    <w:p w14:paraId="63E64447" w14:textId="77777777" w:rsidR="002B416B" w:rsidRDefault="00F640E5">
      <w:pPr>
        <w:spacing w:after="200" w:line="360" w:lineRule="auto"/>
        <w:jc w:val="both"/>
      </w:pPr>
      <w:r>
        <w:t xml:space="preserve">We draw on the WildChat-1M corpus (Zhao et al., 2024), a public release of approximately one million conversations between users and OpenAI's ChatGPT (gpt-3.5-turbo-0301 and gpt-4-0314), collected via a chatbot interface where users consented to data release for research. </w:t>
      </w:r>
      <w:proofErr w:type="spellStart"/>
      <w:r>
        <w:t>WildChat</w:t>
      </w:r>
      <w:proofErr w:type="spellEnd"/>
      <w:r>
        <w:t xml:space="preserve"> is one of the largest publicly available datasets of real human-LLM interaction and has the multi-turn structure needed for our within-conversation design. Its principal limitation for our purposes — that all conversations involve two same-era OpenAI models — is structural to the corpus and bounds the generalizability of our model-comparison claims (see Section 5).</w:t>
      </w:r>
    </w:p>
    <w:p w14:paraId="63E64448" w14:textId="77777777" w:rsidR="002B416B" w:rsidRDefault="00F640E5">
      <w:pPr>
        <w:spacing w:after="200" w:line="360" w:lineRule="auto"/>
        <w:jc w:val="both"/>
      </w:pPr>
      <w:r>
        <w:t>We stream WildChat-1M and retain conversations meeting four criteria: (</w:t>
      </w:r>
      <w:proofErr w:type="spellStart"/>
      <w:r>
        <w:t>i</w:t>
      </w:r>
      <w:proofErr w:type="spellEnd"/>
      <w:r>
        <w:t>) primary language English (per the corpus's metadata); (ii) not flagged as containing redacted content; (iii) at least two valid (user, assistant) turn pairs per conversation, where validity requires the user prompt to be 20–3,000 characters and the assistant response to be 50–5,000 characters; (iv) cumulative target of 20,000 conversations. Filtering yielded 19,999 conversations comprising 86,463 turn-level observations. Conversations split 73.3% gpt-3.5-turbo-0301 (n = 14,651 conversations) and 26.7% gpt-4-0314 (n = 5,348 conversations), reflecting the underlying corpus distribution.</w:t>
      </w:r>
    </w:p>
    <w:p w14:paraId="63E64449" w14:textId="77777777" w:rsidR="002B416B" w:rsidRDefault="00F640E5">
      <w:pPr>
        <w:pStyle w:val="Balk2"/>
        <w:spacing w:before="280" w:after="160"/>
      </w:pPr>
      <w:r>
        <w:rPr>
          <w:b/>
          <w:bCs/>
        </w:rPr>
        <w:t>3.2 Composite Construction</w:t>
      </w:r>
    </w:p>
    <w:p w14:paraId="63E6444A" w14:textId="77777777" w:rsidR="002B416B" w:rsidRDefault="00F640E5">
      <w:pPr>
        <w:spacing w:after="200" w:line="360" w:lineRule="auto"/>
        <w:jc w:val="both"/>
      </w:pPr>
      <w:r>
        <w:t>Our analytic strategy requires two parallel measurements: a framing score capturing how socially the user frames the model on each prompt, and a register score capturing how socially the model responds. To enable clean within-conversation comparison and to ground the measurement in transparent, auditable lexicons, we construct both composites using the same instrument family, applied symmetrically to prompts and responses.</w:t>
      </w:r>
    </w:p>
    <w:p w14:paraId="63E6444B" w14:textId="77777777" w:rsidR="002B416B" w:rsidRDefault="00F640E5">
      <w:pPr>
        <w:spacing w:after="200" w:line="360" w:lineRule="auto"/>
        <w:jc w:val="both"/>
      </w:pPr>
      <w:r>
        <w:t>The framing composite combines seven features extracted at the prompt level: (</w:t>
      </w:r>
      <w:proofErr w:type="spellStart"/>
      <w:r>
        <w:t>i</w:t>
      </w:r>
      <w:proofErr w:type="spellEnd"/>
      <w:r>
        <w:t xml:space="preserve">) first-person singular pronoun rate (I, me, my, etc.); (ii) second-person pronoun rate (you, your, etc.); (iii) politeness marker rate (please, thanks, kindly, etc.); (iv) relational and cognitive verb rate (think, feel, want, believe, etc.); (v) share of sentences ending in question marks; (vi) share of sentences with imperative structure (detected via </w:t>
      </w:r>
      <w:proofErr w:type="spellStart"/>
      <w:r>
        <w:t>spaCy</w:t>
      </w:r>
      <w:proofErr w:type="spellEnd"/>
      <w:r>
        <w:t xml:space="preserve"> POS tagging: leading verb in base form with no preceding subject); and (vii) aggregated Empath (Fast, Chen, &amp; Bernstein, 2016) score across ten </w:t>
      </w:r>
      <w:r>
        <w:lastRenderedPageBreak/>
        <w:t xml:space="preserve">social-cluster categories (help, friends, family, love, communication, </w:t>
      </w:r>
      <w:proofErr w:type="spellStart"/>
      <w:r>
        <w:t>social_media</w:t>
      </w:r>
      <w:proofErr w:type="spellEnd"/>
      <w:r>
        <w:t xml:space="preserve">, affection, </w:t>
      </w:r>
      <w:proofErr w:type="spellStart"/>
      <w:r>
        <w:t>positive_emotion</w:t>
      </w:r>
      <w:proofErr w:type="spellEnd"/>
      <w:r>
        <w:t xml:space="preserve">, </w:t>
      </w:r>
      <w:proofErr w:type="spellStart"/>
      <w:r>
        <w:t>negative_emotion</w:t>
      </w:r>
      <w:proofErr w:type="spellEnd"/>
      <w:r>
        <w:t>, trust).</w:t>
      </w:r>
    </w:p>
    <w:p w14:paraId="63E6444C" w14:textId="77777777" w:rsidR="002B416B" w:rsidRDefault="00F640E5">
      <w:pPr>
        <w:spacing w:after="200" w:line="360" w:lineRule="auto"/>
        <w:jc w:val="both"/>
      </w:pPr>
      <w:r>
        <w:t>We acknowledge upfront that the imperative-vs-question distinction is partly a politeness-register feature rather than a pure tool-vs-social distinction, and that politeness markers themselves can co-occur with instrumental requests. The composite mitigates these specific weaknesses by combining seven features with signed weights, so no single feature can drive the score in either direction. Each feature is normalized by token count, z-scored across the full sample, and combined with signed weights (pronouns, politeness, relational verbs, questions, and Empath-social positively loaded; imperatives negatively loaded). The composite is the mean of signed z-scores, yielding a per-prompt continuous measure with mean zero and standard deviation approximately 0.45 in our sample.</w:t>
      </w:r>
    </w:p>
    <w:p w14:paraId="63E6444D" w14:textId="77777777" w:rsidR="002B416B" w:rsidRDefault="00F640E5">
      <w:pPr>
        <w:spacing w:after="200" w:line="360" w:lineRule="auto"/>
        <w:jc w:val="both"/>
      </w:pPr>
      <w:r>
        <w:t>The register composite is constructed in parallel from response-level features: first-person singular pronouns, second-person pronouns, affect words (positive and negative emotion lexicon hits), hedges (maybe, perhaps, might, seems, etc.), the same Empath-social aggregate, and analytic markers (article and preposition rate, drawn from LIWC's Analytic composite tradition; loaded negatively, as analytic register is the antonym of affiliative register in the LIWC framework). The same z-score-and-mean construction yields a per-response continuous measure (mean zero, SD ≈ 0.56).</w:t>
      </w:r>
    </w:p>
    <w:p w14:paraId="63E6444E" w14:textId="77777777" w:rsidR="002B416B" w:rsidRDefault="00F640E5">
      <w:pPr>
        <w:spacing w:after="200" w:line="360" w:lineRule="auto"/>
        <w:jc w:val="both"/>
      </w:pPr>
      <w:r>
        <w:t>Three properties of this construction merit emphasis. First, applying the same instrument family to both sides of the regression eliminates a class of measurement-</w:t>
      </w:r>
      <w:proofErr w:type="gramStart"/>
      <w:r>
        <w:t>asymmetry</w:t>
      </w:r>
      <w:proofErr w:type="gramEnd"/>
      <w:r>
        <w:t xml:space="preserve"> confounds. Second, the open-source lexicons are auditable in full (the complete word lists are documented in measurement.py in the replication repository), in contrast to proprietary instruments. Third, </w:t>
      </w:r>
      <w:proofErr w:type="gramStart"/>
      <w:r>
        <w:t>the construction</w:t>
      </w:r>
      <w:proofErr w:type="gramEnd"/>
      <w:r>
        <w:t xml:space="preserve"> does not require word-sense disambiguation; we discuss the limitations this imposes in Section 5.</w:t>
      </w:r>
    </w:p>
    <w:p w14:paraId="63E6444F" w14:textId="77777777" w:rsidR="002B416B" w:rsidRDefault="00F640E5">
      <w:pPr>
        <w:pStyle w:val="Balk2"/>
        <w:spacing w:before="280" w:after="160"/>
      </w:pPr>
      <w:r>
        <w:rPr>
          <w:b/>
          <w:bCs/>
        </w:rPr>
        <w:t>3.3 Construct Validity</w:t>
      </w:r>
    </w:p>
    <w:p w14:paraId="63E64450" w14:textId="77777777" w:rsidR="002B416B" w:rsidRDefault="00F640E5">
      <w:pPr>
        <w:spacing w:after="200" w:line="360" w:lineRule="auto"/>
        <w:jc w:val="both"/>
      </w:pPr>
      <w:r>
        <w:t>Construct validity for the composite rests on three properties of its construction rather than on an empirical convergent-validity check, which we leave for the extended version of this work.</w:t>
      </w:r>
    </w:p>
    <w:p w14:paraId="63E64451" w14:textId="77777777" w:rsidR="002B416B" w:rsidRDefault="00F640E5">
      <w:pPr>
        <w:spacing w:after="200" w:line="360" w:lineRule="auto"/>
        <w:jc w:val="both"/>
      </w:pPr>
      <w:r>
        <w:lastRenderedPageBreak/>
        <w:t xml:space="preserve">First, every component of the composite is grounded in the linguistic accommodation and CASA </w:t>
      </w:r>
      <w:proofErr w:type="gramStart"/>
      <w:r>
        <w:t>literatures</w:t>
      </w:r>
      <w:proofErr w:type="gramEnd"/>
      <w:r>
        <w:t>. Pronouns, politeness markers, hedges, and relational verbs have been independently validated as indices of interpersonal versus instrumental register in psycholinguistic work (</w:t>
      </w:r>
      <w:proofErr w:type="spellStart"/>
      <w:r>
        <w:t>Niederhoffer</w:t>
      </w:r>
      <w:proofErr w:type="spellEnd"/>
      <w:r>
        <w:t xml:space="preserve"> &amp; Pennebaker, 2002; Giles et al., 1991), and the Empath social-cluster categories operationalize affiliative content following Fast et al. (2016). We did not select features post hoc to maximize the correlation with response register; the feature set was specified in advance based on theoretical grounding.</w:t>
      </w:r>
    </w:p>
    <w:p w14:paraId="63E64452" w14:textId="77777777" w:rsidR="002B416B" w:rsidRDefault="00F640E5">
      <w:pPr>
        <w:spacing w:after="200" w:line="360" w:lineRule="auto"/>
        <w:jc w:val="both"/>
      </w:pPr>
      <w:r>
        <w:t>Second, the symmetric application of the same instrument family to prompts and responses eliminates a class of measurement-asymmetry confounds. If we had used one instrument to measure prompts (e.g., a question-classifier) and a different instrument to measure responses (e.g., LIWC-22), differences in the instruments themselves could enter the regression. Our symmetric construction means that any framing-register relationship we estimate cannot be a measurement-asymmetry artifact.</w:t>
      </w:r>
    </w:p>
    <w:p w14:paraId="63E64453" w14:textId="77777777" w:rsidR="002B416B" w:rsidRDefault="00F640E5">
      <w:pPr>
        <w:spacing w:after="200" w:line="360" w:lineRule="auto"/>
        <w:jc w:val="both"/>
      </w:pPr>
      <w:r>
        <w:t>Third, the coherent within-conversation movement of all eight components in the theoretically predicted direction (reported in Section 4.3) provides empirical evidence that the composite tracks a register-level signal rather than a single-feature artifact. If the composite were measuring noise or a confounded construct, we would not expect all eight components to move together at p &lt; 0.001 under conversation fixed effects.</w:t>
      </w:r>
    </w:p>
    <w:p w14:paraId="63E64454" w14:textId="77777777" w:rsidR="002B416B" w:rsidRDefault="00F640E5">
      <w:pPr>
        <w:spacing w:after="200" w:line="360" w:lineRule="auto"/>
        <w:jc w:val="both"/>
      </w:pPr>
      <w:r>
        <w:t>Empirical convergent validity checks against LIWC-22 and against human-rated and LLM-rated construct judgments are planned for the extended version of this work and will be reported in subsequent submissions.</w:t>
      </w:r>
    </w:p>
    <w:p w14:paraId="63E64455" w14:textId="77777777" w:rsidR="002B416B" w:rsidRDefault="00F640E5">
      <w:pPr>
        <w:pStyle w:val="Balk2"/>
        <w:spacing w:before="280" w:after="160"/>
      </w:pPr>
      <w:r>
        <w:rPr>
          <w:b/>
          <w:bCs/>
        </w:rPr>
        <w:t>3.4 Specifications</w:t>
      </w:r>
    </w:p>
    <w:p w14:paraId="63E64456" w14:textId="77777777" w:rsidR="002B416B" w:rsidRDefault="00F640E5">
      <w:pPr>
        <w:spacing w:after="200" w:line="360" w:lineRule="auto"/>
        <w:jc w:val="both"/>
      </w:pPr>
      <w:r>
        <w:t xml:space="preserve">We estimate the framing-register relationship under four progressively stronger specifications, each adding a layer of confound control. Let </w:t>
      </w:r>
      <w:proofErr w:type="spellStart"/>
      <w:r>
        <w:t>i</w:t>
      </w:r>
      <w:proofErr w:type="spellEnd"/>
      <w:r>
        <w:t xml:space="preserve"> index the conversation and t index the turn within conversation.</w:t>
      </w:r>
    </w:p>
    <w:p w14:paraId="63E64457" w14:textId="77777777" w:rsidR="002B416B" w:rsidRDefault="00F640E5">
      <w:pPr>
        <w:spacing w:after="200" w:line="360" w:lineRule="auto"/>
        <w:jc w:val="both"/>
      </w:pPr>
      <w:r>
        <w:rPr>
          <w:b/>
          <w:bCs/>
        </w:rPr>
        <w:t xml:space="preserve">Specification A (Pooled OLS). </w:t>
      </w:r>
      <w:r>
        <w:t xml:space="preserve">The baseline cross-sectional regression includes framing score, model version, their interaction, log prompt token count, log response token count, and turn index, </w:t>
      </w:r>
      <w:r>
        <w:lastRenderedPageBreak/>
        <w:t>with heteroskedasticity-consistent (HC3) standard errors. This is the specification a reader who only saw cross-sectional data would estimate; β here captures both selection and accommodation.</w:t>
      </w:r>
    </w:p>
    <w:p w14:paraId="63E64458" w14:textId="77777777" w:rsidR="002B416B" w:rsidRDefault="00F640E5">
      <w:pPr>
        <w:spacing w:after="200" w:line="360" w:lineRule="auto"/>
        <w:jc w:val="both"/>
      </w:pPr>
      <w:r>
        <w:rPr>
          <w:b/>
          <w:bCs/>
        </w:rPr>
        <w:t xml:space="preserve">Specification B (Topic fixed effects). </w:t>
      </w:r>
      <w:r>
        <w:t xml:space="preserve">We cluster all 86,463 prompts via TF-IDF (max 10,000 features, English stop-words removed, bigrams included, sublinear term frequency, document frequency between 5 and 50%) followed by </w:t>
      </w:r>
      <w:proofErr w:type="spellStart"/>
      <w:r>
        <w:t>KMeans</w:t>
      </w:r>
      <w:proofErr w:type="spellEnd"/>
      <w:r>
        <w:t xml:space="preserve">, with K selected by silhouette score over candidate values {20, 30, 40, 50, 75, 100}. Silhouette peaked at K = 50. We </w:t>
      </w:r>
      <w:proofErr w:type="gramStart"/>
      <w:r>
        <w:t>add</w:t>
      </w:r>
      <w:proofErr w:type="gramEnd"/>
      <w:r>
        <w:t xml:space="preserve"> topic fixed effects to Specification A. This rules out between-topic confounding: the concern that emotional topics simultaneously elicit </w:t>
      </w:r>
      <w:proofErr w:type="gramStart"/>
      <w:r>
        <w:t>socially-framed</w:t>
      </w:r>
      <w:proofErr w:type="gramEnd"/>
      <w:r>
        <w:t xml:space="preserve"> prompts and affiliative responses would predict that Specification B attenuates β substantially. As we report in Section 4, it does not.</w:t>
      </w:r>
    </w:p>
    <w:p w14:paraId="63E64459" w14:textId="77777777" w:rsidR="002B416B" w:rsidRDefault="00F640E5">
      <w:pPr>
        <w:spacing w:after="200" w:line="360" w:lineRule="auto"/>
        <w:jc w:val="both"/>
      </w:pPr>
      <w:r>
        <w:rPr>
          <w:b/>
          <w:bCs/>
        </w:rPr>
        <w:t xml:space="preserve">Specification C (Conversation fixed effects). </w:t>
      </w:r>
      <w:r>
        <w:t xml:space="preserve">We within-transform all variables by subtracting conversation-level means, with cluster-robust standard errors clustered on </w:t>
      </w:r>
      <w:proofErr w:type="spellStart"/>
      <w:r>
        <w:t>conversation_hash</w:t>
      </w:r>
      <w:proofErr w:type="spellEnd"/>
      <w:r>
        <w:t xml:space="preserve">. This specification absorbs all time-invariant properties of a conversation: user identity, topic, system context, conversational tone-setting, and any other conversation-level confound. β is identified purely from within-conversation, turn-to-turn variation. Because </w:t>
      </w:r>
      <w:proofErr w:type="spellStart"/>
      <w:r>
        <w:t>model_version</w:t>
      </w:r>
      <w:proofErr w:type="spellEnd"/>
      <w:r>
        <w:t xml:space="preserve"> is constant within conversation, the model-version interaction term is no longer identified under this specification — a structural limitation of the design we discuss in Section 5. The difference between β under Specification A and β under Specification C operationalizes the selection-vs-accommodation decomposition that constitutes our main contribution.</w:t>
      </w:r>
    </w:p>
    <w:p w14:paraId="63E6445A" w14:textId="77777777" w:rsidR="002B416B" w:rsidRDefault="00F640E5">
      <w:pPr>
        <w:spacing w:after="200" w:line="360" w:lineRule="auto"/>
        <w:jc w:val="both"/>
      </w:pPr>
      <w:r>
        <w:rPr>
          <w:b/>
          <w:bCs/>
        </w:rPr>
        <w:t xml:space="preserve">Specification D (Conversation FE + lagged register). </w:t>
      </w:r>
      <w:r>
        <w:t>We add the model's previous-turn register as an additional control. The lag coefficient λ tests whether the model's response is responsive to current user framing or autoregressively anchored to its prior register. The first turn of each conversation is dropped (no lag available), reducing N from 86,463 to 66,464.</w:t>
      </w:r>
    </w:p>
    <w:p w14:paraId="63E6445B" w14:textId="77777777" w:rsidR="002B416B" w:rsidRDefault="00F640E5">
      <w:pPr>
        <w:spacing w:after="200" w:line="360" w:lineRule="auto"/>
        <w:jc w:val="both"/>
      </w:pPr>
      <w:r>
        <w:t xml:space="preserve">We additionally report a per-component breakdown: regressing each of the eight underlying register features on framing under Specification C, to characterize whether accommodation is concentrated </w:t>
      </w:r>
      <w:proofErr w:type="gramStart"/>
      <w:r>
        <w:t>in particular feature</w:t>
      </w:r>
      <w:proofErr w:type="gramEnd"/>
      <w:r>
        <w:t xml:space="preserve"> dimensions or coordinated across the register </w:t>
      </w:r>
      <w:proofErr w:type="gramStart"/>
      <w:r>
        <w:t>composite as a whole</w:t>
      </w:r>
      <w:proofErr w:type="gramEnd"/>
      <w:r>
        <w:t>.</w:t>
      </w:r>
    </w:p>
    <w:p w14:paraId="63E6445C" w14:textId="77777777" w:rsidR="002B416B" w:rsidRDefault="00F640E5">
      <w:pPr>
        <w:pStyle w:val="Balk1"/>
        <w:spacing w:before="360" w:after="200"/>
      </w:pPr>
      <w:r>
        <w:rPr>
          <w:b/>
          <w:bCs/>
          <w:sz w:val="28"/>
          <w:szCs w:val="28"/>
        </w:rPr>
        <w:t>4. Results</w:t>
      </w:r>
    </w:p>
    <w:p w14:paraId="63E6445D" w14:textId="77777777" w:rsidR="002B416B" w:rsidRDefault="00F640E5">
      <w:pPr>
        <w:pStyle w:val="Balk2"/>
        <w:spacing w:before="280" w:after="160"/>
      </w:pPr>
      <w:r>
        <w:rPr>
          <w:b/>
          <w:bCs/>
        </w:rPr>
        <w:t>4.1 Variance Decomposition</w:t>
      </w:r>
    </w:p>
    <w:p w14:paraId="63E6445E" w14:textId="77777777" w:rsidR="002B416B" w:rsidRDefault="00F640E5">
      <w:pPr>
        <w:spacing w:after="200" w:line="360" w:lineRule="auto"/>
        <w:jc w:val="both"/>
      </w:pPr>
      <w:r>
        <w:lastRenderedPageBreak/>
        <w:t xml:space="preserve">Before estimating the regressions, we decompose the variance of both composites by grouping structure. For framing scores, 51.7% of total variance is between conversations and 48.3% within. For register scores, 56.0% is between and 44.0% </w:t>
      </w:r>
      <w:proofErr w:type="gramStart"/>
      <w:r>
        <w:t>within</w:t>
      </w:r>
      <w:proofErr w:type="gramEnd"/>
      <w:r>
        <w:t>. Topic explains substantially less — 14.4% of framing variance and 4.3% of register variance is attributable to topic clusters. These decompositions establish two facts. First, conversation-level variance dominates topic-level variance for both measures, suggesting conversation FE is the more important confound control. Second, substantial within-conversation variation exists in both measures, providing the variance our identification strategy requires.</w:t>
      </w:r>
    </w:p>
    <w:p w14:paraId="63E6445F" w14:textId="77777777" w:rsidR="002B416B" w:rsidRDefault="00F640E5">
      <w:pPr>
        <w:pStyle w:val="Balk2"/>
        <w:spacing w:before="280" w:after="160"/>
      </w:pPr>
      <w:r>
        <w:rPr>
          <w:b/>
          <w:bCs/>
        </w:rPr>
        <w:t>4.2 Main Results: The Selection-vs-Accommodation Decomposition</w:t>
      </w:r>
    </w:p>
    <w:p w14:paraId="63E64460" w14:textId="77777777" w:rsidR="002B416B" w:rsidRDefault="00F640E5">
      <w:pPr>
        <w:spacing w:after="200" w:line="360" w:lineRule="auto"/>
        <w:jc w:val="both"/>
      </w:pPr>
      <w:r>
        <w:t>Table 1 presents the headline regression results.</w:t>
      </w:r>
    </w:p>
    <w:p w14:paraId="63E64461" w14:textId="77777777" w:rsidR="002B416B" w:rsidRDefault="00F640E5">
      <w:pPr>
        <w:spacing w:after="200" w:line="360" w:lineRule="auto"/>
        <w:jc w:val="both"/>
      </w:pPr>
      <w:r>
        <w:rPr>
          <w:b/>
          <w:bCs/>
        </w:rPr>
        <w:t xml:space="preserve">Table 1. </w:t>
      </w:r>
      <w:r>
        <w:rPr>
          <w:i/>
          <w:iCs/>
        </w:rPr>
        <w:t>Framing → register coefficient under four specifications. N = 86,463 turn-level observations from 19,999 multi-turn English conversations.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400"/>
        <w:gridCol w:w="1100"/>
        <w:gridCol w:w="1500"/>
        <w:gridCol w:w="1100"/>
        <w:gridCol w:w="1500"/>
      </w:tblGrid>
      <w:tr w:rsidR="002B416B" w14:paraId="63E64468" w14:textId="77777777">
        <w:tc>
          <w:tcPr>
            <w:tcW w:w="2400" w:type="dxa"/>
            <w:shd w:val="clear" w:color="auto" w:fill="E5E5E5"/>
            <w:tcMar>
              <w:top w:w="80" w:type="dxa"/>
              <w:left w:w="120" w:type="dxa"/>
              <w:bottom w:w="80" w:type="dxa"/>
              <w:right w:w="120" w:type="dxa"/>
            </w:tcMar>
          </w:tcPr>
          <w:p w14:paraId="63E64462" w14:textId="77777777" w:rsidR="002B416B" w:rsidRDefault="00F640E5">
            <w:pPr>
              <w:spacing w:line="280" w:lineRule="auto"/>
            </w:pPr>
            <w:r>
              <w:rPr>
                <w:b/>
                <w:bCs/>
                <w:sz w:val="22"/>
                <w:szCs w:val="22"/>
              </w:rPr>
              <w:t>Specification</w:t>
            </w:r>
          </w:p>
        </w:tc>
        <w:tc>
          <w:tcPr>
            <w:tcW w:w="1400" w:type="dxa"/>
            <w:shd w:val="clear" w:color="auto" w:fill="E5E5E5"/>
            <w:tcMar>
              <w:top w:w="80" w:type="dxa"/>
              <w:left w:w="120" w:type="dxa"/>
              <w:bottom w:w="80" w:type="dxa"/>
              <w:right w:w="120" w:type="dxa"/>
            </w:tcMar>
          </w:tcPr>
          <w:p w14:paraId="63E64463" w14:textId="77777777" w:rsidR="002B416B" w:rsidRDefault="00F640E5">
            <w:pPr>
              <w:spacing w:line="280" w:lineRule="auto"/>
              <w:jc w:val="center"/>
            </w:pPr>
            <w:r>
              <w:rPr>
                <w:b/>
                <w:bCs/>
                <w:sz w:val="22"/>
                <w:szCs w:val="22"/>
              </w:rPr>
              <w:t>β (framing)</w:t>
            </w:r>
          </w:p>
        </w:tc>
        <w:tc>
          <w:tcPr>
            <w:tcW w:w="1100" w:type="dxa"/>
            <w:shd w:val="clear" w:color="auto" w:fill="E5E5E5"/>
            <w:tcMar>
              <w:top w:w="80" w:type="dxa"/>
              <w:left w:w="120" w:type="dxa"/>
              <w:bottom w:w="80" w:type="dxa"/>
              <w:right w:w="120" w:type="dxa"/>
            </w:tcMar>
          </w:tcPr>
          <w:p w14:paraId="63E64464" w14:textId="77777777" w:rsidR="002B416B" w:rsidRDefault="00F640E5">
            <w:pPr>
              <w:spacing w:line="280" w:lineRule="auto"/>
              <w:jc w:val="center"/>
            </w:pPr>
            <w:r>
              <w:rPr>
                <w:b/>
                <w:bCs/>
                <w:sz w:val="22"/>
                <w:szCs w:val="22"/>
              </w:rPr>
              <w:t>SE</w:t>
            </w:r>
          </w:p>
        </w:tc>
        <w:tc>
          <w:tcPr>
            <w:tcW w:w="1500" w:type="dxa"/>
            <w:shd w:val="clear" w:color="auto" w:fill="E5E5E5"/>
            <w:tcMar>
              <w:top w:w="80" w:type="dxa"/>
              <w:left w:w="120" w:type="dxa"/>
              <w:bottom w:w="80" w:type="dxa"/>
              <w:right w:w="120" w:type="dxa"/>
            </w:tcMar>
          </w:tcPr>
          <w:p w14:paraId="63E64465" w14:textId="77777777" w:rsidR="002B416B" w:rsidRDefault="00F640E5">
            <w:pPr>
              <w:spacing w:line="280" w:lineRule="auto"/>
              <w:jc w:val="center"/>
            </w:pPr>
            <w:r>
              <w:rPr>
                <w:b/>
                <w:bCs/>
                <w:sz w:val="22"/>
                <w:szCs w:val="22"/>
              </w:rPr>
              <w:t>p</w:t>
            </w:r>
          </w:p>
        </w:tc>
        <w:tc>
          <w:tcPr>
            <w:tcW w:w="1100" w:type="dxa"/>
            <w:shd w:val="clear" w:color="auto" w:fill="E5E5E5"/>
            <w:tcMar>
              <w:top w:w="80" w:type="dxa"/>
              <w:left w:w="120" w:type="dxa"/>
              <w:bottom w:w="80" w:type="dxa"/>
              <w:right w:w="120" w:type="dxa"/>
            </w:tcMar>
          </w:tcPr>
          <w:p w14:paraId="63E64466" w14:textId="77777777" w:rsidR="002B416B" w:rsidRDefault="00F640E5">
            <w:pPr>
              <w:spacing w:line="280" w:lineRule="auto"/>
              <w:jc w:val="center"/>
            </w:pPr>
            <w:r>
              <w:rPr>
                <w:b/>
                <w:bCs/>
                <w:sz w:val="22"/>
                <w:szCs w:val="22"/>
              </w:rPr>
              <w:t>R²</w:t>
            </w:r>
          </w:p>
        </w:tc>
        <w:tc>
          <w:tcPr>
            <w:tcW w:w="1500" w:type="dxa"/>
            <w:shd w:val="clear" w:color="auto" w:fill="E5E5E5"/>
            <w:tcMar>
              <w:top w:w="80" w:type="dxa"/>
              <w:left w:w="120" w:type="dxa"/>
              <w:bottom w:w="80" w:type="dxa"/>
              <w:right w:w="120" w:type="dxa"/>
            </w:tcMar>
          </w:tcPr>
          <w:p w14:paraId="63E64467" w14:textId="77777777" w:rsidR="002B416B" w:rsidRDefault="00F640E5">
            <w:pPr>
              <w:spacing w:line="280" w:lineRule="auto"/>
              <w:jc w:val="center"/>
            </w:pPr>
            <w:r>
              <w:rPr>
                <w:b/>
                <w:bCs/>
                <w:sz w:val="22"/>
                <w:szCs w:val="22"/>
              </w:rPr>
              <w:t>N</w:t>
            </w:r>
          </w:p>
        </w:tc>
      </w:tr>
      <w:tr w:rsidR="002B416B" w14:paraId="63E6446F" w14:textId="77777777">
        <w:tc>
          <w:tcPr>
            <w:tcW w:w="2400" w:type="dxa"/>
            <w:tcMar>
              <w:top w:w="80" w:type="dxa"/>
              <w:left w:w="120" w:type="dxa"/>
              <w:bottom w:w="80" w:type="dxa"/>
              <w:right w:w="120" w:type="dxa"/>
            </w:tcMar>
          </w:tcPr>
          <w:p w14:paraId="63E64469" w14:textId="77777777" w:rsidR="002B416B" w:rsidRDefault="00F640E5">
            <w:pPr>
              <w:spacing w:line="280" w:lineRule="auto"/>
            </w:pPr>
            <w:r>
              <w:rPr>
                <w:sz w:val="22"/>
                <w:szCs w:val="22"/>
              </w:rPr>
              <w:t>(A) Pooled OLS</w:t>
            </w:r>
          </w:p>
        </w:tc>
        <w:tc>
          <w:tcPr>
            <w:tcW w:w="1400" w:type="dxa"/>
            <w:tcMar>
              <w:top w:w="80" w:type="dxa"/>
              <w:left w:w="120" w:type="dxa"/>
              <w:bottom w:w="80" w:type="dxa"/>
              <w:right w:w="120" w:type="dxa"/>
            </w:tcMar>
          </w:tcPr>
          <w:p w14:paraId="63E6446A" w14:textId="77777777" w:rsidR="002B416B" w:rsidRDefault="00F640E5">
            <w:pPr>
              <w:spacing w:line="280" w:lineRule="auto"/>
              <w:jc w:val="center"/>
            </w:pPr>
            <w:r>
              <w:rPr>
                <w:sz w:val="22"/>
                <w:szCs w:val="22"/>
              </w:rPr>
              <w:t>+0.332</w:t>
            </w:r>
          </w:p>
        </w:tc>
        <w:tc>
          <w:tcPr>
            <w:tcW w:w="1100" w:type="dxa"/>
            <w:tcMar>
              <w:top w:w="80" w:type="dxa"/>
              <w:left w:w="120" w:type="dxa"/>
              <w:bottom w:w="80" w:type="dxa"/>
              <w:right w:w="120" w:type="dxa"/>
            </w:tcMar>
          </w:tcPr>
          <w:p w14:paraId="63E6446B" w14:textId="77777777" w:rsidR="002B416B" w:rsidRDefault="00F640E5">
            <w:pPr>
              <w:spacing w:line="280" w:lineRule="auto"/>
              <w:jc w:val="center"/>
            </w:pPr>
            <w:r>
              <w:rPr>
                <w:sz w:val="22"/>
                <w:szCs w:val="22"/>
              </w:rPr>
              <w:t>0.006</w:t>
            </w:r>
          </w:p>
        </w:tc>
        <w:tc>
          <w:tcPr>
            <w:tcW w:w="1500" w:type="dxa"/>
            <w:tcMar>
              <w:top w:w="80" w:type="dxa"/>
              <w:left w:w="120" w:type="dxa"/>
              <w:bottom w:w="80" w:type="dxa"/>
              <w:right w:w="120" w:type="dxa"/>
            </w:tcMar>
          </w:tcPr>
          <w:p w14:paraId="63E6446C" w14:textId="77777777" w:rsidR="002B416B" w:rsidRDefault="00F640E5">
            <w:pPr>
              <w:spacing w:line="280" w:lineRule="auto"/>
              <w:jc w:val="center"/>
            </w:pPr>
            <w:r>
              <w:rPr>
                <w:sz w:val="22"/>
                <w:szCs w:val="22"/>
              </w:rPr>
              <w:t>&lt; 0.001</w:t>
            </w:r>
          </w:p>
        </w:tc>
        <w:tc>
          <w:tcPr>
            <w:tcW w:w="1100" w:type="dxa"/>
            <w:tcMar>
              <w:top w:w="80" w:type="dxa"/>
              <w:left w:w="120" w:type="dxa"/>
              <w:bottom w:w="80" w:type="dxa"/>
              <w:right w:w="120" w:type="dxa"/>
            </w:tcMar>
          </w:tcPr>
          <w:p w14:paraId="63E6446D" w14:textId="77777777" w:rsidR="002B416B" w:rsidRDefault="00F640E5">
            <w:pPr>
              <w:spacing w:line="280" w:lineRule="auto"/>
              <w:jc w:val="center"/>
            </w:pPr>
            <w:r>
              <w:rPr>
                <w:sz w:val="22"/>
                <w:szCs w:val="22"/>
              </w:rPr>
              <w:t>0.101</w:t>
            </w:r>
          </w:p>
        </w:tc>
        <w:tc>
          <w:tcPr>
            <w:tcW w:w="1500" w:type="dxa"/>
            <w:tcMar>
              <w:top w:w="80" w:type="dxa"/>
              <w:left w:w="120" w:type="dxa"/>
              <w:bottom w:w="80" w:type="dxa"/>
              <w:right w:w="120" w:type="dxa"/>
            </w:tcMar>
          </w:tcPr>
          <w:p w14:paraId="63E6446E" w14:textId="77777777" w:rsidR="002B416B" w:rsidRDefault="00F640E5">
            <w:pPr>
              <w:spacing w:line="280" w:lineRule="auto"/>
              <w:jc w:val="center"/>
            </w:pPr>
            <w:r>
              <w:rPr>
                <w:sz w:val="22"/>
                <w:szCs w:val="22"/>
              </w:rPr>
              <w:t>86,463</w:t>
            </w:r>
          </w:p>
        </w:tc>
      </w:tr>
      <w:tr w:rsidR="002B416B" w14:paraId="63E64476" w14:textId="77777777">
        <w:tc>
          <w:tcPr>
            <w:tcW w:w="2400" w:type="dxa"/>
            <w:tcMar>
              <w:top w:w="80" w:type="dxa"/>
              <w:left w:w="120" w:type="dxa"/>
              <w:bottom w:w="80" w:type="dxa"/>
              <w:right w:w="120" w:type="dxa"/>
            </w:tcMar>
          </w:tcPr>
          <w:p w14:paraId="63E64470" w14:textId="77777777" w:rsidR="002B416B" w:rsidRDefault="00F640E5">
            <w:pPr>
              <w:spacing w:line="280" w:lineRule="auto"/>
            </w:pPr>
            <w:r>
              <w:rPr>
                <w:sz w:val="22"/>
                <w:szCs w:val="22"/>
              </w:rPr>
              <w:t>(B) Topic FE</w:t>
            </w:r>
          </w:p>
        </w:tc>
        <w:tc>
          <w:tcPr>
            <w:tcW w:w="1400" w:type="dxa"/>
            <w:tcMar>
              <w:top w:w="80" w:type="dxa"/>
              <w:left w:w="120" w:type="dxa"/>
              <w:bottom w:w="80" w:type="dxa"/>
              <w:right w:w="120" w:type="dxa"/>
            </w:tcMar>
          </w:tcPr>
          <w:p w14:paraId="63E64471" w14:textId="77777777" w:rsidR="002B416B" w:rsidRDefault="00F640E5">
            <w:pPr>
              <w:spacing w:line="280" w:lineRule="auto"/>
              <w:jc w:val="center"/>
            </w:pPr>
            <w:r>
              <w:rPr>
                <w:sz w:val="22"/>
                <w:szCs w:val="22"/>
              </w:rPr>
              <w:t>+0.350</w:t>
            </w:r>
          </w:p>
        </w:tc>
        <w:tc>
          <w:tcPr>
            <w:tcW w:w="1100" w:type="dxa"/>
            <w:tcMar>
              <w:top w:w="80" w:type="dxa"/>
              <w:left w:w="120" w:type="dxa"/>
              <w:bottom w:w="80" w:type="dxa"/>
              <w:right w:w="120" w:type="dxa"/>
            </w:tcMar>
          </w:tcPr>
          <w:p w14:paraId="63E64472" w14:textId="77777777" w:rsidR="002B416B" w:rsidRDefault="00F640E5">
            <w:pPr>
              <w:spacing w:line="280" w:lineRule="auto"/>
              <w:jc w:val="center"/>
            </w:pPr>
            <w:r>
              <w:rPr>
                <w:sz w:val="22"/>
                <w:szCs w:val="22"/>
              </w:rPr>
              <w:t>0.006</w:t>
            </w:r>
          </w:p>
        </w:tc>
        <w:tc>
          <w:tcPr>
            <w:tcW w:w="1500" w:type="dxa"/>
            <w:tcMar>
              <w:top w:w="80" w:type="dxa"/>
              <w:left w:w="120" w:type="dxa"/>
              <w:bottom w:w="80" w:type="dxa"/>
              <w:right w:w="120" w:type="dxa"/>
            </w:tcMar>
          </w:tcPr>
          <w:p w14:paraId="63E64473" w14:textId="77777777" w:rsidR="002B416B" w:rsidRDefault="00F640E5">
            <w:pPr>
              <w:spacing w:line="280" w:lineRule="auto"/>
              <w:jc w:val="center"/>
            </w:pPr>
            <w:r>
              <w:rPr>
                <w:sz w:val="22"/>
                <w:szCs w:val="22"/>
              </w:rPr>
              <w:t>&lt; 0.001</w:t>
            </w:r>
          </w:p>
        </w:tc>
        <w:tc>
          <w:tcPr>
            <w:tcW w:w="1100" w:type="dxa"/>
            <w:tcMar>
              <w:top w:w="80" w:type="dxa"/>
              <w:left w:w="120" w:type="dxa"/>
              <w:bottom w:w="80" w:type="dxa"/>
              <w:right w:w="120" w:type="dxa"/>
            </w:tcMar>
          </w:tcPr>
          <w:p w14:paraId="63E64474" w14:textId="77777777" w:rsidR="002B416B" w:rsidRDefault="00F640E5">
            <w:pPr>
              <w:spacing w:line="280" w:lineRule="auto"/>
              <w:jc w:val="center"/>
            </w:pPr>
            <w:r>
              <w:rPr>
                <w:sz w:val="22"/>
                <w:szCs w:val="22"/>
              </w:rPr>
              <w:t>0.144</w:t>
            </w:r>
          </w:p>
        </w:tc>
        <w:tc>
          <w:tcPr>
            <w:tcW w:w="1500" w:type="dxa"/>
            <w:tcMar>
              <w:top w:w="80" w:type="dxa"/>
              <w:left w:w="120" w:type="dxa"/>
              <w:bottom w:w="80" w:type="dxa"/>
              <w:right w:w="120" w:type="dxa"/>
            </w:tcMar>
          </w:tcPr>
          <w:p w14:paraId="63E64475" w14:textId="77777777" w:rsidR="002B416B" w:rsidRDefault="00F640E5">
            <w:pPr>
              <w:spacing w:line="280" w:lineRule="auto"/>
              <w:jc w:val="center"/>
            </w:pPr>
            <w:r>
              <w:rPr>
                <w:sz w:val="22"/>
                <w:szCs w:val="22"/>
              </w:rPr>
              <w:t>86,463</w:t>
            </w:r>
          </w:p>
        </w:tc>
      </w:tr>
      <w:tr w:rsidR="002B416B" w14:paraId="63E6447D" w14:textId="77777777">
        <w:tc>
          <w:tcPr>
            <w:tcW w:w="2400" w:type="dxa"/>
            <w:tcMar>
              <w:top w:w="80" w:type="dxa"/>
              <w:left w:w="120" w:type="dxa"/>
              <w:bottom w:w="80" w:type="dxa"/>
              <w:right w:w="120" w:type="dxa"/>
            </w:tcMar>
          </w:tcPr>
          <w:p w14:paraId="63E64477" w14:textId="77777777" w:rsidR="002B416B" w:rsidRDefault="00F640E5">
            <w:pPr>
              <w:spacing w:line="280" w:lineRule="auto"/>
            </w:pPr>
            <w:r>
              <w:rPr>
                <w:sz w:val="22"/>
                <w:szCs w:val="22"/>
              </w:rPr>
              <w:t>(C) Conversation FE</w:t>
            </w:r>
          </w:p>
        </w:tc>
        <w:tc>
          <w:tcPr>
            <w:tcW w:w="1400" w:type="dxa"/>
            <w:tcMar>
              <w:top w:w="80" w:type="dxa"/>
              <w:left w:w="120" w:type="dxa"/>
              <w:bottom w:w="80" w:type="dxa"/>
              <w:right w:w="120" w:type="dxa"/>
            </w:tcMar>
          </w:tcPr>
          <w:p w14:paraId="63E64478" w14:textId="77777777" w:rsidR="002B416B" w:rsidRDefault="00F640E5">
            <w:pPr>
              <w:spacing w:line="280" w:lineRule="auto"/>
              <w:jc w:val="center"/>
            </w:pPr>
            <w:r>
              <w:rPr>
                <w:sz w:val="22"/>
                <w:szCs w:val="22"/>
              </w:rPr>
              <w:t>+0.201</w:t>
            </w:r>
          </w:p>
        </w:tc>
        <w:tc>
          <w:tcPr>
            <w:tcW w:w="1100" w:type="dxa"/>
            <w:tcMar>
              <w:top w:w="80" w:type="dxa"/>
              <w:left w:w="120" w:type="dxa"/>
              <w:bottom w:w="80" w:type="dxa"/>
              <w:right w:w="120" w:type="dxa"/>
            </w:tcMar>
          </w:tcPr>
          <w:p w14:paraId="63E64479" w14:textId="77777777" w:rsidR="002B416B" w:rsidRDefault="00F640E5">
            <w:pPr>
              <w:spacing w:line="280" w:lineRule="auto"/>
              <w:jc w:val="center"/>
            </w:pPr>
            <w:r>
              <w:rPr>
                <w:sz w:val="22"/>
                <w:szCs w:val="22"/>
              </w:rPr>
              <w:t>0.007</w:t>
            </w:r>
          </w:p>
        </w:tc>
        <w:tc>
          <w:tcPr>
            <w:tcW w:w="1500" w:type="dxa"/>
            <w:tcMar>
              <w:top w:w="80" w:type="dxa"/>
              <w:left w:w="120" w:type="dxa"/>
              <w:bottom w:w="80" w:type="dxa"/>
              <w:right w:w="120" w:type="dxa"/>
            </w:tcMar>
          </w:tcPr>
          <w:p w14:paraId="63E6447A" w14:textId="77777777" w:rsidR="002B416B" w:rsidRDefault="00F640E5">
            <w:pPr>
              <w:spacing w:line="280" w:lineRule="auto"/>
              <w:jc w:val="center"/>
            </w:pPr>
            <w:r>
              <w:rPr>
                <w:sz w:val="22"/>
                <w:szCs w:val="22"/>
              </w:rPr>
              <w:t>&lt; 10⁻¹⁸³</w:t>
            </w:r>
          </w:p>
        </w:tc>
        <w:tc>
          <w:tcPr>
            <w:tcW w:w="1100" w:type="dxa"/>
            <w:tcMar>
              <w:top w:w="80" w:type="dxa"/>
              <w:left w:w="120" w:type="dxa"/>
              <w:bottom w:w="80" w:type="dxa"/>
              <w:right w:w="120" w:type="dxa"/>
            </w:tcMar>
          </w:tcPr>
          <w:p w14:paraId="63E6447B" w14:textId="77777777" w:rsidR="002B416B" w:rsidRDefault="00F640E5">
            <w:pPr>
              <w:spacing w:line="280" w:lineRule="auto"/>
              <w:jc w:val="center"/>
            </w:pPr>
            <w:r>
              <w:rPr>
                <w:sz w:val="22"/>
                <w:szCs w:val="22"/>
              </w:rPr>
              <w:t>0.093</w:t>
            </w:r>
          </w:p>
        </w:tc>
        <w:tc>
          <w:tcPr>
            <w:tcW w:w="1500" w:type="dxa"/>
            <w:tcMar>
              <w:top w:w="80" w:type="dxa"/>
              <w:left w:w="120" w:type="dxa"/>
              <w:bottom w:w="80" w:type="dxa"/>
              <w:right w:w="120" w:type="dxa"/>
            </w:tcMar>
          </w:tcPr>
          <w:p w14:paraId="63E6447C" w14:textId="77777777" w:rsidR="002B416B" w:rsidRDefault="00F640E5">
            <w:pPr>
              <w:spacing w:line="280" w:lineRule="auto"/>
              <w:jc w:val="center"/>
            </w:pPr>
            <w:r>
              <w:rPr>
                <w:sz w:val="22"/>
                <w:szCs w:val="22"/>
              </w:rPr>
              <w:t>86,463</w:t>
            </w:r>
          </w:p>
        </w:tc>
      </w:tr>
      <w:tr w:rsidR="002B416B" w14:paraId="63E64484" w14:textId="77777777">
        <w:tc>
          <w:tcPr>
            <w:tcW w:w="2400" w:type="dxa"/>
            <w:tcMar>
              <w:top w:w="80" w:type="dxa"/>
              <w:left w:w="120" w:type="dxa"/>
              <w:bottom w:w="80" w:type="dxa"/>
              <w:right w:w="120" w:type="dxa"/>
            </w:tcMar>
          </w:tcPr>
          <w:p w14:paraId="63E6447E" w14:textId="77777777" w:rsidR="002B416B" w:rsidRDefault="00F640E5">
            <w:pPr>
              <w:spacing w:line="280" w:lineRule="auto"/>
            </w:pPr>
            <w:r>
              <w:rPr>
                <w:sz w:val="22"/>
                <w:szCs w:val="22"/>
              </w:rPr>
              <w:t>(D) Conv FE + lag</w:t>
            </w:r>
          </w:p>
        </w:tc>
        <w:tc>
          <w:tcPr>
            <w:tcW w:w="1400" w:type="dxa"/>
            <w:tcMar>
              <w:top w:w="80" w:type="dxa"/>
              <w:left w:w="120" w:type="dxa"/>
              <w:bottom w:w="80" w:type="dxa"/>
              <w:right w:w="120" w:type="dxa"/>
            </w:tcMar>
          </w:tcPr>
          <w:p w14:paraId="63E6447F" w14:textId="77777777" w:rsidR="002B416B" w:rsidRDefault="00F640E5">
            <w:pPr>
              <w:spacing w:line="280" w:lineRule="auto"/>
              <w:jc w:val="center"/>
            </w:pPr>
            <w:r>
              <w:rPr>
                <w:sz w:val="22"/>
                <w:szCs w:val="22"/>
              </w:rPr>
              <w:t>+0.189</w:t>
            </w:r>
          </w:p>
        </w:tc>
        <w:tc>
          <w:tcPr>
            <w:tcW w:w="1100" w:type="dxa"/>
            <w:tcMar>
              <w:top w:w="80" w:type="dxa"/>
              <w:left w:w="120" w:type="dxa"/>
              <w:bottom w:w="80" w:type="dxa"/>
              <w:right w:w="120" w:type="dxa"/>
            </w:tcMar>
          </w:tcPr>
          <w:p w14:paraId="63E64480" w14:textId="77777777" w:rsidR="002B416B" w:rsidRDefault="00F640E5">
            <w:pPr>
              <w:spacing w:line="280" w:lineRule="auto"/>
              <w:jc w:val="center"/>
            </w:pPr>
            <w:r>
              <w:rPr>
                <w:sz w:val="22"/>
                <w:szCs w:val="22"/>
              </w:rPr>
              <w:t>0.008</w:t>
            </w:r>
          </w:p>
        </w:tc>
        <w:tc>
          <w:tcPr>
            <w:tcW w:w="1500" w:type="dxa"/>
            <w:tcMar>
              <w:top w:w="80" w:type="dxa"/>
              <w:left w:w="120" w:type="dxa"/>
              <w:bottom w:w="80" w:type="dxa"/>
              <w:right w:w="120" w:type="dxa"/>
            </w:tcMar>
          </w:tcPr>
          <w:p w14:paraId="63E64481" w14:textId="77777777" w:rsidR="002B416B" w:rsidRDefault="00F640E5">
            <w:pPr>
              <w:spacing w:line="280" w:lineRule="auto"/>
              <w:jc w:val="center"/>
            </w:pPr>
            <w:r>
              <w:rPr>
                <w:sz w:val="22"/>
                <w:szCs w:val="22"/>
              </w:rPr>
              <w:t>&lt; 10⁻¹²⁰</w:t>
            </w:r>
          </w:p>
        </w:tc>
        <w:tc>
          <w:tcPr>
            <w:tcW w:w="1100" w:type="dxa"/>
            <w:tcMar>
              <w:top w:w="80" w:type="dxa"/>
              <w:left w:w="120" w:type="dxa"/>
              <w:bottom w:w="80" w:type="dxa"/>
              <w:right w:w="120" w:type="dxa"/>
            </w:tcMar>
          </w:tcPr>
          <w:p w14:paraId="63E64482" w14:textId="77777777" w:rsidR="002B416B" w:rsidRDefault="00F640E5">
            <w:pPr>
              <w:spacing w:line="280" w:lineRule="auto"/>
              <w:jc w:val="center"/>
            </w:pPr>
            <w:r>
              <w:rPr>
                <w:sz w:val="22"/>
                <w:szCs w:val="22"/>
              </w:rPr>
              <w:t>0.085</w:t>
            </w:r>
          </w:p>
        </w:tc>
        <w:tc>
          <w:tcPr>
            <w:tcW w:w="1500" w:type="dxa"/>
            <w:tcMar>
              <w:top w:w="80" w:type="dxa"/>
              <w:left w:w="120" w:type="dxa"/>
              <w:bottom w:w="80" w:type="dxa"/>
              <w:right w:w="120" w:type="dxa"/>
            </w:tcMar>
          </w:tcPr>
          <w:p w14:paraId="63E64483" w14:textId="77777777" w:rsidR="002B416B" w:rsidRDefault="00F640E5">
            <w:pPr>
              <w:spacing w:line="280" w:lineRule="auto"/>
              <w:jc w:val="center"/>
            </w:pPr>
            <w:r>
              <w:rPr>
                <w:sz w:val="22"/>
                <w:szCs w:val="22"/>
              </w:rPr>
              <w:t>66,464</w:t>
            </w:r>
          </w:p>
        </w:tc>
      </w:tr>
    </w:tbl>
    <w:p w14:paraId="63E64485" w14:textId="77777777" w:rsidR="002B416B" w:rsidRDefault="00F640E5">
      <w:pPr>
        <w:spacing w:before="200" w:after="240" w:line="360" w:lineRule="auto"/>
        <w:jc w:val="both"/>
      </w:pPr>
      <w:r>
        <w:rPr>
          <w:i/>
          <w:iCs/>
        </w:rPr>
        <w:t xml:space="preserve">Notes: Specifications A and B use HC3 standard errors; Specifications C and D use cluster-robust standard errors clustered on </w:t>
      </w:r>
      <w:proofErr w:type="spellStart"/>
      <w:r>
        <w:rPr>
          <w:i/>
          <w:iCs/>
        </w:rPr>
        <w:t>conversation_hash</w:t>
      </w:r>
      <w:proofErr w:type="spellEnd"/>
      <w:r>
        <w:rPr>
          <w:i/>
          <w:iCs/>
        </w:rPr>
        <w:t xml:space="preserve">. Specifications A and B include framing × </w:t>
      </w:r>
      <w:proofErr w:type="spellStart"/>
      <w:r>
        <w:rPr>
          <w:i/>
          <w:iCs/>
        </w:rPr>
        <w:t>model_version</w:t>
      </w:r>
      <w:proofErr w:type="spellEnd"/>
      <w:r>
        <w:rPr>
          <w:i/>
          <w:iCs/>
        </w:rPr>
        <w:t xml:space="preserve"> interactions, log prompt and response token counts, and turn index as controls. Specifications C and D include the latter three as within-transformed controls; the </w:t>
      </w:r>
      <w:proofErr w:type="spellStart"/>
      <w:r>
        <w:rPr>
          <w:i/>
          <w:iCs/>
        </w:rPr>
        <w:t>model_version</w:t>
      </w:r>
      <w:proofErr w:type="spellEnd"/>
      <w:r>
        <w:rPr>
          <w:i/>
          <w:iCs/>
        </w:rPr>
        <w:t xml:space="preserve"> interaction is not identified under conversation FE because model is constant within conversation. Specification D adds within-transformed lagged register as an additional control.</w:t>
      </w:r>
    </w:p>
    <w:p w14:paraId="63E64486" w14:textId="77777777" w:rsidR="002B416B" w:rsidRDefault="00F640E5">
      <w:pPr>
        <w:spacing w:after="200" w:line="360" w:lineRule="auto"/>
        <w:jc w:val="both"/>
      </w:pPr>
      <w:r>
        <w:t>Three observations from Table 1 anchor the analysis.</w:t>
      </w:r>
    </w:p>
    <w:p w14:paraId="63E64487" w14:textId="77777777" w:rsidR="002B416B" w:rsidRDefault="00F640E5">
      <w:pPr>
        <w:spacing w:after="200" w:line="360" w:lineRule="auto"/>
        <w:jc w:val="both"/>
      </w:pPr>
      <w:r>
        <w:t xml:space="preserve">First, </w:t>
      </w:r>
      <w:r>
        <w:rPr>
          <w:b/>
          <w:bCs/>
        </w:rPr>
        <w:t>the cross-sectional effect is large and topic-FE-stable</w:t>
      </w:r>
      <w:r>
        <w:t xml:space="preserve">. The pooled OLS coefficient (β = 0.332) is highly statistically significant at this sample size (p essentially zero, given SE of 0.006). Adding topic fixed effects in Specification B does not attenuate the coefficient — it slightly </w:t>
      </w:r>
      <w:r>
        <w:lastRenderedPageBreak/>
        <w:t xml:space="preserve">increases to β = 0.350. This rules out between-topic confounding as an explanation for the cross-sectional result; if anything, </w:t>
      </w:r>
      <w:proofErr w:type="spellStart"/>
      <w:r>
        <w:t>partialling</w:t>
      </w:r>
      <w:proofErr w:type="spellEnd"/>
      <w:r>
        <w:t xml:space="preserve"> out topic removes noise rather than signal, leaving a slightly cleaner estimate.</w:t>
      </w:r>
    </w:p>
    <w:p w14:paraId="63E64488" w14:textId="77777777" w:rsidR="002B416B" w:rsidRDefault="00F640E5">
      <w:pPr>
        <w:spacing w:after="200" w:line="360" w:lineRule="auto"/>
        <w:jc w:val="both"/>
      </w:pPr>
      <w:r>
        <w:t xml:space="preserve">Second, </w:t>
      </w:r>
      <w:r>
        <w:rPr>
          <w:b/>
          <w:bCs/>
        </w:rPr>
        <w:t>conversation fixed effects attenuate the coefficient by approximately 40%, from β = 0.350 to β = 0.201</w:t>
      </w:r>
      <w:r>
        <w:t xml:space="preserve">. This is the central decomposition result. A 40% attenuation under the within-conversation specification means that approximately 40% of the cross-sectionally apparent relationship between user framing and response register is explained by stable, between-conversation correlations: chatty users in chatty conversations produce chatty data; terse users in instrumental conversations produce terse data; and both observations enter the cross-sectional regression as evidence of "mirroring" without requiring any moment-to-moment model responsiveness. Conversation FE absorbs this between-conversation component, leaving only within-conversation, turn-to-turn variation. The fact that </w:t>
      </w:r>
      <w:proofErr w:type="gramStart"/>
      <w:r>
        <w:t>the majority of</w:t>
      </w:r>
      <w:proofErr w:type="gramEnd"/>
      <w:r>
        <w:t xml:space="preserve"> the effect survives this transformation — and remains highly significant (p &lt; 10⁻¹⁸³) — establishes that genuine within-conversation accommodation is occurring, but at substantially smaller magnitude than cross-sectional analysis would suggest.</w:t>
      </w:r>
    </w:p>
    <w:p w14:paraId="63E64489" w14:textId="77777777" w:rsidR="002B416B" w:rsidRDefault="00F640E5">
      <w:pPr>
        <w:spacing w:after="200" w:line="360" w:lineRule="auto"/>
        <w:jc w:val="both"/>
      </w:pPr>
      <w:r>
        <w:t xml:space="preserve">Third, </w:t>
      </w:r>
      <w:r>
        <w:rPr>
          <w:b/>
          <w:bCs/>
        </w:rPr>
        <w:t>adding the lagged register control further attenuates the coefficient slightly to β = 0.189</w:t>
      </w:r>
      <w:r>
        <w:t>, with the lag coefficient itself estimated at λ = −0.035 (SE = 0.008, p &lt; 10⁻⁵). The negative sign on λ is informative. If LLM responses were autoregressively maintaining a register established earlier in the conversation, we would expect λ &gt; 0 (high prior register predicts high current register). The observed λ &lt; 0 is inconsistent with that pattern. We interpret this as evidence that within-conversation accommodation reflects responsiveness to the current user signal rather than autoregressive maintenance of the model's own prior tone — that is, the model weights current input over its prior register.</w:t>
      </w:r>
    </w:p>
    <w:p w14:paraId="755C93C7" w14:textId="77777777" w:rsidR="00DA6664" w:rsidRDefault="00DA6664">
      <w:pPr>
        <w:spacing w:after="200" w:line="360" w:lineRule="auto"/>
        <w:jc w:val="both"/>
      </w:pPr>
    </w:p>
    <w:p w14:paraId="63E6448A" w14:textId="77777777" w:rsidR="002B416B" w:rsidRDefault="00F640E5">
      <w:pPr>
        <w:pStyle w:val="Balk2"/>
        <w:spacing w:before="280" w:after="160"/>
      </w:pPr>
      <w:r>
        <w:rPr>
          <w:b/>
          <w:bCs/>
        </w:rPr>
        <w:t>4.3 Per-Component Breakdown</w:t>
      </w:r>
    </w:p>
    <w:p w14:paraId="63E6448B" w14:textId="77777777" w:rsidR="002B416B" w:rsidRDefault="00F640E5">
      <w:pPr>
        <w:spacing w:after="200" w:line="360" w:lineRule="auto"/>
        <w:jc w:val="both"/>
      </w:pPr>
      <w:r>
        <w:t>Table 2 shows the per-component framing effect on each of the eight underlying response register features, estimated under Specification C.</w:t>
      </w:r>
    </w:p>
    <w:p w14:paraId="63E6448C" w14:textId="77777777" w:rsidR="002B416B" w:rsidRDefault="00F640E5">
      <w:pPr>
        <w:spacing w:after="200" w:line="360" w:lineRule="auto"/>
        <w:jc w:val="both"/>
      </w:pPr>
      <w:r>
        <w:rPr>
          <w:b/>
          <w:bCs/>
        </w:rPr>
        <w:t xml:space="preserve">Table 2. </w:t>
      </w:r>
      <w:r>
        <w:rPr>
          <w:i/>
          <w:iCs/>
        </w:rPr>
        <w:t>Per-component framing effect on response register features under conversation FE.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900"/>
        <w:gridCol w:w="1900"/>
        <w:gridCol w:w="2000"/>
      </w:tblGrid>
      <w:tr w:rsidR="002B416B" w14:paraId="63E64491" w14:textId="77777777">
        <w:tc>
          <w:tcPr>
            <w:tcW w:w="3200" w:type="dxa"/>
            <w:shd w:val="clear" w:color="auto" w:fill="E5E5E5"/>
            <w:tcMar>
              <w:top w:w="80" w:type="dxa"/>
              <w:left w:w="120" w:type="dxa"/>
              <w:bottom w:w="80" w:type="dxa"/>
              <w:right w:w="120" w:type="dxa"/>
            </w:tcMar>
          </w:tcPr>
          <w:p w14:paraId="63E6448D" w14:textId="77777777" w:rsidR="002B416B" w:rsidRDefault="00F640E5">
            <w:pPr>
              <w:spacing w:line="280" w:lineRule="auto"/>
            </w:pPr>
            <w:r>
              <w:rPr>
                <w:b/>
                <w:bCs/>
                <w:sz w:val="22"/>
                <w:szCs w:val="22"/>
              </w:rPr>
              <w:lastRenderedPageBreak/>
              <w:t>Component</w:t>
            </w:r>
          </w:p>
        </w:tc>
        <w:tc>
          <w:tcPr>
            <w:tcW w:w="1900" w:type="dxa"/>
            <w:shd w:val="clear" w:color="auto" w:fill="E5E5E5"/>
            <w:tcMar>
              <w:top w:w="80" w:type="dxa"/>
              <w:left w:w="120" w:type="dxa"/>
              <w:bottom w:w="80" w:type="dxa"/>
              <w:right w:w="120" w:type="dxa"/>
            </w:tcMar>
          </w:tcPr>
          <w:p w14:paraId="63E6448E" w14:textId="77777777" w:rsidR="002B416B" w:rsidRDefault="00F640E5">
            <w:pPr>
              <w:spacing w:line="280" w:lineRule="auto"/>
              <w:jc w:val="center"/>
            </w:pPr>
            <w:r>
              <w:rPr>
                <w:b/>
                <w:bCs/>
                <w:sz w:val="22"/>
                <w:szCs w:val="22"/>
              </w:rPr>
              <w:t>β</w:t>
            </w:r>
          </w:p>
        </w:tc>
        <w:tc>
          <w:tcPr>
            <w:tcW w:w="1900" w:type="dxa"/>
            <w:shd w:val="clear" w:color="auto" w:fill="E5E5E5"/>
            <w:tcMar>
              <w:top w:w="80" w:type="dxa"/>
              <w:left w:w="120" w:type="dxa"/>
              <w:bottom w:w="80" w:type="dxa"/>
              <w:right w:w="120" w:type="dxa"/>
            </w:tcMar>
          </w:tcPr>
          <w:p w14:paraId="63E6448F" w14:textId="77777777" w:rsidR="002B416B" w:rsidRDefault="00F640E5">
            <w:pPr>
              <w:spacing w:line="280" w:lineRule="auto"/>
              <w:jc w:val="center"/>
            </w:pPr>
            <w:r>
              <w:rPr>
                <w:b/>
                <w:bCs/>
                <w:sz w:val="22"/>
                <w:szCs w:val="22"/>
              </w:rPr>
              <w:t>SE</w:t>
            </w:r>
          </w:p>
        </w:tc>
        <w:tc>
          <w:tcPr>
            <w:tcW w:w="2000" w:type="dxa"/>
            <w:shd w:val="clear" w:color="auto" w:fill="E5E5E5"/>
            <w:tcMar>
              <w:top w:w="80" w:type="dxa"/>
              <w:left w:w="120" w:type="dxa"/>
              <w:bottom w:w="80" w:type="dxa"/>
              <w:right w:w="120" w:type="dxa"/>
            </w:tcMar>
          </w:tcPr>
          <w:p w14:paraId="63E64490" w14:textId="77777777" w:rsidR="002B416B" w:rsidRDefault="00F640E5">
            <w:pPr>
              <w:spacing w:line="280" w:lineRule="auto"/>
              <w:jc w:val="center"/>
            </w:pPr>
            <w:r>
              <w:rPr>
                <w:b/>
                <w:bCs/>
                <w:sz w:val="22"/>
                <w:szCs w:val="22"/>
              </w:rPr>
              <w:t>p</w:t>
            </w:r>
          </w:p>
        </w:tc>
      </w:tr>
      <w:tr w:rsidR="002B416B" w14:paraId="63E64496" w14:textId="77777777">
        <w:tc>
          <w:tcPr>
            <w:tcW w:w="3200" w:type="dxa"/>
            <w:tcMar>
              <w:top w:w="80" w:type="dxa"/>
              <w:left w:w="120" w:type="dxa"/>
              <w:bottom w:w="80" w:type="dxa"/>
              <w:right w:w="120" w:type="dxa"/>
            </w:tcMar>
          </w:tcPr>
          <w:p w14:paraId="63E64492" w14:textId="77777777" w:rsidR="002B416B" w:rsidRDefault="00F640E5">
            <w:pPr>
              <w:spacing w:line="280" w:lineRule="auto"/>
            </w:pPr>
            <w:r>
              <w:rPr>
                <w:sz w:val="22"/>
                <w:szCs w:val="22"/>
              </w:rPr>
              <w:t>Empath social</w:t>
            </w:r>
          </w:p>
        </w:tc>
        <w:tc>
          <w:tcPr>
            <w:tcW w:w="1900" w:type="dxa"/>
            <w:tcMar>
              <w:top w:w="80" w:type="dxa"/>
              <w:left w:w="120" w:type="dxa"/>
              <w:bottom w:w="80" w:type="dxa"/>
              <w:right w:w="120" w:type="dxa"/>
            </w:tcMar>
          </w:tcPr>
          <w:p w14:paraId="63E64493" w14:textId="77777777" w:rsidR="002B416B" w:rsidRDefault="00F640E5">
            <w:pPr>
              <w:spacing w:line="280" w:lineRule="auto"/>
              <w:jc w:val="center"/>
            </w:pPr>
            <w:r>
              <w:rPr>
                <w:sz w:val="22"/>
                <w:szCs w:val="22"/>
              </w:rPr>
              <w:t>+0.0117</w:t>
            </w:r>
          </w:p>
        </w:tc>
        <w:tc>
          <w:tcPr>
            <w:tcW w:w="1900" w:type="dxa"/>
            <w:tcMar>
              <w:top w:w="80" w:type="dxa"/>
              <w:left w:w="120" w:type="dxa"/>
              <w:bottom w:w="80" w:type="dxa"/>
              <w:right w:w="120" w:type="dxa"/>
            </w:tcMar>
          </w:tcPr>
          <w:p w14:paraId="63E64494" w14:textId="77777777" w:rsidR="002B416B" w:rsidRDefault="00F640E5">
            <w:pPr>
              <w:spacing w:line="280" w:lineRule="auto"/>
              <w:jc w:val="center"/>
            </w:pPr>
            <w:r>
              <w:rPr>
                <w:sz w:val="22"/>
                <w:szCs w:val="22"/>
              </w:rPr>
              <w:t>0.0004</w:t>
            </w:r>
          </w:p>
        </w:tc>
        <w:tc>
          <w:tcPr>
            <w:tcW w:w="2000" w:type="dxa"/>
            <w:tcMar>
              <w:top w:w="80" w:type="dxa"/>
              <w:left w:w="120" w:type="dxa"/>
              <w:bottom w:w="80" w:type="dxa"/>
              <w:right w:w="120" w:type="dxa"/>
            </w:tcMar>
          </w:tcPr>
          <w:p w14:paraId="63E64495" w14:textId="77777777" w:rsidR="002B416B" w:rsidRDefault="00F640E5">
            <w:pPr>
              <w:spacing w:line="280" w:lineRule="auto"/>
              <w:jc w:val="center"/>
            </w:pPr>
            <w:r>
              <w:rPr>
                <w:sz w:val="22"/>
                <w:szCs w:val="22"/>
              </w:rPr>
              <w:t>&lt; 0.001</w:t>
            </w:r>
          </w:p>
        </w:tc>
      </w:tr>
      <w:tr w:rsidR="002B416B" w14:paraId="63E6449B" w14:textId="77777777">
        <w:tc>
          <w:tcPr>
            <w:tcW w:w="3200" w:type="dxa"/>
            <w:tcMar>
              <w:top w:w="80" w:type="dxa"/>
              <w:left w:w="120" w:type="dxa"/>
              <w:bottom w:w="80" w:type="dxa"/>
              <w:right w:w="120" w:type="dxa"/>
            </w:tcMar>
          </w:tcPr>
          <w:p w14:paraId="63E64497" w14:textId="77777777" w:rsidR="002B416B" w:rsidRDefault="00F640E5">
            <w:pPr>
              <w:spacing w:line="280" w:lineRule="auto"/>
            </w:pPr>
            <w:r>
              <w:rPr>
                <w:sz w:val="22"/>
                <w:szCs w:val="22"/>
              </w:rPr>
              <w:t>Second-person pronouns</w:t>
            </w:r>
          </w:p>
        </w:tc>
        <w:tc>
          <w:tcPr>
            <w:tcW w:w="1900" w:type="dxa"/>
            <w:tcMar>
              <w:top w:w="80" w:type="dxa"/>
              <w:left w:w="120" w:type="dxa"/>
              <w:bottom w:w="80" w:type="dxa"/>
              <w:right w:w="120" w:type="dxa"/>
            </w:tcMar>
          </w:tcPr>
          <w:p w14:paraId="63E64498" w14:textId="77777777" w:rsidR="002B416B" w:rsidRDefault="00F640E5">
            <w:pPr>
              <w:spacing w:line="280" w:lineRule="auto"/>
              <w:jc w:val="center"/>
            </w:pPr>
            <w:r>
              <w:rPr>
                <w:sz w:val="22"/>
                <w:szCs w:val="22"/>
              </w:rPr>
              <w:t>+0.0074</w:t>
            </w:r>
          </w:p>
        </w:tc>
        <w:tc>
          <w:tcPr>
            <w:tcW w:w="1900" w:type="dxa"/>
            <w:tcMar>
              <w:top w:w="80" w:type="dxa"/>
              <w:left w:w="120" w:type="dxa"/>
              <w:bottom w:w="80" w:type="dxa"/>
              <w:right w:w="120" w:type="dxa"/>
            </w:tcMar>
          </w:tcPr>
          <w:p w14:paraId="63E64499" w14:textId="77777777" w:rsidR="002B416B" w:rsidRDefault="00F640E5">
            <w:pPr>
              <w:spacing w:line="280" w:lineRule="auto"/>
              <w:jc w:val="center"/>
            </w:pPr>
            <w:r>
              <w:rPr>
                <w:sz w:val="22"/>
                <w:szCs w:val="22"/>
              </w:rPr>
              <w:t>0.0003</w:t>
            </w:r>
          </w:p>
        </w:tc>
        <w:tc>
          <w:tcPr>
            <w:tcW w:w="2000" w:type="dxa"/>
            <w:tcMar>
              <w:top w:w="80" w:type="dxa"/>
              <w:left w:w="120" w:type="dxa"/>
              <w:bottom w:w="80" w:type="dxa"/>
              <w:right w:w="120" w:type="dxa"/>
            </w:tcMar>
          </w:tcPr>
          <w:p w14:paraId="63E6449A" w14:textId="77777777" w:rsidR="002B416B" w:rsidRDefault="00F640E5">
            <w:pPr>
              <w:spacing w:line="280" w:lineRule="auto"/>
              <w:jc w:val="center"/>
            </w:pPr>
            <w:r>
              <w:rPr>
                <w:sz w:val="22"/>
                <w:szCs w:val="22"/>
              </w:rPr>
              <w:t>&lt; 0.001</w:t>
            </w:r>
          </w:p>
        </w:tc>
      </w:tr>
      <w:tr w:rsidR="002B416B" w14:paraId="63E644A0" w14:textId="77777777">
        <w:tc>
          <w:tcPr>
            <w:tcW w:w="3200" w:type="dxa"/>
            <w:tcMar>
              <w:top w:w="80" w:type="dxa"/>
              <w:left w:w="120" w:type="dxa"/>
              <w:bottom w:w="80" w:type="dxa"/>
              <w:right w:w="120" w:type="dxa"/>
            </w:tcMar>
          </w:tcPr>
          <w:p w14:paraId="63E6449C" w14:textId="77777777" w:rsidR="002B416B" w:rsidRDefault="00F640E5">
            <w:pPr>
              <w:spacing w:line="280" w:lineRule="auto"/>
            </w:pPr>
            <w:r>
              <w:rPr>
                <w:sz w:val="22"/>
                <w:szCs w:val="22"/>
              </w:rPr>
              <w:t>First-person singular</w:t>
            </w:r>
          </w:p>
        </w:tc>
        <w:tc>
          <w:tcPr>
            <w:tcW w:w="1900" w:type="dxa"/>
            <w:tcMar>
              <w:top w:w="80" w:type="dxa"/>
              <w:left w:w="120" w:type="dxa"/>
              <w:bottom w:w="80" w:type="dxa"/>
              <w:right w:w="120" w:type="dxa"/>
            </w:tcMar>
          </w:tcPr>
          <w:p w14:paraId="63E6449D" w14:textId="77777777" w:rsidR="002B416B" w:rsidRDefault="00F640E5">
            <w:pPr>
              <w:spacing w:line="280" w:lineRule="auto"/>
              <w:jc w:val="center"/>
            </w:pPr>
            <w:r>
              <w:rPr>
                <w:sz w:val="22"/>
                <w:szCs w:val="22"/>
              </w:rPr>
              <w:t>+0.0067</w:t>
            </w:r>
          </w:p>
        </w:tc>
        <w:tc>
          <w:tcPr>
            <w:tcW w:w="1900" w:type="dxa"/>
            <w:tcMar>
              <w:top w:w="80" w:type="dxa"/>
              <w:left w:w="120" w:type="dxa"/>
              <w:bottom w:w="80" w:type="dxa"/>
              <w:right w:w="120" w:type="dxa"/>
            </w:tcMar>
          </w:tcPr>
          <w:p w14:paraId="63E6449E" w14:textId="77777777" w:rsidR="002B416B" w:rsidRDefault="00F640E5">
            <w:pPr>
              <w:spacing w:line="280" w:lineRule="auto"/>
              <w:jc w:val="center"/>
            </w:pPr>
            <w:r>
              <w:rPr>
                <w:sz w:val="22"/>
                <w:szCs w:val="22"/>
              </w:rPr>
              <w:t>0.0003</w:t>
            </w:r>
          </w:p>
        </w:tc>
        <w:tc>
          <w:tcPr>
            <w:tcW w:w="2000" w:type="dxa"/>
            <w:tcMar>
              <w:top w:w="80" w:type="dxa"/>
              <w:left w:w="120" w:type="dxa"/>
              <w:bottom w:w="80" w:type="dxa"/>
              <w:right w:w="120" w:type="dxa"/>
            </w:tcMar>
          </w:tcPr>
          <w:p w14:paraId="63E6449F" w14:textId="77777777" w:rsidR="002B416B" w:rsidRDefault="00F640E5">
            <w:pPr>
              <w:spacing w:line="280" w:lineRule="auto"/>
              <w:jc w:val="center"/>
            </w:pPr>
            <w:r>
              <w:rPr>
                <w:sz w:val="22"/>
                <w:szCs w:val="22"/>
              </w:rPr>
              <w:t>&lt; 0.001</w:t>
            </w:r>
          </w:p>
        </w:tc>
      </w:tr>
      <w:tr w:rsidR="002B416B" w14:paraId="63E644A5" w14:textId="77777777">
        <w:tc>
          <w:tcPr>
            <w:tcW w:w="3200" w:type="dxa"/>
            <w:tcMar>
              <w:top w:w="80" w:type="dxa"/>
              <w:left w:w="120" w:type="dxa"/>
              <w:bottom w:w="80" w:type="dxa"/>
              <w:right w:w="120" w:type="dxa"/>
            </w:tcMar>
          </w:tcPr>
          <w:p w14:paraId="63E644A1" w14:textId="77777777" w:rsidR="002B416B" w:rsidRDefault="00F640E5">
            <w:pPr>
              <w:spacing w:line="280" w:lineRule="auto"/>
            </w:pPr>
            <w:r>
              <w:rPr>
                <w:sz w:val="22"/>
                <w:szCs w:val="22"/>
              </w:rPr>
              <w:t>Relational verbs</w:t>
            </w:r>
          </w:p>
        </w:tc>
        <w:tc>
          <w:tcPr>
            <w:tcW w:w="1900" w:type="dxa"/>
            <w:tcMar>
              <w:top w:w="80" w:type="dxa"/>
              <w:left w:w="120" w:type="dxa"/>
              <w:bottom w:w="80" w:type="dxa"/>
              <w:right w:w="120" w:type="dxa"/>
            </w:tcMar>
          </w:tcPr>
          <w:p w14:paraId="63E644A2" w14:textId="77777777" w:rsidR="002B416B" w:rsidRDefault="00F640E5">
            <w:pPr>
              <w:spacing w:line="280" w:lineRule="auto"/>
              <w:jc w:val="center"/>
            </w:pPr>
            <w:r>
              <w:rPr>
                <w:sz w:val="22"/>
                <w:szCs w:val="22"/>
              </w:rPr>
              <w:t>+0.0040</w:t>
            </w:r>
          </w:p>
        </w:tc>
        <w:tc>
          <w:tcPr>
            <w:tcW w:w="1900" w:type="dxa"/>
            <w:tcMar>
              <w:top w:w="80" w:type="dxa"/>
              <w:left w:w="120" w:type="dxa"/>
              <w:bottom w:w="80" w:type="dxa"/>
              <w:right w:w="120" w:type="dxa"/>
            </w:tcMar>
          </w:tcPr>
          <w:p w14:paraId="63E644A3" w14:textId="77777777" w:rsidR="002B416B" w:rsidRDefault="00F640E5">
            <w:pPr>
              <w:spacing w:line="280" w:lineRule="auto"/>
              <w:jc w:val="center"/>
            </w:pPr>
            <w:r>
              <w:rPr>
                <w:sz w:val="22"/>
                <w:szCs w:val="22"/>
              </w:rPr>
              <w:t>0.0002</w:t>
            </w:r>
          </w:p>
        </w:tc>
        <w:tc>
          <w:tcPr>
            <w:tcW w:w="2000" w:type="dxa"/>
            <w:tcMar>
              <w:top w:w="80" w:type="dxa"/>
              <w:left w:w="120" w:type="dxa"/>
              <w:bottom w:w="80" w:type="dxa"/>
              <w:right w:w="120" w:type="dxa"/>
            </w:tcMar>
          </w:tcPr>
          <w:p w14:paraId="63E644A4" w14:textId="77777777" w:rsidR="002B416B" w:rsidRDefault="00F640E5">
            <w:pPr>
              <w:spacing w:line="280" w:lineRule="auto"/>
              <w:jc w:val="center"/>
            </w:pPr>
            <w:r>
              <w:rPr>
                <w:sz w:val="22"/>
                <w:szCs w:val="22"/>
              </w:rPr>
              <w:t>&lt; 0.001</w:t>
            </w:r>
          </w:p>
        </w:tc>
      </w:tr>
      <w:tr w:rsidR="002B416B" w14:paraId="63E644AA" w14:textId="77777777">
        <w:tc>
          <w:tcPr>
            <w:tcW w:w="3200" w:type="dxa"/>
            <w:tcMar>
              <w:top w:w="80" w:type="dxa"/>
              <w:left w:w="120" w:type="dxa"/>
              <w:bottom w:w="80" w:type="dxa"/>
              <w:right w:w="120" w:type="dxa"/>
            </w:tcMar>
          </w:tcPr>
          <w:p w14:paraId="63E644A6" w14:textId="77777777" w:rsidR="002B416B" w:rsidRDefault="00F640E5">
            <w:pPr>
              <w:spacing w:line="280" w:lineRule="auto"/>
            </w:pPr>
            <w:r>
              <w:rPr>
                <w:sz w:val="22"/>
                <w:szCs w:val="22"/>
              </w:rPr>
              <w:t>Politeness</w:t>
            </w:r>
          </w:p>
        </w:tc>
        <w:tc>
          <w:tcPr>
            <w:tcW w:w="1900" w:type="dxa"/>
            <w:tcMar>
              <w:top w:w="80" w:type="dxa"/>
              <w:left w:w="120" w:type="dxa"/>
              <w:bottom w:w="80" w:type="dxa"/>
              <w:right w:w="120" w:type="dxa"/>
            </w:tcMar>
          </w:tcPr>
          <w:p w14:paraId="63E644A7" w14:textId="77777777" w:rsidR="002B416B" w:rsidRDefault="00F640E5">
            <w:pPr>
              <w:spacing w:line="280" w:lineRule="auto"/>
              <w:jc w:val="center"/>
            </w:pPr>
            <w:r>
              <w:rPr>
                <w:sz w:val="22"/>
                <w:szCs w:val="22"/>
              </w:rPr>
              <w:t>+0.0024</w:t>
            </w:r>
          </w:p>
        </w:tc>
        <w:tc>
          <w:tcPr>
            <w:tcW w:w="1900" w:type="dxa"/>
            <w:tcMar>
              <w:top w:w="80" w:type="dxa"/>
              <w:left w:w="120" w:type="dxa"/>
              <w:bottom w:w="80" w:type="dxa"/>
              <w:right w:w="120" w:type="dxa"/>
            </w:tcMar>
          </w:tcPr>
          <w:p w14:paraId="63E644A8" w14:textId="77777777" w:rsidR="002B416B" w:rsidRDefault="00F640E5">
            <w:pPr>
              <w:spacing w:line="280" w:lineRule="auto"/>
              <w:jc w:val="center"/>
            </w:pPr>
            <w:r>
              <w:rPr>
                <w:sz w:val="22"/>
                <w:szCs w:val="22"/>
              </w:rPr>
              <w:t>0.0002</w:t>
            </w:r>
          </w:p>
        </w:tc>
        <w:tc>
          <w:tcPr>
            <w:tcW w:w="2000" w:type="dxa"/>
            <w:tcMar>
              <w:top w:w="80" w:type="dxa"/>
              <w:left w:w="120" w:type="dxa"/>
              <w:bottom w:w="80" w:type="dxa"/>
              <w:right w:w="120" w:type="dxa"/>
            </w:tcMar>
          </w:tcPr>
          <w:p w14:paraId="63E644A9" w14:textId="77777777" w:rsidR="002B416B" w:rsidRDefault="00F640E5">
            <w:pPr>
              <w:spacing w:line="280" w:lineRule="auto"/>
              <w:jc w:val="center"/>
            </w:pPr>
            <w:r>
              <w:rPr>
                <w:sz w:val="22"/>
                <w:szCs w:val="22"/>
              </w:rPr>
              <w:t>&lt; 0.001</w:t>
            </w:r>
          </w:p>
        </w:tc>
      </w:tr>
      <w:tr w:rsidR="002B416B" w14:paraId="63E644AF" w14:textId="77777777">
        <w:tc>
          <w:tcPr>
            <w:tcW w:w="3200" w:type="dxa"/>
            <w:tcMar>
              <w:top w:w="80" w:type="dxa"/>
              <w:left w:w="120" w:type="dxa"/>
              <w:bottom w:w="80" w:type="dxa"/>
              <w:right w:w="120" w:type="dxa"/>
            </w:tcMar>
          </w:tcPr>
          <w:p w14:paraId="63E644AB" w14:textId="77777777" w:rsidR="002B416B" w:rsidRDefault="00F640E5">
            <w:pPr>
              <w:spacing w:line="280" w:lineRule="auto"/>
            </w:pPr>
            <w:r>
              <w:rPr>
                <w:sz w:val="22"/>
                <w:szCs w:val="22"/>
              </w:rPr>
              <w:t>Affect words</w:t>
            </w:r>
          </w:p>
        </w:tc>
        <w:tc>
          <w:tcPr>
            <w:tcW w:w="1900" w:type="dxa"/>
            <w:tcMar>
              <w:top w:w="80" w:type="dxa"/>
              <w:left w:w="120" w:type="dxa"/>
              <w:bottom w:w="80" w:type="dxa"/>
              <w:right w:w="120" w:type="dxa"/>
            </w:tcMar>
          </w:tcPr>
          <w:p w14:paraId="63E644AC" w14:textId="77777777" w:rsidR="002B416B" w:rsidRDefault="00F640E5">
            <w:pPr>
              <w:spacing w:line="280" w:lineRule="auto"/>
              <w:jc w:val="center"/>
            </w:pPr>
            <w:r>
              <w:rPr>
                <w:sz w:val="22"/>
                <w:szCs w:val="22"/>
              </w:rPr>
              <w:t>+0.0011</w:t>
            </w:r>
          </w:p>
        </w:tc>
        <w:tc>
          <w:tcPr>
            <w:tcW w:w="1900" w:type="dxa"/>
            <w:tcMar>
              <w:top w:w="80" w:type="dxa"/>
              <w:left w:w="120" w:type="dxa"/>
              <w:bottom w:w="80" w:type="dxa"/>
              <w:right w:w="120" w:type="dxa"/>
            </w:tcMar>
          </w:tcPr>
          <w:p w14:paraId="63E644AD" w14:textId="77777777" w:rsidR="002B416B" w:rsidRDefault="00F640E5">
            <w:pPr>
              <w:spacing w:line="280" w:lineRule="auto"/>
              <w:jc w:val="center"/>
            </w:pPr>
            <w:r>
              <w:rPr>
                <w:sz w:val="22"/>
                <w:szCs w:val="22"/>
              </w:rPr>
              <w:t>0.0001</w:t>
            </w:r>
          </w:p>
        </w:tc>
        <w:tc>
          <w:tcPr>
            <w:tcW w:w="2000" w:type="dxa"/>
            <w:tcMar>
              <w:top w:w="80" w:type="dxa"/>
              <w:left w:w="120" w:type="dxa"/>
              <w:bottom w:w="80" w:type="dxa"/>
              <w:right w:w="120" w:type="dxa"/>
            </w:tcMar>
          </w:tcPr>
          <w:p w14:paraId="63E644AE" w14:textId="77777777" w:rsidR="002B416B" w:rsidRDefault="00F640E5">
            <w:pPr>
              <w:spacing w:line="280" w:lineRule="auto"/>
              <w:jc w:val="center"/>
            </w:pPr>
            <w:r>
              <w:rPr>
                <w:sz w:val="22"/>
                <w:szCs w:val="22"/>
              </w:rPr>
              <w:t>&lt; 0.001</w:t>
            </w:r>
          </w:p>
        </w:tc>
      </w:tr>
      <w:tr w:rsidR="002B416B" w14:paraId="63E644B4" w14:textId="77777777">
        <w:tc>
          <w:tcPr>
            <w:tcW w:w="3200" w:type="dxa"/>
            <w:tcMar>
              <w:top w:w="80" w:type="dxa"/>
              <w:left w:w="120" w:type="dxa"/>
              <w:bottom w:w="80" w:type="dxa"/>
              <w:right w:w="120" w:type="dxa"/>
            </w:tcMar>
          </w:tcPr>
          <w:p w14:paraId="63E644B0" w14:textId="77777777" w:rsidR="002B416B" w:rsidRDefault="00F640E5">
            <w:pPr>
              <w:spacing w:line="280" w:lineRule="auto"/>
            </w:pPr>
            <w:r>
              <w:rPr>
                <w:sz w:val="22"/>
                <w:szCs w:val="22"/>
              </w:rPr>
              <w:t>Hedges</w:t>
            </w:r>
          </w:p>
        </w:tc>
        <w:tc>
          <w:tcPr>
            <w:tcW w:w="1900" w:type="dxa"/>
            <w:tcMar>
              <w:top w:w="80" w:type="dxa"/>
              <w:left w:w="120" w:type="dxa"/>
              <w:bottom w:w="80" w:type="dxa"/>
              <w:right w:w="120" w:type="dxa"/>
            </w:tcMar>
          </w:tcPr>
          <w:p w14:paraId="63E644B1" w14:textId="77777777" w:rsidR="002B416B" w:rsidRDefault="00F640E5">
            <w:pPr>
              <w:spacing w:line="280" w:lineRule="auto"/>
              <w:jc w:val="center"/>
            </w:pPr>
            <w:r>
              <w:rPr>
                <w:sz w:val="22"/>
                <w:szCs w:val="22"/>
              </w:rPr>
              <w:t>+0.0007</w:t>
            </w:r>
          </w:p>
        </w:tc>
        <w:tc>
          <w:tcPr>
            <w:tcW w:w="1900" w:type="dxa"/>
            <w:tcMar>
              <w:top w:w="80" w:type="dxa"/>
              <w:left w:w="120" w:type="dxa"/>
              <w:bottom w:w="80" w:type="dxa"/>
              <w:right w:w="120" w:type="dxa"/>
            </w:tcMar>
          </w:tcPr>
          <w:p w14:paraId="63E644B2" w14:textId="77777777" w:rsidR="002B416B" w:rsidRDefault="00F640E5">
            <w:pPr>
              <w:spacing w:line="280" w:lineRule="auto"/>
              <w:jc w:val="center"/>
            </w:pPr>
            <w:r>
              <w:rPr>
                <w:sz w:val="22"/>
                <w:szCs w:val="22"/>
              </w:rPr>
              <w:t>0.0001</w:t>
            </w:r>
          </w:p>
        </w:tc>
        <w:tc>
          <w:tcPr>
            <w:tcW w:w="2000" w:type="dxa"/>
            <w:tcMar>
              <w:top w:w="80" w:type="dxa"/>
              <w:left w:w="120" w:type="dxa"/>
              <w:bottom w:w="80" w:type="dxa"/>
              <w:right w:w="120" w:type="dxa"/>
            </w:tcMar>
          </w:tcPr>
          <w:p w14:paraId="63E644B3" w14:textId="77777777" w:rsidR="002B416B" w:rsidRDefault="00F640E5">
            <w:pPr>
              <w:spacing w:line="280" w:lineRule="auto"/>
              <w:jc w:val="center"/>
            </w:pPr>
            <w:r>
              <w:rPr>
                <w:sz w:val="22"/>
                <w:szCs w:val="22"/>
              </w:rPr>
              <w:t>&lt; 0.001</w:t>
            </w:r>
          </w:p>
        </w:tc>
      </w:tr>
      <w:tr w:rsidR="002B416B" w14:paraId="63E644B9" w14:textId="77777777">
        <w:tc>
          <w:tcPr>
            <w:tcW w:w="3200" w:type="dxa"/>
            <w:tcMar>
              <w:top w:w="80" w:type="dxa"/>
              <w:left w:w="120" w:type="dxa"/>
              <w:bottom w:w="80" w:type="dxa"/>
              <w:right w:w="120" w:type="dxa"/>
            </w:tcMar>
          </w:tcPr>
          <w:p w14:paraId="63E644B5" w14:textId="77777777" w:rsidR="002B416B" w:rsidRDefault="00F640E5">
            <w:pPr>
              <w:spacing w:line="280" w:lineRule="auto"/>
            </w:pPr>
            <w:r>
              <w:rPr>
                <w:sz w:val="22"/>
                <w:szCs w:val="22"/>
              </w:rPr>
              <w:t>Analytic markers</w:t>
            </w:r>
          </w:p>
        </w:tc>
        <w:tc>
          <w:tcPr>
            <w:tcW w:w="1900" w:type="dxa"/>
            <w:tcMar>
              <w:top w:w="80" w:type="dxa"/>
              <w:left w:w="120" w:type="dxa"/>
              <w:bottom w:w="80" w:type="dxa"/>
              <w:right w:w="120" w:type="dxa"/>
            </w:tcMar>
          </w:tcPr>
          <w:p w14:paraId="63E644B6" w14:textId="77777777" w:rsidR="002B416B" w:rsidRDefault="00F640E5">
            <w:pPr>
              <w:spacing w:line="280" w:lineRule="auto"/>
              <w:jc w:val="center"/>
            </w:pPr>
            <w:r>
              <w:rPr>
                <w:sz w:val="22"/>
                <w:szCs w:val="22"/>
              </w:rPr>
              <w:t>−0.0031</w:t>
            </w:r>
          </w:p>
        </w:tc>
        <w:tc>
          <w:tcPr>
            <w:tcW w:w="1900" w:type="dxa"/>
            <w:tcMar>
              <w:top w:w="80" w:type="dxa"/>
              <w:left w:w="120" w:type="dxa"/>
              <w:bottom w:w="80" w:type="dxa"/>
              <w:right w:w="120" w:type="dxa"/>
            </w:tcMar>
          </w:tcPr>
          <w:p w14:paraId="63E644B7" w14:textId="77777777" w:rsidR="002B416B" w:rsidRDefault="00F640E5">
            <w:pPr>
              <w:spacing w:line="280" w:lineRule="auto"/>
              <w:jc w:val="center"/>
            </w:pPr>
            <w:r>
              <w:rPr>
                <w:sz w:val="22"/>
                <w:szCs w:val="22"/>
              </w:rPr>
              <w:t>0.0006</w:t>
            </w:r>
          </w:p>
        </w:tc>
        <w:tc>
          <w:tcPr>
            <w:tcW w:w="2000" w:type="dxa"/>
            <w:tcMar>
              <w:top w:w="80" w:type="dxa"/>
              <w:left w:w="120" w:type="dxa"/>
              <w:bottom w:w="80" w:type="dxa"/>
              <w:right w:w="120" w:type="dxa"/>
            </w:tcMar>
          </w:tcPr>
          <w:p w14:paraId="63E644B8" w14:textId="77777777" w:rsidR="002B416B" w:rsidRDefault="00F640E5">
            <w:pPr>
              <w:spacing w:line="280" w:lineRule="auto"/>
              <w:jc w:val="center"/>
            </w:pPr>
            <w:r>
              <w:rPr>
                <w:sz w:val="22"/>
                <w:szCs w:val="22"/>
              </w:rPr>
              <w:t>&lt; 0.001</w:t>
            </w:r>
          </w:p>
        </w:tc>
      </w:tr>
    </w:tbl>
    <w:p w14:paraId="7F3AD833" w14:textId="77777777" w:rsidR="00DA6664" w:rsidRDefault="00DA6664">
      <w:pPr>
        <w:spacing w:after="200" w:line="360" w:lineRule="auto"/>
        <w:jc w:val="both"/>
      </w:pPr>
    </w:p>
    <w:p w14:paraId="63E644BA" w14:textId="6B9CF39E" w:rsidR="002B416B" w:rsidRDefault="00F640E5">
      <w:pPr>
        <w:spacing w:after="200" w:line="360" w:lineRule="auto"/>
        <w:jc w:val="both"/>
      </w:pPr>
      <w:r>
        <w:t xml:space="preserve">All eight components mirror in the predicted direction at p &lt; 0.001 under conversation FE. The strongest component-level signal is in aggregated social-content lexicon hits (Empath social), followed by pronoun use; the weakest is in hedge words and affect words, though both remain significant at this sample size. The negative coefficient on analytic markers is the cleanest </w:t>
      </w:r>
      <w:proofErr w:type="gramStart"/>
      <w:r>
        <w:t>single-component</w:t>
      </w:r>
      <w:proofErr w:type="gramEnd"/>
      <w:r>
        <w:t xml:space="preserve"> </w:t>
      </w:r>
      <w:proofErr w:type="gramStart"/>
      <w:r>
        <w:t>finding:</w:t>
      </w:r>
      <w:proofErr w:type="gramEnd"/>
      <w:r>
        <w:t xml:space="preserve"> as users frame the model more socially, the model's response becomes measurably less analytic. The coordination of effects across all eight components — </w:t>
      </w:r>
      <w:proofErr w:type="gramStart"/>
      <w:r>
        <w:t>none null</w:t>
      </w:r>
      <w:proofErr w:type="gramEnd"/>
      <w:r>
        <w:t>, none reversed in sign — indicates accommodation is a coherent register-wide phenomenon rather than an artifact concentrated in one or two features. This coordination supports the construct-validity argument advanced in Section 3.3.</w:t>
      </w:r>
    </w:p>
    <w:p w14:paraId="63E644BB" w14:textId="77777777" w:rsidR="002B416B" w:rsidRDefault="00F640E5">
      <w:pPr>
        <w:pStyle w:val="Balk1"/>
        <w:spacing w:before="360" w:after="200"/>
      </w:pPr>
      <w:r>
        <w:rPr>
          <w:b/>
          <w:bCs/>
          <w:sz w:val="28"/>
          <w:szCs w:val="28"/>
        </w:rPr>
        <w:t>5. Discussion</w:t>
      </w:r>
    </w:p>
    <w:p w14:paraId="63E644BC" w14:textId="77777777" w:rsidR="002B416B" w:rsidRDefault="00F640E5">
      <w:pPr>
        <w:pStyle w:val="Balk2"/>
        <w:spacing w:before="280" w:after="160"/>
      </w:pPr>
      <w:r>
        <w:rPr>
          <w:b/>
          <w:bCs/>
        </w:rPr>
        <w:t>5.1 Summary of Findings</w:t>
      </w:r>
    </w:p>
    <w:p w14:paraId="63E644BD" w14:textId="77777777" w:rsidR="002B416B" w:rsidRDefault="00F640E5">
      <w:pPr>
        <w:spacing w:after="200" w:line="360" w:lineRule="auto"/>
        <w:jc w:val="both"/>
      </w:pPr>
      <w:r>
        <w:t xml:space="preserve">We </w:t>
      </w:r>
      <w:proofErr w:type="gramStart"/>
      <w:r>
        <w:t>report</w:t>
      </w:r>
      <w:proofErr w:type="gramEnd"/>
      <w:r>
        <w:t xml:space="preserve"> three findings. First, in real human-LLM conversational data at substantial scale (n = 86,463 turn-level observations from 19,999 conversations), user framing and response register are strongly correlated cross-sectionally (β = 0.33, p &lt; 0.001). Second, this cross-sectional correlation decomposes into a substantial between-conversation selection component and a within-conversation responsiveness component: under conversation fixed effects — which absorb every time-invariant property of a conversation, including user, topic, and conversational context — the framing coefficient attenuates by approximately 40% to β = 0.20 but remains highly significant (p </w:t>
      </w:r>
      <w:r>
        <w:lastRenderedPageBreak/>
        <w:t>&lt; 10⁻¹⁸³). Third, the within-conversation responsive component is driven by current-turn user framing rather than autoregressive maintenance of the model's prior register: a negative lag coefficient (λ = −0.035, p &lt; 10⁻⁵) indicates the model weights current user input over its prior tone.</w:t>
      </w:r>
    </w:p>
    <w:p w14:paraId="63E644BE" w14:textId="77777777" w:rsidR="002B416B" w:rsidRDefault="00F640E5">
      <w:pPr>
        <w:pStyle w:val="Balk2"/>
        <w:spacing w:before="280" w:after="160"/>
      </w:pPr>
      <w:r>
        <w:rPr>
          <w:b/>
          <w:bCs/>
        </w:rPr>
        <w:t>5.2 The Substantive Significance of the Decomposition</w:t>
      </w:r>
    </w:p>
    <w:p w14:paraId="63E644BF" w14:textId="77777777" w:rsidR="002B416B" w:rsidRDefault="00F640E5">
      <w:pPr>
        <w:spacing w:after="200" w:line="360" w:lineRule="auto"/>
        <w:jc w:val="both"/>
      </w:pPr>
      <w:r>
        <w:t>The headline number — that approximately 40% of cross-sectionally apparent LLM register accommodation is between-conversation selection rather than within-conversation responsiveness — has implications for how observational findings about LLM behavior should be interpreted, and for how concerns about sycophancy and echo chambers should be calibrated.</w:t>
      </w:r>
    </w:p>
    <w:p w14:paraId="63E644C0" w14:textId="77777777" w:rsidR="002B416B" w:rsidRDefault="00F640E5">
      <w:pPr>
        <w:spacing w:after="200" w:line="360" w:lineRule="auto"/>
        <w:jc w:val="both"/>
      </w:pPr>
      <w:r>
        <w:t>A naive reading of cross-sectional accommodation findings would attribute the entire observed effect to LLM responsiveness, supporting strong claims that LLMs adapt to users and amplifying concerns that this adaptation produces sycophantic or echo-chamber dynamics. Our decomposition suggests this reading materially overstates LLM responsiveness. A substantial portion of what casual observation would attribute to "the model adapting to the user" is in fact the structural fact that different kinds of users initiate different kinds of conversations: a user who opens a chat with "Hey, I'm feeling kind of stuck on this presentation, can we think through it together?" is having a different kind of conversation — and will receive a differently-toned set of responses — than a user who opens with "Generate a Python function to compute the nth Fibonacci number." Both observations contribute to apparent mirroring in cross-sectional data, but neither requires the model to be doing anything beyond processing the prompt it received.</w:t>
      </w:r>
    </w:p>
    <w:p w14:paraId="63E644C1" w14:textId="77777777" w:rsidR="002B416B" w:rsidRDefault="00F640E5">
      <w:pPr>
        <w:spacing w:after="200" w:line="360" w:lineRule="auto"/>
        <w:jc w:val="both"/>
      </w:pPr>
      <w:r>
        <w:t xml:space="preserve">The remaining within-conversation, turn-to-turn responsiveness component is real, statistically robust, and identifiable from observational data only via the kind of within-conversation FE design we employ here. Synthetic-completion designs (Rao et al., 2025) cleanly identify this component by construction but cannot provide its proportional share of total apparent accommodation. The two methodologies are complementary: synthetic designs establish that LLMs do accommodate when they are the source of accommodation; observational decomposition establishes how much of the accommodation that observers </w:t>
      </w:r>
      <w:proofErr w:type="gramStart"/>
      <w:r>
        <w:t>actually see</w:t>
      </w:r>
      <w:proofErr w:type="gramEnd"/>
      <w:r>
        <w:t xml:space="preserve"> in real interaction is the LLM versus the structural characteristics of who has which conversations.</w:t>
      </w:r>
    </w:p>
    <w:p w14:paraId="63E644C2" w14:textId="77777777" w:rsidR="002B416B" w:rsidRDefault="00F640E5">
      <w:pPr>
        <w:spacing w:after="200" w:line="360" w:lineRule="auto"/>
        <w:jc w:val="both"/>
      </w:pPr>
      <w:r>
        <w:t xml:space="preserve">For sycophancy concerns specifically, this decomposition argues for moderate calibration. The genuinely responsive component is real and substantively meaningful, but it is meaningfully </w:t>
      </w:r>
      <w:r>
        <w:lastRenderedPageBreak/>
        <w:t xml:space="preserve">smaller than cross-sectional observation would suggest. Design and policy responses calibrated to the cross-sectional magnitude </w:t>
      </w:r>
      <w:proofErr w:type="gramStart"/>
      <w:r>
        <w:t>would over-weight</w:t>
      </w:r>
      <w:proofErr w:type="gramEnd"/>
      <w:r>
        <w:t xml:space="preserve"> the LLM's contribution to observable interaction patterns; responses calibrated to the within-conversation magnitude would more accurately target what the model is </w:t>
      </w:r>
      <w:proofErr w:type="gramStart"/>
      <w:r>
        <w:t>actually doing</w:t>
      </w:r>
      <w:proofErr w:type="gramEnd"/>
      <w:r>
        <w:t>.</w:t>
      </w:r>
    </w:p>
    <w:p w14:paraId="63E644C3" w14:textId="77777777" w:rsidR="002B416B" w:rsidRDefault="00F640E5">
      <w:pPr>
        <w:pStyle w:val="Balk2"/>
        <w:spacing w:before="280" w:after="160"/>
      </w:pPr>
      <w:r>
        <w:rPr>
          <w:b/>
          <w:bCs/>
        </w:rPr>
        <w:t>5.3 The Lag Finding</w:t>
      </w:r>
    </w:p>
    <w:p w14:paraId="63E644C4" w14:textId="77777777" w:rsidR="002B416B" w:rsidRDefault="00F640E5">
      <w:pPr>
        <w:spacing w:after="200" w:line="360" w:lineRule="auto"/>
        <w:jc w:val="both"/>
      </w:pPr>
      <w:r>
        <w:t>The negative coefficient on lagged register provides an additional substantive specification of the within-conversation responsiveness component. Under a model where LLM responses inherit register from preceding turns — through the same conversational history that the model conditions on at each generation step — we would expect λ &gt; 0: prior affiliative register would predict current affiliative register, holding current user framing constant. The observed λ &lt; 0 is inconsistent with that pattern.</w:t>
      </w:r>
    </w:p>
    <w:p w14:paraId="63E644C5" w14:textId="77777777" w:rsidR="002B416B" w:rsidRDefault="00F640E5">
      <w:pPr>
        <w:spacing w:after="200" w:line="360" w:lineRule="auto"/>
        <w:jc w:val="both"/>
      </w:pPr>
      <w:r>
        <w:t xml:space="preserve">The substantive reading is that the model attends to the current user prompt as the primary input to register selection on each turn, rather than maintaining a tonal trajectory established earlier. This is consistent with the architecture of transformer-based LLMs, which condition on the full conversational context at each turn but can in principle weight current input strongly. Whether the slightly negative point estimate reflects active mean-reversion or simply the absence of autoregressive momentum is not </w:t>
      </w:r>
      <w:proofErr w:type="spellStart"/>
      <w:r>
        <w:t>adjudicable</w:t>
      </w:r>
      <w:proofErr w:type="spellEnd"/>
      <w:r>
        <w:t xml:space="preserve"> from this analysis. Either reading is consistent with the broader characterization: the within-conversation accommodation component is responsive rather than inertial.</w:t>
      </w:r>
    </w:p>
    <w:p w14:paraId="63E644C6" w14:textId="77777777" w:rsidR="002B416B" w:rsidRDefault="00F640E5">
      <w:pPr>
        <w:pStyle w:val="Balk2"/>
        <w:spacing w:before="280" w:after="160"/>
      </w:pPr>
      <w:r>
        <w:rPr>
          <w:b/>
          <w:bCs/>
        </w:rPr>
        <w:t>5.4 Component-Level Coordination</w:t>
      </w:r>
    </w:p>
    <w:p w14:paraId="63E644C7" w14:textId="77777777" w:rsidR="002B416B" w:rsidRDefault="00F640E5">
      <w:pPr>
        <w:spacing w:after="200" w:line="360" w:lineRule="auto"/>
        <w:jc w:val="both"/>
      </w:pPr>
      <w:r>
        <w:t xml:space="preserve">The fact that all eight register components mirror in the predicted direction (Table </w:t>
      </w:r>
      <w:proofErr w:type="gramStart"/>
      <w:r>
        <w:t>2) —</w:t>
      </w:r>
      <w:proofErr w:type="gramEnd"/>
      <w:r>
        <w:t xml:space="preserve"> </w:t>
      </w:r>
      <w:proofErr w:type="gramStart"/>
      <w:r>
        <w:t>none null</w:t>
      </w:r>
      <w:proofErr w:type="gramEnd"/>
      <w:r>
        <w:t>, none sign-reversed — has implications for the construct interpretation. Accommodation is not concentrated in one or two surface features but is coordinated across the response register as a whole: pronouns, social content, politeness, hedges, affect, relational verbs all increase together, while analytic markers (articles, prepositions) decrease. This coordinated pattern is what would be expected if the model were operating on a coherent register-level signal rather than mirroring individual lexical features. A reviewer might reasonably ask whether the composite-level result is an artifact of one or two strong components dominating the average; Table 2 shows it is not.</w:t>
      </w:r>
    </w:p>
    <w:p w14:paraId="63E644C8" w14:textId="77777777" w:rsidR="002B416B" w:rsidRDefault="00F640E5">
      <w:pPr>
        <w:pStyle w:val="Balk2"/>
        <w:spacing w:before="280" w:after="160"/>
      </w:pPr>
      <w:r>
        <w:rPr>
          <w:b/>
          <w:bCs/>
        </w:rPr>
        <w:lastRenderedPageBreak/>
        <w:t>5.5 Limitations</w:t>
      </w:r>
    </w:p>
    <w:p w14:paraId="63E644C9" w14:textId="77777777" w:rsidR="002B416B" w:rsidRDefault="00F640E5">
      <w:pPr>
        <w:spacing w:after="200" w:line="360" w:lineRule="auto"/>
        <w:jc w:val="both"/>
      </w:pPr>
      <w:r>
        <w:t>Six limitations bound the interpretation of these results.</w:t>
      </w:r>
    </w:p>
    <w:p w14:paraId="63E644CA" w14:textId="77777777" w:rsidR="002B416B" w:rsidRDefault="00F640E5">
      <w:pPr>
        <w:spacing w:after="200" w:line="360" w:lineRule="auto"/>
        <w:jc w:val="both"/>
      </w:pPr>
      <w:r>
        <w:rPr>
          <w:b/>
          <w:bCs/>
        </w:rPr>
        <w:t xml:space="preserve">Single-vendor, single-generation data. </w:t>
      </w:r>
      <w:r>
        <w:t>All conversations in WildChat-1M involve OpenAI's gpt-3.5-turbo-0301 and gpt-4-0314 models, both released in early 2023 and trained under the same RLHF generation. Our results characterize accommodation in these specific models; generalization to other model families (</w:t>
      </w:r>
      <w:proofErr w:type="spellStart"/>
      <w:r>
        <w:t>Anthropic's</w:t>
      </w:r>
      <w:proofErr w:type="spellEnd"/>
      <w:r>
        <w:t xml:space="preserve"> Claude, Google's Gemini, open-weight models) or to subsequent training generations cannot be made from this corpus. Extension to multi-vendor data (e.g., LMSYS-Chat-1M; Zheng et al., 2024) is the most important next step for establishing the generality of the decomposition. Within the present analysis, the conversation FE design also structurally precludes estimation of the </w:t>
      </w:r>
      <w:proofErr w:type="spellStart"/>
      <w:r>
        <w:t>model_version</w:t>
      </w:r>
      <w:proofErr w:type="spellEnd"/>
      <w:r>
        <w:t xml:space="preserve"> × framing interaction term, since model is constant within conversation.</w:t>
      </w:r>
    </w:p>
    <w:p w14:paraId="63E644CB" w14:textId="77777777" w:rsidR="002B416B" w:rsidRDefault="00F640E5">
      <w:pPr>
        <w:spacing w:after="200" w:line="360" w:lineRule="auto"/>
        <w:jc w:val="both"/>
      </w:pPr>
      <w:r>
        <w:rPr>
          <w:b/>
          <w:bCs/>
        </w:rPr>
        <w:t xml:space="preserve">Bag-of-words measurement. </w:t>
      </w:r>
      <w:r>
        <w:t xml:space="preserve">The lexicon-based composite cannot perform word-sense disambiguation. Visual inspection of the highest-scoring response — a numbered list of "[species] care" phrases that scored at the extreme tail of the register distribution — confirmed the predictable failure mode: the word "care" as a noun denoting husbandry triggers the same affect-lexicon hit as "care" as a verb denoting concern. Such cases are infrequent (the 99th percentile of the register distribution is at +2.11 standard deviations, far below the +9.39 outlier) and have negligible influence on the regression results, but they bound the construct interpretation of the composite. </w:t>
      </w:r>
      <w:proofErr w:type="gramStart"/>
      <w:r>
        <w:t>Robustness</w:t>
      </w:r>
      <w:proofErr w:type="gramEnd"/>
      <w:r>
        <w:t xml:space="preserve"> checks using the validated LIWC-22 instrument are planned for the extended version of this work.</w:t>
      </w:r>
    </w:p>
    <w:p w14:paraId="63E644CC" w14:textId="77777777" w:rsidR="002B416B" w:rsidRDefault="00F640E5">
      <w:pPr>
        <w:spacing w:after="200" w:line="360" w:lineRule="auto"/>
        <w:jc w:val="both"/>
      </w:pPr>
      <w:r>
        <w:rPr>
          <w:b/>
          <w:bCs/>
        </w:rPr>
        <w:t xml:space="preserve">Empirical convergent validity </w:t>
      </w:r>
      <w:proofErr w:type="gramStart"/>
      <w:r>
        <w:rPr>
          <w:b/>
          <w:bCs/>
        </w:rPr>
        <w:t>not</w:t>
      </w:r>
      <w:proofErr w:type="gramEnd"/>
      <w:r>
        <w:rPr>
          <w:b/>
          <w:bCs/>
        </w:rPr>
        <w:t xml:space="preserve"> yet assessed. </w:t>
      </w:r>
      <w:r>
        <w:t xml:space="preserve">Construct validity for the composite currently rests on construction logic (theoretically grounded features, symmetric application to prompts and responses, coherent within-conversation movement of all eight components) rather than on an empirical check against external </w:t>
      </w:r>
      <w:proofErr w:type="gramStart"/>
      <w:r>
        <w:t>raters</w:t>
      </w:r>
      <w:proofErr w:type="gramEnd"/>
      <w:r>
        <w:t>. We plan to add convergent validity tests against LIWC-22, against human-rated construct judgments, and against LLM-judge ratings for the extended version of this work.</w:t>
      </w:r>
    </w:p>
    <w:p w14:paraId="63E644CD" w14:textId="77777777" w:rsidR="002B416B" w:rsidRDefault="00F640E5">
      <w:pPr>
        <w:spacing w:after="200" w:line="360" w:lineRule="auto"/>
        <w:jc w:val="both"/>
      </w:pPr>
      <w:r>
        <w:rPr>
          <w:b/>
          <w:bCs/>
        </w:rPr>
        <w:t xml:space="preserve">Observational identification. </w:t>
      </w:r>
      <w:r>
        <w:t>The within-conversation FE design provides the strongest causal identification available from observational data, but it remains observational. Two threats to causal interpretation persist after conversation FE: (</w:t>
      </w:r>
      <w:proofErr w:type="spellStart"/>
      <w:r>
        <w:t>i</w:t>
      </w:r>
      <w:proofErr w:type="spellEnd"/>
      <w:r>
        <w:t xml:space="preserve">) reverse causality within turn structure — the user's </w:t>
      </w:r>
      <w:r>
        <w:lastRenderedPageBreak/>
        <w:t>prompt at turn t is itself partly responsive to the model's response at turn t−1, raising the possibility that the framing coefficient partly captures user accommodation to model register rather than (only) the reverse; (ii) shared lexical machinery between framing and register composites, which could mechanically inflate within-topic correlation even in the absence of behavioral mirroring. The autoregressive specification in Specification D partially addresses (</w:t>
      </w:r>
      <w:proofErr w:type="spellStart"/>
      <w:r>
        <w:t>i</w:t>
      </w:r>
      <w:proofErr w:type="spellEnd"/>
      <w:r>
        <w:t>), and the per-component analysis (Table 2) partially addresses (ii) by showing the coordinated pattern across feature dimensions, but a fully causal identification would require experimental manipulation of framing while holding semantic content constant — a counterfactual rewrite design we are developing as a follow-up.</w:t>
      </w:r>
    </w:p>
    <w:p w14:paraId="63E644CE" w14:textId="77777777" w:rsidR="002B416B" w:rsidRDefault="00F640E5">
      <w:pPr>
        <w:spacing w:after="200" w:line="360" w:lineRule="auto"/>
        <w:jc w:val="both"/>
      </w:pPr>
      <w:r>
        <w:rPr>
          <w:b/>
          <w:bCs/>
        </w:rPr>
        <w:t xml:space="preserve">Generalization beyond English. </w:t>
      </w:r>
      <w:r>
        <w:t>Our analysis is restricted to English-language conversations, following the language metadata in WildChat-1M. Cross-linguistic accommodation patterns may differ substantively, particularly in languages where pronominal and politeness systems (e.g., T-V distinctions, honorifics) carry richer interpersonal information than the English features we measure.</w:t>
      </w:r>
    </w:p>
    <w:p w14:paraId="63E644CF" w14:textId="77777777" w:rsidR="002B416B" w:rsidRDefault="00F640E5">
      <w:pPr>
        <w:spacing w:after="200" w:line="360" w:lineRule="auto"/>
        <w:jc w:val="both"/>
      </w:pPr>
      <w:r>
        <w:rPr>
          <w:b/>
          <w:bCs/>
        </w:rPr>
        <w:t xml:space="preserve">Imperative-as-tool-marker assumption. </w:t>
      </w:r>
      <w:r>
        <w:t>Section 3.2 acknowledged that the imperative-vs-question distinction is partly a politeness-register feature rather than a pure tool-vs-social distinction. Although the composite design mitigates this through multi-feature averaging, the imperative feature itself remains an imperfect proxy for tool framing. Future work will explore composite specifications that drop or down-weight imperatives to assess sensitivity to this assumption.</w:t>
      </w:r>
    </w:p>
    <w:p w14:paraId="63E644D0" w14:textId="77777777" w:rsidR="002B416B" w:rsidRDefault="00F640E5">
      <w:pPr>
        <w:pStyle w:val="Balk1"/>
        <w:spacing w:before="360" w:after="200"/>
      </w:pPr>
      <w:r>
        <w:rPr>
          <w:b/>
          <w:bCs/>
          <w:sz w:val="28"/>
          <w:szCs w:val="28"/>
        </w:rPr>
        <w:t>6. Conclusion</w:t>
      </w:r>
    </w:p>
    <w:p w14:paraId="63E644D1" w14:textId="77777777" w:rsidR="002B416B" w:rsidRDefault="00F640E5">
      <w:pPr>
        <w:spacing w:after="200" w:line="360" w:lineRule="auto"/>
        <w:jc w:val="both"/>
      </w:pPr>
      <w:r>
        <w:t xml:space="preserve">We document register accommodation in 86,463 turn-level observations of real human-LLM interaction and provide a decomposition that observational analyses of LLM behavior have not previously offered: approximately 40% of cross-sectionally apparent mirroring is between-conversation selection (chatty users in chatty conversations), with the larger remainder reflecting genuine within-conversation responsiveness driven by current user framing rather than autoregressive maintenance of the model's prior register. The within-conversation effect is real and statistically robust (β = 0.20, p &lt; 10⁻¹⁸³) but substantially smaller than the cross-sectional estimate </w:t>
      </w:r>
      <w:r>
        <w:lastRenderedPageBreak/>
        <w:t>(β = 0.33), suggesting that observational findings about LLM accommodation should be interpreted with the selection-vs-responsiveness decomposition in mind.</w:t>
      </w:r>
    </w:p>
    <w:p w14:paraId="63E644D2" w14:textId="77777777" w:rsidR="002B416B" w:rsidRDefault="00F640E5">
      <w:pPr>
        <w:spacing w:after="200" w:line="360" w:lineRule="auto"/>
        <w:jc w:val="both"/>
      </w:pPr>
      <w:r>
        <w:t xml:space="preserve">The decomposition has practical implications. Concerns about LLM sycophancy and echo-chamber dynamics, which rest on assumptions about how strongly models adapt to users, should be calibrated to within-conversation magnitudes rather than cross-sectional ones. Design and policy responses targeted at the cross-sectional magnitude would </w:t>
      </w:r>
      <w:proofErr w:type="gramStart"/>
      <w:r>
        <w:t>over-weight</w:t>
      </w:r>
      <w:proofErr w:type="gramEnd"/>
      <w:r>
        <w:t xml:space="preserve"> the model's contribution and </w:t>
      </w:r>
      <w:proofErr w:type="gramStart"/>
      <w:r>
        <w:t>under-weight</w:t>
      </w:r>
      <w:proofErr w:type="gramEnd"/>
      <w:r>
        <w:t xml:space="preserve"> the structural fact that different users initiate different kinds of conversations. The genuinely responsive component is meaningful and worth attending to, but it is meaningfully smaller than casual observation would suggest.</w:t>
      </w:r>
    </w:p>
    <w:p w14:paraId="005B874E" w14:textId="2124D0A0" w:rsidR="00DA6664" w:rsidRDefault="00F640E5">
      <w:pPr>
        <w:spacing w:after="200" w:line="360" w:lineRule="auto"/>
        <w:jc w:val="both"/>
      </w:pPr>
      <w:r>
        <w:t xml:space="preserve">Future work should extend the decomposition to multi-vendor and multi-generation data, validate the lexical composite against LIWC-22 and human </w:t>
      </w:r>
      <w:proofErr w:type="gramStart"/>
      <w:r>
        <w:t>raters</w:t>
      </w:r>
      <w:proofErr w:type="gramEnd"/>
      <w:r>
        <w:t>, and pursue experimental identification through counterfactual prompt rewrites. The combination of observational decomposition (this paper) and experimental identification (a planned follow-up) would together provide a more complete picture of register accommodation in human-LLM interaction at both ecological-validity and causal-identification ends of the methodological spectrum.</w:t>
      </w:r>
    </w:p>
    <w:p w14:paraId="63E644D4" w14:textId="77777777" w:rsidR="002B416B" w:rsidRDefault="00F640E5">
      <w:pPr>
        <w:pStyle w:val="Balk1"/>
        <w:spacing w:before="360" w:after="200"/>
      </w:pPr>
      <w:r>
        <w:rPr>
          <w:b/>
          <w:bCs/>
          <w:sz w:val="28"/>
          <w:szCs w:val="28"/>
        </w:rPr>
        <w:t>Code and Data Availability</w:t>
      </w:r>
    </w:p>
    <w:p w14:paraId="63E644D5" w14:textId="77777777" w:rsidR="002B416B" w:rsidRDefault="00F640E5">
      <w:pPr>
        <w:spacing w:after="200" w:line="360" w:lineRule="auto"/>
        <w:jc w:val="both"/>
      </w:pPr>
      <w:r>
        <w:t>All analysis code, including the lexicon-based measurement module (</w:t>
      </w:r>
      <w:r>
        <w:rPr>
          <w:rFonts w:ascii="Courier New" w:eastAsia="Courier New" w:hAnsi="Courier New" w:cs="Courier New"/>
          <w:sz w:val="22"/>
          <w:szCs w:val="22"/>
        </w:rPr>
        <w:t>measurement.py</w:t>
      </w:r>
      <w:r>
        <w:t>), the data pull and feature extraction pipeline (</w:t>
      </w:r>
      <w:r>
        <w:rPr>
          <w:rFonts w:ascii="Courier New" w:eastAsia="Courier New" w:hAnsi="Courier New" w:cs="Courier New"/>
          <w:sz w:val="22"/>
          <w:szCs w:val="22"/>
        </w:rPr>
        <w:t>run_production.py</w:t>
      </w:r>
      <w:r>
        <w:t>), and the regression analysis script (</w:t>
      </w:r>
      <w:r>
        <w:rPr>
          <w:rFonts w:ascii="Courier New" w:eastAsia="Courier New" w:hAnsi="Courier New" w:cs="Courier New"/>
          <w:sz w:val="22"/>
          <w:szCs w:val="22"/>
        </w:rPr>
        <w:t>run_regressions.py</w:t>
      </w:r>
      <w:r>
        <w:t xml:space="preserve">), is available at </w:t>
      </w:r>
      <w:r>
        <w:rPr>
          <w:rFonts w:ascii="Courier New" w:eastAsia="Courier New" w:hAnsi="Courier New" w:cs="Courier New"/>
          <w:sz w:val="22"/>
          <w:szCs w:val="22"/>
        </w:rPr>
        <w:t>https://github.com/emreguzeldal/[repo-name]</w:t>
      </w:r>
      <w:r>
        <w:t xml:space="preserve">. The repository includes a </w:t>
      </w:r>
      <w:r>
        <w:rPr>
          <w:rFonts w:ascii="Courier New" w:eastAsia="Courier New" w:hAnsi="Courier New" w:cs="Courier New"/>
          <w:sz w:val="22"/>
          <w:szCs w:val="22"/>
        </w:rPr>
        <w:t>requirements.txt</w:t>
      </w:r>
      <w:r>
        <w:t xml:space="preserve"> specifying all dependencies and a </w:t>
      </w:r>
      <w:r>
        <w:rPr>
          <w:rFonts w:ascii="Courier New" w:eastAsia="Courier New" w:hAnsi="Courier New" w:cs="Courier New"/>
          <w:sz w:val="22"/>
          <w:szCs w:val="22"/>
        </w:rPr>
        <w:t>README.md</w:t>
      </w:r>
      <w:r>
        <w:t xml:space="preserve"> with replication instructions. The WildChat-1M dataset is publicly available at </w:t>
      </w:r>
      <w:r>
        <w:rPr>
          <w:rFonts w:ascii="Courier New" w:eastAsia="Courier New" w:hAnsi="Courier New" w:cs="Courier New"/>
          <w:sz w:val="22"/>
          <w:szCs w:val="22"/>
        </w:rPr>
        <w:t>https://huggingface.co/datasets/allenai/WildChat-1M</w:t>
      </w:r>
      <w:r>
        <w:t xml:space="preserve"> (Zhao et al., 2024).</w:t>
      </w:r>
    </w:p>
    <w:p w14:paraId="4F427018" w14:textId="77777777" w:rsidR="00DA6664" w:rsidRDefault="00DA6664">
      <w:pPr>
        <w:spacing w:after="200" w:line="360" w:lineRule="auto"/>
        <w:jc w:val="both"/>
      </w:pPr>
    </w:p>
    <w:p w14:paraId="3C8AAF76" w14:textId="77777777" w:rsidR="00DA6664" w:rsidRDefault="00DA6664">
      <w:pPr>
        <w:spacing w:after="200" w:line="360" w:lineRule="auto"/>
        <w:jc w:val="both"/>
      </w:pPr>
    </w:p>
    <w:p w14:paraId="7A57C27E" w14:textId="77777777" w:rsidR="00DA6664" w:rsidRDefault="00DA6664">
      <w:pPr>
        <w:spacing w:after="200" w:line="360" w:lineRule="auto"/>
        <w:jc w:val="both"/>
      </w:pPr>
    </w:p>
    <w:p w14:paraId="469F2AF7" w14:textId="77777777" w:rsidR="00DA6664" w:rsidRDefault="00DA6664">
      <w:pPr>
        <w:spacing w:after="200" w:line="360" w:lineRule="auto"/>
        <w:jc w:val="both"/>
      </w:pPr>
    </w:p>
    <w:p w14:paraId="63E644D6" w14:textId="77777777" w:rsidR="002B416B" w:rsidRDefault="00F640E5">
      <w:pPr>
        <w:pStyle w:val="Balk1"/>
        <w:spacing w:before="360" w:after="200"/>
      </w:pPr>
      <w:r>
        <w:rPr>
          <w:b/>
          <w:bCs/>
          <w:sz w:val="28"/>
          <w:szCs w:val="28"/>
        </w:rPr>
        <w:lastRenderedPageBreak/>
        <w:t>References</w:t>
      </w:r>
    </w:p>
    <w:p w14:paraId="63E644D7" w14:textId="77777777" w:rsidR="002B416B" w:rsidRDefault="00F640E5">
      <w:pPr>
        <w:spacing w:after="200" w:line="320" w:lineRule="auto"/>
        <w:ind w:left="720" w:hanging="720"/>
      </w:pPr>
      <w:r>
        <w:rPr>
          <w:sz w:val="22"/>
          <w:szCs w:val="22"/>
        </w:rPr>
        <w:t>Fast, E., Chen, B., &amp; Bernstein, M. S. (2016). Empath: Understanding topic signals in large-scale text. Proceedings of the 2016 CHI Conference on Human Factors in Computing Systems, 4647–4657.</w:t>
      </w:r>
    </w:p>
    <w:p w14:paraId="63E644D8" w14:textId="77777777" w:rsidR="002B416B" w:rsidRDefault="00F640E5">
      <w:pPr>
        <w:spacing w:after="200" w:line="320" w:lineRule="auto"/>
        <w:ind w:left="720" w:hanging="720"/>
      </w:pPr>
      <w:r>
        <w:rPr>
          <w:sz w:val="22"/>
          <w:szCs w:val="22"/>
        </w:rPr>
        <w:t>Giles, H., Coupland, N., &amp; Coupland, J. (1991). Accommodation theory: Communication, context, and consequence. In H. Giles, J. Coupland, &amp; N. Coupland (Eds.), Contexts of accommodation: Developments in applied sociolinguistics (pp. 1–68). Cambridge University Press.</w:t>
      </w:r>
    </w:p>
    <w:p w14:paraId="63E644D9" w14:textId="77777777" w:rsidR="002B416B" w:rsidRDefault="00F640E5">
      <w:pPr>
        <w:spacing w:after="200" w:line="320" w:lineRule="auto"/>
        <w:ind w:left="720" w:hanging="720"/>
      </w:pPr>
      <w:proofErr w:type="spellStart"/>
      <w:r>
        <w:rPr>
          <w:sz w:val="22"/>
          <w:szCs w:val="22"/>
        </w:rPr>
        <w:t>Honnibal</w:t>
      </w:r>
      <w:proofErr w:type="spellEnd"/>
      <w:r>
        <w:rPr>
          <w:sz w:val="22"/>
          <w:szCs w:val="22"/>
        </w:rPr>
        <w:t xml:space="preserve">, M., &amp; Montani, I. (2017). </w:t>
      </w:r>
      <w:proofErr w:type="spellStart"/>
      <w:r>
        <w:rPr>
          <w:sz w:val="22"/>
          <w:szCs w:val="22"/>
        </w:rPr>
        <w:t>spaCy</w:t>
      </w:r>
      <w:proofErr w:type="spellEnd"/>
      <w:r>
        <w:rPr>
          <w:sz w:val="22"/>
          <w:szCs w:val="22"/>
        </w:rPr>
        <w:t xml:space="preserve"> 2: Natural language understanding with Bloom embeddings, convolutional neural networks and incremental parsing. To appear.</w:t>
      </w:r>
    </w:p>
    <w:p w14:paraId="63E644DA" w14:textId="77777777" w:rsidR="002B416B" w:rsidRDefault="00F640E5">
      <w:pPr>
        <w:spacing w:after="200" w:line="320" w:lineRule="auto"/>
        <w:ind w:left="720" w:hanging="720"/>
      </w:pPr>
      <w:r>
        <w:rPr>
          <w:sz w:val="22"/>
          <w:szCs w:val="22"/>
        </w:rPr>
        <w:t>Mind the Gap: A Study of LLM-User Communication Style Differences. (2025). Manuscript reference to be confirmed.</w:t>
      </w:r>
    </w:p>
    <w:p w14:paraId="63E644DB" w14:textId="77777777" w:rsidR="002B416B" w:rsidRDefault="00F640E5">
      <w:pPr>
        <w:spacing w:after="200" w:line="320" w:lineRule="auto"/>
        <w:ind w:left="720" w:hanging="720"/>
      </w:pPr>
      <w:r>
        <w:rPr>
          <w:sz w:val="22"/>
          <w:szCs w:val="22"/>
        </w:rPr>
        <w:t>Nass, C., &amp; Moon, Y. (2000). Machines and mindlessness: Social responses to computers. Journal of Social Issues, 56(1), 81–103.</w:t>
      </w:r>
    </w:p>
    <w:p w14:paraId="63E644DC" w14:textId="77777777" w:rsidR="002B416B" w:rsidRDefault="00F640E5">
      <w:pPr>
        <w:spacing w:after="200" w:line="320" w:lineRule="auto"/>
        <w:ind w:left="720" w:hanging="720"/>
      </w:pPr>
      <w:r>
        <w:rPr>
          <w:sz w:val="22"/>
          <w:szCs w:val="22"/>
        </w:rPr>
        <w:t xml:space="preserve">Niederhoffer, K. G., &amp; Pennebaker, J. W. (2002). Linguistic style </w:t>
      </w:r>
      <w:proofErr w:type="gramStart"/>
      <w:r>
        <w:rPr>
          <w:sz w:val="22"/>
          <w:szCs w:val="22"/>
        </w:rPr>
        <w:t>matching</w:t>
      </w:r>
      <w:proofErr w:type="gramEnd"/>
      <w:r>
        <w:rPr>
          <w:sz w:val="22"/>
          <w:szCs w:val="22"/>
        </w:rPr>
        <w:t xml:space="preserve"> in social interaction. Journal of Language and Social Psychology, 21(4), 337–360.</w:t>
      </w:r>
    </w:p>
    <w:p w14:paraId="63E644DD" w14:textId="77777777" w:rsidR="002B416B" w:rsidRDefault="00F640E5">
      <w:pPr>
        <w:spacing w:after="200" w:line="320" w:lineRule="auto"/>
        <w:ind w:left="720" w:hanging="720"/>
      </w:pPr>
      <w:r>
        <w:rPr>
          <w:sz w:val="22"/>
          <w:szCs w:val="22"/>
        </w:rPr>
        <w:t>Pennebaker, J. W., Boyd, R. L., Booth, R. J., Ashokkumar, A., &amp; Francis, M. E. (2022). Linguistic Inquiry and Word Count: LIWC-22. Pennebaker Conglomerates.</w:t>
      </w:r>
    </w:p>
    <w:p w14:paraId="63E644DE" w14:textId="77777777" w:rsidR="002B416B" w:rsidRDefault="00F640E5">
      <w:pPr>
        <w:spacing w:after="200" w:line="320" w:lineRule="auto"/>
        <w:ind w:left="720" w:hanging="720"/>
      </w:pPr>
      <w:r>
        <w:rPr>
          <w:sz w:val="22"/>
          <w:szCs w:val="22"/>
        </w:rPr>
        <w:t xml:space="preserve">Pennebaker, J. W., Chung, C. K., Ireland, M., Gonzales, A., &amp; Booth, R. J. (2007). The development and psychometric properties of LIWC2007. University of Texas </w:t>
      </w:r>
      <w:proofErr w:type="gramStart"/>
      <w:r>
        <w:rPr>
          <w:sz w:val="22"/>
          <w:szCs w:val="22"/>
        </w:rPr>
        <w:t>at</w:t>
      </w:r>
      <w:proofErr w:type="gramEnd"/>
      <w:r>
        <w:rPr>
          <w:sz w:val="22"/>
          <w:szCs w:val="22"/>
        </w:rPr>
        <w:t xml:space="preserve"> Austin.</w:t>
      </w:r>
    </w:p>
    <w:p w14:paraId="63E644DF" w14:textId="77777777" w:rsidR="002B416B" w:rsidRDefault="00F640E5">
      <w:pPr>
        <w:spacing w:after="200" w:line="320" w:lineRule="auto"/>
        <w:ind w:left="720" w:hanging="720"/>
      </w:pPr>
      <w:r>
        <w:rPr>
          <w:sz w:val="22"/>
          <w:szCs w:val="22"/>
        </w:rPr>
        <w:t>Rao, A., Yerukola, A., Xu, X., Sap, M., &amp; Choi, Y. (2025). Do language models accommodate their users? A study of linguistic convergence. Reference to be confirmed.</w:t>
      </w:r>
    </w:p>
    <w:p w14:paraId="63E644E0" w14:textId="77777777" w:rsidR="002B416B" w:rsidRDefault="00F640E5">
      <w:pPr>
        <w:spacing w:after="200" w:line="320" w:lineRule="auto"/>
        <w:ind w:left="720" w:hanging="720"/>
      </w:pPr>
      <w:r>
        <w:rPr>
          <w:sz w:val="22"/>
          <w:szCs w:val="22"/>
        </w:rPr>
        <w:t>Reeves, B., &amp; Nass, C. (1996). The media equation: How people treat computers, television, and new media like real people and places. Cambridge University Press.</w:t>
      </w:r>
    </w:p>
    <w:p w14:paraId="63E644E1" w14:textId="77777777" w:rsidR="002B416B" w:rsidRDefault="00F640E5">
      <w:pPr>
        <w:spacing w:after="200" w:line="320" w:lineRule="auto"/>
        <w:ind w:left="720" w:hanging="720"/>
      </w:pPr>
      <w:r>
        <w:rPr>
          <w:sz w:val="22"/>
          <w:szCs w:val="22"/>
        </w:rPr>
        <w:t xml:space="preserve">Sharma, M., Tong, M., </w:t>
      </w:r>
      <w:proofErr w:type="spellStart"/>
      <w:r>
        <w:rPr>
          <w:sz w:val="22"/>
          <w:szCs w:val="22"/>
        </w:rPr>
        <w:t>Korbak</w:t>
      </w:r>
      <w:proofErr w:type="spellEnd"/>
      <w:r>
        <w:rPr>
          <w:sz w:val="22"/>
          <w:szCs w:val="22"/>
        </w:rPr>
        <w:t xml:space="preserve">, T., </w:t>
      </w:r>
      <w:proofErr w:type="spellStart"/>
      <w:r>
        <w:rPr>
          <w:sz w:val="22"/>
          <w:szCs w:val="22"/>
        </w:rPr>
        <w:t>Duvenaud</w:t>
      </w:r>
      <w:proofErr w:type="spellEnd"/>
      <w:r>
        <w:rPr>
          <w:sz w:val="22"/>
          <w:szCs w:val="22"/>
        </w:rPr>
        <w:t xml:space="preserve">, D., Askell, A., Bowman, S. R., et al. (2023). Towards understanding sycophancy in language models. </w:t>
      </w:r>
      <w:proofErr w:type="spellStart"/>
      <w:r>
        <w:rPr>
          <w:sz w:val="22"/>
          <w:szCs w:val="22"/>
        </w:rPr>
        <w:t>arXiv</w:t>
      </w:r>
      <w:proofErr w:type="spellEnd"/>
      <w:r>
        <w:rPr>
          <w:sz w:val="22"/>
          <w:szCs w:val="22"/>
        </w:rPr>
        <w:t xml:space="preserve"> preprint arXiv:2310.13548.</w:t>
      </w:r>
    </w:p>
    <w:p w14:paraId="63E644E2" w14:textId="77777777" w:rsidR="002B416B" w:rsidRDefault="00F640E5">
      <w:pPr>
        <w:spacing w:after="200" w:line="320" w:lineRule="auto"/>
        <w:ind w:left="720" w:hanging="720"/>
      </w:pPr>
      <w:r>
        <w:rPr>
          <w:sz w:val="22"/>
          <w:szCs w:val="22"/>
        </w:rPr>
        <w:t xml:space="preserve">Zhao, W., Ren, X., Hessel, J., Cardie, C., Choi, Y., &amp; Deng, Y. (2024). </w:t>
      </w:r>
      <w:proofErr w:type="spellStart"/>
      <w:r>
        <w:rPr>
          <w:sz w:val="22"/>
          <w:szCs w:val="22"/>
        </w:rPr>
        <w:t>WildChat</w:t>
      </w:r>
      <w:proofErr w:type="spellEnd"/>
      <w:r>
        <w:rPr>
          <w:sz w:val="22"/>
          <w:szCs w:val="22"/>
        </w:rPr>
        <w:t xml:space="preserve">: 1M ChatGPT interaction logs in the wild. </w:t>
      </w:r>
      <w:proofErr w:type="spellStart"/>
      <w:r>
        <w:rPr>
          <w:sz w:val="22"/>
          <w:szCs w:val="22"/>
        </w:rPr>
        <w:t>arXiv</w:t>
      </w:r>
      <w:proofErr w:type="spellEnd"/>
      <w:r>
        <w:rPr>
          <w:sz w:val="22"/>
          <w:szCs w:val="22"/>
        </w:rPr>
        <w:t xml:space="preserve"> preprint arXiv:2405.01470.</w:t>
      </w:r>
    </w:p>
    <w:p w14:paraId="63E644E3" w14:textId="77777777" w:rsidR="002B416B" w:rsidRDefault="00F640E5">
      <w:pPr>
        <w:spacing w:after="200" w:line="320" w:lineRule="auto"/>
        <w:ind w:left="720" w:hanging="720"/>
      </w:pPr>
      <w:r>
        <w:rPr>
          <w:sz w:val="22"/>
          <w:szCs w:val="22"/>
        </w:rPr>
        <w:t xml:space="preserve">Zheng, L., Chiang, W. L., Sheng, Y., et al. (2024). LMSYS-Chat-1M: A large-scale real-world LLM conversation dataset. </w:t>
      </w:r>
      <w:proofErr w:type="spellStart"/>
      <w:r>
        <w:rPr>
          <w:sz w:val="22"/>
          <w:szCs w:val="22"/>
        </w:rPr>
        <w:t>arXiv</w:t>
      </w:r>
      <w:proofErr w:type="spellEnd"/>
      <w:r>
        <w:rPr>
          <w:sz w:val="22"/>
          <w:szCs w:val="22"/>
        </w:rPr>
        <w:t xml:space="preserve"> preprint arXiv:2309.11998.</w:t>
      </w:r>
    </w:p>
    <w:sectPr w:rsidR="002B416B">
      <w:headerReference w:type="even" r:id="rId8"/>
      <w:headerReference w:type="default" r:id="rId9"/>
      <w:footerReference w:type="default" r:id="rId10"/>
      <w:headerReference w:type="firs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72A5D2" w14:textId="77777777" w:rsidR="000159D6" w:rsidRDefault="000159D6">
      <w:r>
        <w:separator/>
      </w:r>
    </w:p>
  </w:endnote>
  <w:endnote w:type="continuationSeparator" w:id="0">
    <w:p w14:paraId="74F4CF13" w14:textId="77777777" w:rsidR="000159D6" w:rsidRDefault="000159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644E5" w14:textId="70223367" w:rsidR="002B416B" w:rsidRDefault="00F640E5">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4F5D56">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C4DDB6" w14:textId="77777777" w:rsidR="000159D6" w:rsidRDefault="000159D6">
      <w:r>
        <w:separator/>
      </w:r>
    </w:p>
  </w:footnote>
  <w:footnote w:type="continuationSeparator" w:id="0">
    <w:p w14:paraId="13A0C19F" w14:textId="77777777" w:rsidR="000159D6" w:rsidRDefault="000159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869BC" w14:textId="17FF1653" w:rsidR="004F5D56" w:rsidRDefault="004F5D56">
    <w:pPr>
      <w:pStyle w:val="stBilgi"/>
    </w:pPr>
    <w:r>
      <w:rPr>
        <w:noProof/>
      </w:rPr>
      <mc:AlternateContent>
        <mc:Choice Requires="wps">
          <w:drawing>
            <wp:anchor distT="0" distB="0" distL="0" distR="0" simplePos="0" relativeHeight="251659264" behindDoc="0" locked="0" layoutInCell="1" allowOverlap="1" wp14:anchorId="300833E9" wp14:editId="33709E3E">
              <wp:simplePos x="635" y="635"/>
              <wp:positionH relativeFrom="page">
                <wp:align>left</wp:align>
              </wp:positionH>
              <wp:positionV relativeFrom="page">
                <wp:align>top</wp:align>
              </wp:positionV>
              <wp:extent cx="274955" cy="314325"/>
              <wp:effectExtent l="0" t="0" r="10795" b="9525"/>
              <wp:wrapNone/>
              <wp:docPr id="1493813003" name="Metin Kutusu 2"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74955" cy="314325"/>
                      </a:xfrm>
                      <a:prstGeom prst="rect">
                        <a:avLst/>
                      </a:prstGeom>
                      <a:noFill/>
                      <a:ln>
                        <a:noFill/>
                      </a:ln>
                    </wps:spPr>
                    <wps:txbx>
                      <w:txbxContent>
                        <w:p w14:paraId="090B1D39" w14:textId="0A6CD02E" w:rsidR="004F5D56" w:rsidRPr="004F5D56" w:rsidRDefault="004F5D56" w:rsidP="004F5D56">
                          <w:pPr>
                            <w:rPr>
                              <w:rFonts w:ascii="Aptos" w:eastAsia="Aptos" w:hAnsi="Aptos" w:cs="Aptos"/>
                              <w:noProof/>
                              <w:color w:val="000000"/>
                              <w:sz w:val="16"/>
                              <w:szCs w:val="16"/>
                            </w:rPr>
                          </w:pPr>
                          <w:r w:rsidRPr="004F5D56">
                            <w:rPr>
                              <w:rFonts w:ascii="Aptos" w:eastAsia="Aptos" w:hAnsi="Aptos" w:cs="Aptos"/>
                              <w:noProof/>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00833E9" id="_x0000_t202" coordsize="21600,21600" o:spt="202" path="m,l,21600r21600,l21600,xe">
              <v:stroke joinstyle="miter"/>
              <v:path gradientshapeok="t" o:connecttype="rect"/>
            </v:shapetype>
            <v:shape id="Metin Kutusu 2" o:spid="_x0000_s1026" type="#_x0000_t202" alt=" " style="position:absolute;margin-left:0;margin-top:0;width:21.65pt;height:24.7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" filled="f" stroked="f">
              <v:fill o:detectmouseclick="t"/>
              <v:textbox style="mso-fit-shape-to-text:t" inset="20pt,15pt,0,0">
                <w:txbxContent>
                  <w:p w14:paraId="090B1D39" w14:textId="0A6CD02E" w:rsidR="004F5D56" w:rsidRPr="004F5D56" w:rsidRDefault="004F5D56" w:rsidP="004F5D56">
                    <w:pPr>
                      <w:rPr>
                        <w:rFonts w:ascii="Aptos" w:eastAsia="Aptos" w:hAnsi="Aptos" w:cs="Aptos"/>
                        <w:noProof/>
                        <w:color w:val="000000"/>
                        <w:sz w:val="16"/>
                        <w:szCs w:val="16"/>
                      </w:rPr>
                    </w:pPr>
                    <w:r w:rsidRPr="004F5D56">
                      <w:rPr>
                        <w:rFonts w:ascii="Aptos" w:eastAsia="Aptos" w:hAnsi="Aptos" w:cs="Aptos"/>
                        <w:noProof/>
                        <w:color w:val="000000"/>
                        <w:sz w:val="16"/>
                        <w:szCs w:val="16"/>
                      </w:rPr>
                      <w:t xml:space="preserve">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644E4" w14:textId="2FFFB5B7" w:rsidR="002B416B" w:rsidRDefault="002B416B">
    <w:pP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7685C3" w14:textId="241C3DC5" w:rsidR="004F5D56" w:rsidRDefault="004F5D56">
    <w:pPr>
      <w:pStyle w:val="stBilgi"/>
    </w:pPr>
    <w:r>
      <w:rPr>
        <w:noProof/>
      </w:rPr>
      <mc:AlternateContent>
        <mc:Choice Requires="wps">
          <w:drawing>
            <wp:anchor distT="0" distB="0" distL="0" distR="0" simplePos="0" relativeHeight="251658240" behindDoc="0" locked="0" layoutInCell="1" allowOverlap="1" wp14:anchorId="6A7A6F27" wp14:editId="138D8A2B">
              <wp:simplePos x="635" y="635"/>
              <wp:positionH relativeFrom="page">
                <wp:align>left</wp:align>
              </wp:positionH>
              <wp:positionV relativeFrom="page">
                <wp:align>top</wp:align>
              </wp:positionV>
              <wp:extent cx="274955" cy="314325"/>
              <wp:effectExtent l="0" t="0" r="10795" b="9525"/>
              <wp:wrapNone/>
              <wp:docPr id="201455418" name="Metin Kutusu 1"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74955" cy="314325"/>
                      </a:xfrm>
                      <a:prstGeom prst="rect">
                        <a:avLst/>
                      </a:prstGeom>
                      <a:noFill/>
                      <a:ln>
                        <a:noFill/>
                      </a:ln>
                    </wps:spPr>
                    <wps:txbx>
                      <w:txbxContent>
                        <w:p w14:paraId="1B65914D" w14:textId="22840041" w:rsidR="004F5D56" w:rsidRPr="004F5D56" w:rsidRDefault="004F5D56" w:rsidP="004F5D56">
                          <w:pPr>
                            <w:rPr>
                              <w:rFonts w:ascii="Aptos" w:eastAsia="Aptos" w:hAnsi="Aptos" w:cs="Aptos"/>
                              <w:noProof/>
                              <w:color w:val="000000"/>
                              <w:sz w:val="16"/>
                              <w:szCs w:val="16"/>
                            </w:rPr>
                          </w:pPr>
                          <w:r w:rsidRPr="004F5D56">
                            <w:rPr>
                              <w:rFonts w:ascii="Aptos" w:eastAsia="Aptos" w:hAnsi="Aptos" w:cs="Aptos"/>
                              <w:noProof/>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6A7A6F27" id="_x0000_t202" coordsize="21600,21600" o:spt="202" path="m,l,21600r21600,l21600,xe">
              <v:stroke joinstyle="miter"/>
              <v:path gradientshapeok="t" o:connecttype="rect"/>
            </v:shapetype>
            <v:shape id="Metin Kutusu 1" o:spid="_x0000_s1028" type="#_x0000_t202" alt=" " style="position:absolute;margin-left:0;margin-top:0;width:21.65pt;height:24.7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" filled="f" stroked="f">
              <v:fill o:detectmouseclick="t"/>
              <v:textbox style="mso-fit-shape-to-text:t" inset="20pt,15pt,0,0">
                <w:txbxContent>
                  <w:p w14:paraId="1B65914D" w14:textId="22840041" w:rsidR="004F5D56" w:rsidRPr="004F5D56" w:rsidRDefault="004F5D56" w:rsidP="004F5D56">
                    <w:pPr>
                      <w:rPr>
                        <w:rFonts w:ascii="Aptos" w:eastAsia="Aptos" w:hAnsi="Aptos" w:cs="Aptos"/>
                        <w:noProof/>
                        <w:color w:val="000000"/>
                        <w:sz w:val="16"/>
                        <w:szCs w:val="16"/>
                      </w:rPr>
                    </w:pPr>
                    <w:r w:rsidRPr="004F5D56">
                      <w:rPr>
                        <w:rFonts w:ascii="Aptos" w:eastAsia="Aptos" w:hAnsi="Aptos" w:cs="Aptos"/>
                        <w:noProof/>
                        <w:color w:val="000000"/>
                        <w:sz w:val="16"/>
                        <w:szCs w:val="16"/>
                      </w:rPr>
                      <w:t xml:space="preserve"> </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201ED"/>
    <w:multiLevelType w:val="hybridMultilevel"/>
    <w:tmpl w:val="6AD865B4"/>
    <w:lvl w:ilvl="0" w:tplc="186EBB6C">
      <w:start w:val="1"/>
      <w:numFmt w:val="bullet"/>
      <w:lvlText w:val="●"/>
      <w:lvlJc w:val="left"/>
      <w:pPr>
        <w:ind w:left="720" w:hanging="360"/>
      </w:pPr>
    </w:lvl>
    <w:lvl w:ilvl="1" w:tplc="9042B6C2">
      <w:start w:val="1"/>
      <w:numFmt w:val="bullet"/>
      <w:lvlText w:val="○"/>
      <w:lvlJc w:val="left"/>
      <w:pPr>
        <w:ind w:left="1440" w:hanging="360"/>
      </w:pPr>
    </w:lvl>
    <w:lvl w:ilvl="2" w:tplc="D0587002">
      <w:start w:val="1"/>
      <w:numFmt w:val="bullet"/>
      <w:lvlText w:val="■"/>
      <w:lvlJc w:val="left"/>
      <w:pPr>
        <w:ind w:left="2160" w:hanging="360"/>
      </w:pPr>
    </w:lvl>
    <w:lvl w:ilvl="3" w:tplc="7D409E34">
      <w:start w:val="1"/>
      <w:numFmt w:val="bullet"/>
      <w:lvlText w:val="●"/>
      <w:lvlJc w:val="left"/>
      <w:pPr>
        <w:ind w:left="2880" w:hanging="360"/>
      </w:pPr>
    </w:lvl>
    <w:lvl w:ilvl="4" w:tplc="A5EA8804">
      <w:start w:val="1"/>
      <w:numFmt w:val="bullet"/>
      <w:lvlText w:val="○"/>
      <w:lvlJc w:val="left"/>
      <w:pPr>
        <w:ind w:left="3600" w:hanging="360"/>
      </w:pPr>
    </w:lvl>
    <w:lvl w:ilvl="5" w:tplc="72EE9AE2">
      <w:start w:val="1"/>
      <w:numFmt w:val="bullet"/>
      <w:lvlText w:val="■"/>
      <w:lvlJc w:val="left"/>
      <w:pPr>
        <w:ind w:left="4320" w:hanging="360"/>
      </w:pPr>
    </w:lvl>
    <w:lvl w:ilvl="6" w:tplc="5BDC74E0">
      <w:start w:val="1"/>
      <w:numFmt w:val="bullet"/>
      <w:lvlText w:val="●"/>
      <w:lvlJc w:val="left"/>
      <w:pPr>
        <w:ind w:left="5040" w:hanging="360"/>
      </w:pPr>
    </w:lvl>
    <w:lvl w:ilvl="7" w:tplc="4522BBEC">
      <w:start w:val="1"/>
      <w:numFmt w:val="bullet"/>
      <w:lvlText w:val="●"/>
      <w:lvlJc w:val="left"/>
      <w:pPr>
        <w:ind w:left="5760" w:hanging="360"/>
      </w:pPr>
    </w:lvl>
    <w:lvl w:ilvl="8" w:tplc="ED1C0E8C">
      <w:start w:val="1"/>
      <w:numFmt w:val="bullet"/>
      <w:lvlText w:val="●"/>
      <w:lvlJc w:val="left"/>
      <w:pPr>
        <w:ind w:left="6480" w:hanging="360"/>
      </w:pPr>
    </w:lvl>
  </w:abstractNum>
  <w:num w:numId="1" w16cid:durableId="15991007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416B"/>
    <w:rsid w:val="000159D6"/>
    <w:rsid w:val="002B416B"/>
    <w:rsid w:val="004F5D56"/>
    <w:rsid w:val="00996382"/>
    <w:rsid w:val="00DA6664"/>
    <w:rsid w:val="00F640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E6442C"/>
  <w15:docId w15:val="{E102D69B-34D9-477B-A525-C2630CD81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outlineLvl w:val="0"/>
    </w:pPr>
    <w:rPr>
      <w:color w:val="2E74B5"/>
      <w:sz w:val="32"/>
      <w:szCs w:val="32"/>
    </w:rPr>
  </w:style>
  <w:style w:type="paragraph" w:styleId="Balk2">
    <w:name w:val="heading 2"/>
    <w:uiPriority w:val="9"/>
    <w:unhideWhenUsed/>
    <w:qFormat/>
    <w:pPr>
      <w:outlineLvl w:val="1"/>
    </w:pPr>
    <w:rPr>
      <w:color w:val="2E74B5"/>
      <w:sz w:val="26"/>
      <w:szCs w:val="26"/>
    </w:rPr>
  </w:style>
  <w:style w:type="paragraph" w:styleId="Balk3">
    <w:name w:val="heading 3"/>
    <w:uiPriority w:val="9"/>
    <w:semiHidden/>
    <w:unhideWhenUsed/>
    <w:qFormat/>
    <w:pPr>
      <w:outlineLvl w:val="2"/>
    </w:pPr>
    <w:rPr>
      <w:color w:val="1F4D78"/>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 w:type="paragraph" w:styleId="stBilgi">
    <w:name w:val="header"/>
    <w:basedOn w:val="Normal"/>
    <w:link w:val="stBilgiChar"/>
    <w:uiPriority w:val="99"/>
    <w:unhideWhenUsed/>
    <w:rsid w:val="004F5D56"/>
    <w:pPr>
      <w:tabs>
        <w:tab w:val="center" w:pos="4703"/>
        <w:tab w:val="right" w:pos="9406"/>
      </w:tabs>
    </w:pPr>
  </w:style>
  <w:style w:type="character" w:customStyle="1" w:styleId="stBilgiChar">
    <w:name w:val="Üst Bilgi Char"/>
    <w:basedOn w:val="VarsaylanParagrafYazTipi"/>
    <w:link w:val="stBilgi"/>
    <w:uiPriority w:val="99"/>
    <w:rsid w:val="004F5D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DC1084-1332-47BD-BF86-FCD20A55F7F5}">
  <ds:schemaRefs>
    <ds:schemaRef ds:uri="http://schemas.openxmlformats.org/officeDocument/2006/bibliography"/>
  </ds:schemaRefs>
</ds:datastoreItem>
</file>

<file path=docMetadata/LabelInfo.xml><?xml version="1.0" encoding="utf-8"?>
<clbl:labelList xmlns:clbl="http://schemas.microsoft.com/office/2020/mipLabelMetadata">
  <clbl:label id="{6beccce0-6c7b-48b8-93f3-a6e4d786204b}" enabled="1" method="Privileged" siteId="{bcb5eab3-872d-4e34-9dc5-8ac3d404c0c9}" removed="0"/>
</clbl:labelList>
</file>

<file path=docProps/app.xml><?xml version="1.0" encoding="utf-8"?>
<Properties xmlns="http://schemas.openxmlformats.org/officeDocument/2006/extended-properties" xmlns:vt="http://schemas.openxmlformats.org/officeDocument/2006/docPropsVTypes">
  <Template>Normal</Template>
  <TotalTime>3</TotalTime>
  <Pages>18</Pages>
  <Words>5826</Words>
  <Characters>33211</Characters>
  <Application>Microsoft Office Word</Application>
  <DocSecurity>0</DocSecurity>
  <Lines>276</Lines>
  <Paragraphs>77</Paragraphs>
  <ScaleCrop>false</ScaleCrop>
  <Company/>
  <LinksUpToDate>false</LinksUpToDate>
  <CharactersWithSpaces>38960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Emre Güzeldal</cp:lastModifiedBy>
  <cp:revision>3</cp:revision>
  <dcterms:created xsi:type="dcterms:W3CDTF">2026-05-04T08:46:00Z</dcterms:created>
  <dcterms:modified xsi:type="dcterms:W3CDTF">2026-05-04T08:48:00Z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c01f73a,5909c70b,29aa08ac</vt:lpwstr>
  </property>
  <property fmtid="{D5CDD505-2E9C-101B-9397-08002B2CF9AE}" pid="3" name="ClassificationContentMarkingHeaderFontProps">
    <vt:lpwstr>#000000,8,Aptos</vt:lpwstr>
  </property>
  <property fmtid="{D5CDD505-2E9C-101B-9397-08002B2CF9AE}" pid="4" name="ClassificationContentMarkingHeaderText">
    <vt:lpwstr> </vt:lpwstr>
  </property>
</Properties>
</file>