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c441a1acb6803a9a6b8b0805aa71b6b0f2683b"/>
    <w:p>
      <w:pPr>
        <w:pStyle w:val="Heading1"/>
      </w:pPr>
      <w:r>
        <w:t xml:space="preserve">Report Draft 2 — Full Revisions (side-by-side editing sheet)</w:t>
      </w:r>
    </w:p>
    <w:p>
      <w:pPr>
        <w:pStyle w:val="FirstParagraph"/>
      </w:pPr>
      <w:r>
        <w:t xml:space="preserve">Paste-ready replacement text and fixes for every inconsistency found in</w:t>
      </w:r>
      <w:r>
        <w:t xml:space="preserve"> </w:t>
      </w:r>
      <w:r>
        <w:rPr>
          <w:rStyle w:val="VerbatimChar"/>
        </w:rPr>
        <w:t xml:space="preserve">Report Draft 2.pdf</w:t>
      </w:r>
      <w:r>
        <w:t xml:space="preserve">. Open this next to the report and apply top to bottom.</w:t>
      </w:r>
      <w:r>
        <w:t xml:space="preserve"> </w:t>
      </w:r>
      <w:r>
        <w:t xml:space="preserve">Legend:</w:t>
      </w:r>
      <w:r>
        <w:t xml:space="preserve"> </w:t>
      </w:r>
      <w:r>
        <w:rPr>
          <w:bCs/>
          <w:b/>
        </w:rPr>
        <w:t xml:space="preserve">[PASTE]</w:t>
      </w:r>
      <w:r>
        <w:t xml:space="preserve"> </w:t>
      </w:r>
      <w:r>
        <w:t xml:space="preserve">= drop-in text ·</w:t>
      </w:r>
      <w:r>
        <w:t xml:space="preserve"> </w:t>
      </w:r>
      <w:r>
        <w:rPr>
          <w:bCs/>
          <w:b/>
        </w:rPr>
        <w:t xml:space="preserve">[ACTION]</w:t>
      </w:r>
      <w:r>
        <w:t xml:space="preserve"> </w:t>
      </w:r>
      <w:r>
        <w:t xml:space="preserve">= a change you make ·</w:t>
      </w:r>
      <w:r>
        <w:t xml:space="preserve"> </w:t>
      </w:r>
      <w:r>
        <w:rPr>
          <w:bCs/>
          <w:b/>
        </w:rPr>
        <w:t xml:space="preserve">[CONFIRM]</w:t>
      </w:r>
      <w:r>
        <w:t xml:space="preserve"> </w:t>
      </w:r>
      <w:r>
        <w:t xml:space="preserve">= a</w:t>
      </w:r>
      <w:r>
        <w:t xml:space="preserve"> </w:t>
      </w:r>
      <w:r>
        <w:t xml:space="preserve">number only you can verify.</w:t>
      </w:r>
    </w:p>
    <w:p>
      <w:pPr>
        <w:pStyle w:val="BodyText"/>
      </w:pPr>
      <w:r>
        <w:t xml:space="preserve">Priority order: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(method-breaking) →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(numbers/specs) →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(structure) →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(typos).</w:t>
      </w:r>
    </w:p>
    <w:p>
      <w:r>
        <w:pict>
          <v:rect style="width:0;height:1.5pt" o:hralign="center" o:hrstd="t" o:hr="t"/>
        </w:pict>
      </w:r>
    </w:p>
    <w:bookmarkEnd w:id="20"/>
    <w:bookmarkStart w:id="26" w:name="Xdcd14b543b9822b5fa785062889465aa2208e1c"/>
    <w:p>
      <w:pPr>
        <w:pStyle w:val="Heading1"/>
      </w:pPr>
      <w:r>
        <w:t xml:space="preserve">A. Contradictions that undermine the method</w:t>
      </w:r>
    </w:p>
    <w:bookmarkStart w:id="21" w:name="Xce75d586c3ebdcac73941a68d6754553b415be1"/>
    <w:p>
      <w:pPr>
        <w:pStyle w:val="Heading2"/>
      </w:pPr>
      <w:r>
        <w:t xml:space="preserve">A1 — Registration story (figure done; add the text)</w:t>
      </w:r>
    </w:p>
    <w:p>
      <w:pPr>
        <w:pStyle w:val="FirstParagraph"/>
      </w:pPr>
      <w:r>
        <w:rPr>
          <w:bCs/>
          <w:b/>
        </w:rPr>
        <w:t xml:space="preserve">[PASTE — end of §6 FUSION]</w:t>
      </w:r>
    </w:p>
    <w:p>
      <w:pPr>
        <w:pStyle w:val="BlockText"/>
      </w:pPr>
      <w:r>
        <w:t xml:space="preserve">It is worth noting that late fusion does not remove the need for spatial</w:t>
      </w:r>
      <w:r>
        <w:t xml:space="preserve"> </w:t>
      </w:r>
      <w:r>
        <w:t xml:space="preserve">alignment entirely. Because the fusion engine associates EO and IR detections by</w:t>
      </w:r>
      <w:r>
        <w:t xml:space="preserve"> </w:t>
      </w:r>
      <w:r>
        <w:t xml:space="preserve">their bounding-box overlap (IoU), the two sensors’ boxes must live in a common</w:t>
      </w:r>
      <w:r>
        <w:t xml:space="preserve"> </w:t>
      </w:r>
      <w:r>
        <w:t xml:space="preserve">coordinate frame. Aligning a handful of detection boxes, however, is far lighter</w:t>
      </w:r>
      <w:r>
        <w:t xml:space="preserve"> </w:t>
      </w:r>
      <w:r>
        <w:t xml:space="preserve">than warping and aligning every pixel of two full images as early fusion would</w:t>
      </w:r>
      <w:r>
        <w:t xml:space="preserve"> </w:t>
      </w:r>
      <w:r>
        <w:t xml:space="preserve">require. We achieve this box-level alignment with a one-time affine registration,</w:t>
      </w:r>
      <w:r>
        <w:t xml:space="preserve"> </w:t>
      </w:r>
      <w:r>
        <w:t xml:space="preserve">described in Section 7.</w:t>
      </w:r>
    </w:p>
    <w:p>
      <w:pPr>
        <w:pStyle w:val="FirstParagraph"/>
      </w:pPr>
      <w:r>
        <w:rPr>
          <w:bCs/>
          <w:b/>
        </w:rPr>
        <w:t xml:space="preserve">[PASTE — new stage in §7.2 Pipeline Stages, before the EO/IR models run]</w:t>
      </w:r>
    </w:p>
    <w:p>
      <w:pPr>
        <w:pStyle w:val="BlockText"/>
      </w:pPr>
      <w:r>
        <w:rPr>
          <w:bCs/>
          <w:b/>
        </w:rPr>
        <w:t xml:space="preserve">Registration.</w:t>
      </w:r>
      <w:r>
        <w:t xml:space="preserve"> </w:t>
      </w:r>
      <w:r>
        <w:t xml:space="preserve">Because the EO and IR sensors are not co-boresighted — they</w:t>
      </w:r>
      <w:r>
        <w:t xml:space="preserve"> </w:t>
      </w:r>
      <w:r>
        <w:t xml:space="preserve">have different fields of view and resolutions, so the same drone appears at</w:t>
      </w:r>
      <w:r>
        <w:t xml:space="preserve"> </w:t>
      </w:r>
      <w:r>
        <w:t xml:space="preserve">different pixel coordinates in each view (a measured median offset of ≈112 px) —</w:t>
      </w:r>
      <w:r>
        <w:t xml:space="preserve"> </w:t>
      </w:r>
      <w:r>
        <w:t xml:space="preserve">EO and IR detections cannot be compared directly. We estimate a 2×3 affine</w:t>
      </w:r>
      <w:r>
        <w:t xml:space="preserve"> </w:t>
      </w:r>
      <w:r>
        <w:t xml:space="preserve">transform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that maps EO coordinates into the IR frame. It is fitted once,</w:t>
      </w:r>
      <w:r>
        <w:t xml:space="preserve"> </w:t>
      </w:r>
      <w:r>
        <w:t xml:space="preserve">offline, from paired single-target frames: corresponding EO/IR drone centres are</w:t>
      </w:r>
      <w:r>
        <w:t xml:space="preserve"> </w:t>
      </w:r>
      <w:r>
        <w:t xml:space="preserve">collected, outliers rejected with RANSAC, and the fit is locked once it has</w:t>
      </w:r>
      <w:r>
        <w:t xml:space="preserve"> </w:t>
      </w:r>
      <w:r>
        <w:t xml:space="preserve">enough inliers and a low median residual (≈3.8 px on our data). At run time every</w:t>
      </w:r>
      <w:r>
        <w:t xml:space="preserve"> </w:t>
      </w:r>
      <w:r>
        <w:t xml:space="preserve">EO detection box is warped by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into the IR frame, after which EO and IR boxes</w:t>
      </w:r>
      <w:r>
        <w:t xml:space="preserve"> </w:t>
      </w:r>
      <w:r>
        <w:t xml:space="preserve">overlap and can be associated by IoU. All downstream fusion operates in the IR</w:t>
      </w:r>
      <w:r>
        <w:t xml:space="preserve"> </w:t>
      </w:r>
      <w:r>
        <w:t xml:space="preserve">coordinate frame.</w:t>
      </w:r>
    </w:p>
    <w:p>
      <w:pPr>
        <w:pStyle w:val="FirstParagraph"/>
      </w:pPr>
      <w:r>
        <w:rPr>
          <w:bCs/>
          <w:b/>
        </w:rPr>
        <w:t xml:space="preserve">[CONFIRM]</w:t>
      </w:r>
      <w:r>
        <w:t xml:space="preserve"> </w:t>
      </w:r>
      <w:r>
        <w:t xml:space="preserve">the 112 px offset and 3.8 px residual against</w:t>
      </w:r>
      <w:r>
        <w:t xml:space="preserve"> </w:t>
      </w:r>
      <w:r>
        <w:rPr>
          <w:rStyle w:val="VerbatimChar"/>
        </w:rPr>
        <w:t xml:space="preserve">fusion-pipeline-calculations.md</w:t>
      </w:r>
      <w:r>
        <w:t xml:space="preserve"> </w:t>
      </w:r>
      <w:r>
        <w:t xml:space="preserve">§4.</w:t>
      </w:r>
    </w:p>
    <w:p>
      <w:r>
        <w:pict>
          <v:rect style="width:0;height:1.5pt" o:hralign="center" o:hrstd="t" o:hr="t"/>
        </w:pict>
      </w:r>
    </w:p>
    <w:bookmarkEnd w:id="21"/>
    <w:bookmarkStart w:id="23" w:name="a2-7.3-decision-logic-fuzzy-forward"/>
    <w:p>
      <w:pPr>
        <w:pStyle w:val="Heading2"/>
      </w:pPr>
      <w:r>
        <w:t xml:space="preserve">A2 — §7.3 Decision Logic (fuzzy-forward)</w:t>
      </w:r>
    </w:p>
    <w:p>
      <w:pPr>
        <w:pStyle w:val="FirstParagraph"/>
      </w:pPr>
      <w:r>
        <w:rPr>
          <w:bCs/>
          <w:b/>
        </w:rPr>
        <w:t xml:space="preserve">[ACTION]</w:t>
      </w:r>
      <w:r>
        <w:t xml:space="preserve"> </w:t>
      </w:r>
      <w:r>
        <w:t xml:space="preserve">Replace the whole</w:t>
      </w:r>
      <w:r>
        <w:t xml:space="preserve"> </w:t>
      </w:r>
      <w:r>
        <w:t xml:space="preserve">“</w:t>
      </w:r>
      <w:r>
        <w:t xml:space="preserve">7.3 Decision Logic</w:t>
      </w:r>
      <w:r>
        <w:t xml:space="preserve">”</w:t>
      </w:r>
      <w:r>
        <w:t xml:space="preserve"> </w:t>
      </w:r>
      <w:r>
        <w:t xml:space="preserve">body (the fuzzy-logic</w:t>
      </w:r>
      <w:r>
        <w:t xml:space="preserve"> </w:t>
      </w:r>
      <w:r>
        <w:t xml:space="preserve">definition, the formula block, the dangling</w:t>
      </w:r>
      <w:r>
        <w:t xml:space="preserve"> </w:t>
      </w:r>
      <w:r>
        <w:t xml:space="preserve">“</w:t>
      </w:r>
      <w:r>
        <w:t xml:space="preserve">image above</w:t>
      </w:r>
      <w:r>
        <w:t xml:space="preserve">”</w:t>
      </w:r>
      <w:r>
        <w:t xml:space="preserve"> </w:t>
      </w:r>
      <w:r>
        <w:t xml:space="preserve">sentence).</w:t>
      </w:r>
      <w:r>
        <w:t xml:space="preserve"> </w:t>
      </w:r>
      <w:r>
        <w:rPr>
          <w:bCs/>
          <w:b/>
        </w:rPr>
        <w:t xml:space="preserve">Keep</w:t>
      </w:r>
      <w:r>
        <w:t xml:space="preserve"> </w:t>
      </w:r>
      <w:r>
        <w:t xml:space="preserve">the</w:t>
      </w:r>
      <w:r>
        <w:t xml:space="preserve"> </w:t>
      </w:r>
      <w:r>
        <w:t xml:space="preserve">existing DAY/TWILIGHT/NIGHT parameter table — it is now the</w:t>
      </w:r>
      <w:r>
        <w:t xml:space="preserve"> </w:t>
      </w:r>
      <w:r>
        <w:rPr>
          <w:iCs/>
          <w:i/>
        </w:rPr>
        <w:t xml:space="preserve">baseline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[PASTE]</w:t>
      </w:r>
    </w:p>
    <w:bookmarkStart w:id="22" w:name="decision-logic"/>
    <w:p>
      <w:pPr>
        <w:pStyle w:val="Heading3"/>
      </w:pPr>
      <w:r>
        <w:t xml:space="preserve">7.3 Decision Logic</w:t>
      </w:r>
    </w:p>
    <w:p>
      <w:pPr>
        <w:pStyle w:val="FirstParagraph"/>
      </w:pPr>
      <w:r>
        <w:t xml:space="preserve">The decision logic is the core of the late fusion. Our approach is</w:t>
      </w:r>
      <w:r>
        <w:t xml:space="preserve"> </w:t>
      </w:r>
      <w:r>
        <w:rPr>
          <w:iCs/>
          <w:i/>
        </w:rPr>
        <w:t xml:space="preserve">adaptive</w:t>
      </w:r>
      <w:r>
        <w:rPr>
          <w:iCs/>
          <w:i/>
        </w:rPr>
        <w:t xml:space="preserve"> </w:t>
      </w:r>
      <w:r>
        <w:rPr>
          <w:iCs/>
          <w:i/>
        </w:rPr>
        <w:t xml:space="preserve">weighting</w:t>
      </w:r>
      <w:r>
        <w:t xml:space="preserve">: we take the confidence score from each single-sensor model, multiply</w:t>
      </w:r>
      <w:r>
        <w:t xml:space="preserve"> </w:t>
      </w:r>
      <w:r>
        <w:t xml:space="preserve">it by a weight describing how reliable that model is in the current situation, and</w:t>
      </w:r>
      <w:r>
        <w:t xml:space="preserve"> </w:t>
      </w:r>
      <w:r>
        <w:t xml:space="preserve">combine the weighted scores into a single fused certainty. Weighted Box Fusion</w:t>
      </w:r>
      <w:r>
        <w:t xml:space="preserve"> </w:t>
      </w:r>
      <w:r>
        <w:t xml:space="preserve">applies the same idea to the bounding boxes rather than the scores.</w:t>
      </w:r>
    </w:p>
    <w:p>
      <w:pPr>
        <w:pStyle w:val="BodyText"/>
      </w:pPr>
      <w:r>
        <w:t xml:space="preserve">The weights are produced by a fuzzy inference system. Fuzzy logic lets a value</w:t>
      </w:r>
      <w:r>
        <w:t xml:space="preserve"> </w:t>
      </w:r>
      <w:r>
        <w:t xml:space="preserve">belong to several linguistic categories at once, each to a degree between 0 and 1,</w:t>
      </w:r>
      <w:r>
        <w:t xml:space="preserve"> </w:t>
      </w:r>
      <w:r>
        <w:t xml:space="preserve">instead of snapping to a single category at a hard threshold. Our trust engine is</w:t>
      </w:r>
      <w:r>
        <w:t xml:space="preserve"> </w:t>
      </w:r>
      <w:r>
        <w:t xml:space="preserve">a Takagi–Sugeno fuzzy inference system: each input (brightness and target size) is</w:t>
      </w:r>
      <w:r>
        <w:t xml:space="preserve"> </w:t>
      </w:r>
      <w:r>
        <w:rPr>
          <w:iCs/>
          <w:i/>
        </w:rPr>
        <w:t xml:space="preserve">fuzzified</w:t>
      </w:r>
      <w:r>
        <w:t xml:space="preserve"> </w:t>
      </w:r>
      <w:r>
        <w:t xml:space="preserve">into overlapping membership values, a small rule base maps every input</w:t>
      </w:r>
      <w:r>
        <w:t xml:space="preserve"> </w:t>
      </w:r>
      <w:r>
        <w:t xml:space="preserve">combination to a trust value, and those are combined by a weighted average</w:t>
      </w:r>
      <w:r>
        <w:t xml:space="preserve"> </w:t>
      </w:r>
      <w:r>
        <w:t xml:space="preserve">(</w:t>
      </w:r>
      <w:r>
        <w:rPr>
          <w:iCs/>
          <w:i/>
        </w:rPr>
        <w:t xml:space="preserve">defuzzification</w:t>
      </w:r>
      <w:r>
        <w:t xml:space="preserve">) into a single crisp weight,</w:t>
      </w:r>
      <w:r>
        <w:t xml:space="preserve"> </w:t>
      </w:r>
      <w:r>
        <w:rPr>
          <w:rStyle w:val="VerbatimChar"/>
        </w:rPr>
        <w:t xml:space="preserve">trust_IR</w:t>
      </w:r>
      <w:r>
        <w:t xml:space="preserve">. The result is a trust</w:t>
      </w:r>
      <w:r>
        <w:t xml:space="preserve"> </w:t>
      </w:r>
      <w:r>
        <w:t xml:space="preserve">value that glides smoothly as conditions change rather than jumping at a boundary.</w:t>
      </w:r>
      <w:r>
        <w:t xml:space="preserve"> </w:t>
      </w:r>
      <w:r>
        <w:t xml:space="preserve">(The membership terms and rule grid are given in Section 7.1.)</w:t>
      </w:r>
    </w:p>
    <w:p>
      <w:pPr>
        <w:pStyle w:val="BodyText"/>
      </w:pPr>
      <w:r>
        <w:t xml:space="preserve">For an agreement pair, the fused box and confidence are computed as:</w:t>
      </w:r>
    </w:p>
    <w:p>
      <w:pPr>
        <w:pStyle w:val="SourceCode"/>
      </w:pPr>
      <w:r>
        <w:rPr>
          <w:rStyle w:val="VerbatimChar"/>
        </w:rPr>
        <w:t xml:space="preserve">a_IR = trust_IR ,   a_EO = 1 − trust_IR        (from the fuzzy engine, §7.1)</w:t>
      </w:r>
      <w:r>
        <w:br/>
      </w:r>
      <w:r>
        <w:rPr>
          <w:rStyle w:val="VerbatimChar"/>
        </w:rPr>
        <w:t xml:space="preserve">w_eo = a_EO · conf_eo ,   w_ir = a_IR · conf_ir</w:t>
      </w:r>
      <w:r>
        <w:br/>
      </w:r>
      <w:r>
        <w:rPr>
          <w:rStyle w:val="VerbatimChar"/>
        </w:rPr>
        <w:t xml:space="preserve">box  = (w_eo · box_eo + w_ir · box_ir) / (w_eo + w_ir)      # WBF</w:t>
      </w:r>
      <w:r>
        <w:br/>
      </w:r>
      <w:r>
        <w:rPr>
          <w:rStyle w:val="VerbatimChar"/>
        </w:rPr>
        <w:t xml:space="preserve">  or   box = box of the sensor with the larger weight        # select</w:t>
      </w:r>
      <w:r>
        <w:br/>
      </w:r>
      <w:r>
        <w:rPr>
          <w:rStyle w:val="VerbatimChar"/>
        </w:rPr>
        <w:t xml:space="preserve">conf = 1 − (1 − w_eo)(1 − w_ir)                              # noisy-OR</w:t>
      </w:r>
    </w:p>
    <w:p>
      <w:pPr>
        <w:pStyle w:val="FirstParagraph"/>
      </w:pPr>
      <w:r>
        <w:t xml:space="preserve">Two EO and IR boxes are treated as the same object — an</w:t>
      </w:r>
      <w:r>
        <w:t xml:space="preserve"> </w:t>
      </w:r>
      <w:r>
        <w:rPr>
          <w:iCs/>
          <w:i/>
        </w:rPr>
        <w:t xml:space="preserve">agreement pair</w:t>
      </w:r>
      <w:r>
        <w:t xml:space="preserve"> </w:t>
      </w:r>
      <w:r>
        <w:t xml:space="preserve">— when</w:t>
      </w:r>
      <w:r>
        <w:t xml:space="preserve"> </w:t>
      </w:r>
      <w:r>
        <w:t xml:space="preserve">their IoU (Intersection over Union) is above the association threshold</w:t>
      </w:r>
      <w:r>
        <w:t xml:space="preserve"> </w:t>
      </w:r>
      <w:r>
        <w:rPr>
          <w:rStyle w:val="VerbatimChar"/>
        </w:rPr>
        <w:t xml:space="preserve">assoc_iou</w:t>
      </w:r>
      <w:r>
        <w:t xml:space="preserve"> </w:t>
      </w:r>
      <w:r>
        <w:t xml:space="preserve">(e.g. 0.4); otherwise they remain separate single-sensor detections. An agreement</w:t>
      </w:r>
      <w:r>
        <w:t xml:space="preserve"> </w:t>
      </w:r>
      <w:r>
        <w:t xml:space="preserve">pair receives an</w:t>
      </w:r>
      <w:r>
        <w:t xml:space="preserve"> </w:t>
      </w:r>
      <w:r>
        <w:rPr>
          <w:iCs/>
          <w:i/>
        </w:rPr>
        <w:t xml:space="preserve">agreement bonus</w:t>
      </w:r>
      <w:r>
        <w:t xml:space="preserve">, while a detection seen by only one sensor</w:t>
      </w:r>
      <w:r>
        <w:t xml:space="preserve"> </w:t>
      </w:r>
      <w:r>
        <w:t xml:space="preserve">receives a single-sensor</w:t>
      </w:r>
      <w:r>
        <w:t xml:space="preserve"> </w:t>
      </w:r>
      <w:r>
        <w:rPr>
          <w:iCs/>
          <w:i/>
        </w:rPr>
        <w:t xml:space="preserve">lonely penalty</w:t>
      </w:r>
      <w:r>
        <w:t xml:space="preserve">; both adjust the fused confidence before</w:t>
      </w:r>
      <w:r>
        <w:t xml:space="preserve"> </w:t>
      </w:r>
      <w:r>
        <w:t xml:space="preserve">the final decision threshold.</w:t>
      </w:r>
    </w:p>
    <w:p>
      <w:pPr>
        <w:pStyle w:val="BodyText"/>
      </w:pPr>
      <w:r>
        <w:t xml:space="preserve">The discrete DAY / TWILIGHT / NIGHT parameter set below is our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weighting, against which the fuzzy engine is compared in the Results section. The</w:t>
      </w:r>
      <w:r>
        <w:t xml:space="preserve"> </w:t>
      </w:r>
      <w:r>
        <w:t xml:space="preserve">two use the same boundaries: the fuzzy terms</w:t>
      </w:r>
      <w:r>
        <w:t xml:space="preserve"> </w:t>
      </w:r>
      <w:r>
        <w:rPr>
          <w:iCs/>
          <w:i/>
        </w:rPr>
        <w:t xml:space="preserve">dark / dim / bright</w:t>
      </w:r>
      <w:r>
        <w:t xml:space="preserve"> </w:t>
      </w:r>
      <w:r>
        <w:t xml:space="preserve">cross over</w:t>
      </w:r>
      <w:r>
        <w:t xml:space="preserve"> </w:t>
      </w:r>
      <w:r>
        <w:t xml:space="preserve">exactly at the thresholds T_low and T_high that separate NIGHT / TWILIGHT / DAY —</w:t>
      </w:r>
      <w:r>
        <w:t xml:space="preserve"> </w:t>
      </w:r>
      <w:r>
        <w:t xml:space="preserve">the table switches hard at those points, while the fuzzy engine blends across them.</w:t>
      </w:r>
      <w:r>
        <w:t xml:space="preserve"> </w:t>
      </w:r>
      <w:r>
        <w:t xml:space="preserve">The table still supplies everything except the modality weights (confidence</w:t>
      </w:r>
      <w:r>
        <w:t xml:space="preserve"> </w:t>
      </w:r>
      <w:r>
        <w:t xml:space="preserve">thresholds, EO preprocessing, association IoU, agreement bonus, lonely penalty);</w:t>
      </w:r>
      <w:r>
        <w:t xml:space="preserve"> </w:t>
      </w:r>
      <w:r>
        <w:t xml:space="preserve">the modality weights a_EO and a_IR come from the fuzzy engine of Section 7.1.</w:t>
      </w:r>
    </w:p>
    <w:p>
      <w:pPr>
        <w:pStyle w:val="BodyText"/>
      </w:pPr>
      <w:r>
        <w:rPr>
          <w:iCs/>
          <w:i/>
        </w:rPr>
        <w:t xml:space="preserve">(Caption the existing parameter table: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Baseline per-regime parameters.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3-8-results-real-measured-numbers"/>
    <w:p>
      <w:pPr>
        <w:pStyle w:val="Heading2"/>
      </w:pPr>
      <w:r>
        <w:t xml:space="preserve">A3 — §8 Results (real measured numbers)</w:t>
      </w:r>
    </w:p>
    <w:p>
      <w:pPr>
        <w:pStyle w:val="FirstParagraph"/>
      </w:pPr>
      <w:r>
        <w:rPr>
          <w:bCs/>
          <w:b/>
        </w:rPr>
        <w:t xml:space="preserve">[ACTION]</w:t>
      </w:r>
      <w:r>
        <w:t xml:space="preserve"> </w:t>
      </w:r>
      <w:r>
        <w:t xml:space="preserve">Replace the placeholder table (and its empty rows / red notes) with</w:t>
      </w:r>
      <w:r>
        <w:t xml:space="preserve"> </w:t>
      </w:r>
      <w:r>
        <w:t xml:space="preserve">the measured results below. The old fixed-split rows (EO 50/50, 70/30, 30/70) were</w:t>
      </w:r>
      <w:r>
        <w:t xml:space="preserve"> </w:t>
      </w:r>
      <w:r>
        <w:t xml:space="preserve">never run; the rows here are what was actually evaluated. Conditions: 1298 paired</w:t>
      </w:r>
      <w:r>
        <w:t xml:space="preserve"> </w:t>
      </w:r>
      <w:r>
        <w:t xml:space="preserve">frames, registered (scored in the IR frame against IR labels), detectors at conf</w:t>
      </w:r>
      <w:r>
        <w:t xml:space="preserve"> </w:t>
      </w:r>
      <w:r>
        <w:t xml:space="preserve">floor 0.001. ΔAP50 = AP50 − max(AP50_EO, AP50_IR). Every frame was DAY or TWILIGHT</w:t>
      </w:r>
      <w:r>
        <w:t xml:space="preserve"> </w:t>
      </w:r>
      <w:r>
        <w:t xml:space="preserve">(</w:t>
      </w:r>
      <w:r>
        <w:rPr>
          <w:bCs/>
          <w:b/>
        </w:rPr>
        <w:t xml:space="preserve">0 NIGHT frames</w:t>
      </w:r>
      <w:r>
        <w:t xml:space="preserve"> </w:t>
      </w:r>
      <w:r>
        <w:t xml:space="preserve">on this set).</w:t>
      </w:r>
    </w:p>
    <w:p>
      <w:pPr>
        <w:pStyle w:val="BodyText"/>
      </w:pPr>
      <w:r>
        <w:rPr>
          <w:bCs/>
          <w:b/>
        </w:rPr>
        <w:t xml:space="preserve">[PASTE] — Overall (all 1298 frames)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660"/>
        <w:gridCol w:w="660"/>
        <w:gridCol w:w="660"/>
        <w:gridCol w:w="660"/>
        <w:gridCol w:w="660"/>
        <w:gridCol w:w="1056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mAP50-95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ΔAP50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table (hard)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(WBF)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+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−0.141</w:t>
            </w:r>
          </w:p>
        </w:tc>
      </w:tr>
    </w:tbl>
    <w:p>
      <w:pPr>
        <w:pStyle w:val="BodyText"/>
      </w:pPr>
      <w:r>
        <w:rPr>
          <w:bCs/>
          <w:b/>
        </w:rPr>
        <w:t xml:space="preserve">[PASTE] — DAY (1161 frames)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660"/>
        <w:gridCol w:w="660"/>
        <w:gridCol w:w="660"/>
        <w:gridCol w:w="660"/>
        <w:gridCol w:w="660"/>
        <w:gridCol w:w="1056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mAP50-95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ΔAP50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table (hard)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(WBF)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+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−0.131</w:t>
            </w:r>
          </w:p>
        </w:tc>
      </w:tr>
    </w:tbl>
    <w:p>
      <w:pPr>
        <w:pStyle w:val="BodyText"/>
      </w:pPr>
      <w:r>
        <w:rPr>
          <w:bCs/>
          <w:b/>
        </w:rPr>
        <w:t xml:space="preserve">[PASTE] — TWILIGHT (137 frames)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660"/>
        <w:gridCol w:w="660"/>
        <w:gridCol w:w="660"/>
        <w:gridCol w:w="660"/>
        <w:gridCol w:w="660"/>
        <w:gridCol w:w="1056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mAP50-95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ΔAP50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table (hard)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(WBF)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+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−0.208</w:t>
            </w:r>
          </w:p>
        </w:tc>
      </w:tr>
    </w:tbl>
    <w:p>
      <w:pPr>
        <w:pStyle w:val="BodyText"/>
      </w:pPr>
      <w:r>
        <w:rPr>
          <w:iCs/>
          <w:i/>
        </w:rPr>
        <w:t xml:space="preserve">(Delete the red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will fill the table…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notes and give the table a caption,</w:t>
      </w:r>
      <w:r>
        <w:rPr>
          <w:iCs/>
          <w:i/>
        </w:rPr>
        <w:t xml:space="preserve"> </w:t>
      </w:r>
      <w:r>
        <w:rPr>
          <w:iCs/>
          <w:i/>
        </w:rPr>
        <w:t xml:space="preserve">e.g. </w:t>
      </w:r>
      <w:r>
        <w:rPr>
          <w:iCs/>
          <w:i/>
        </w:rPr>
        <w:t xml:space="preserve">“</w:t>
      </w:r>
      <w:r>
        <w:rPr>
          <w:iCs/>
          <w:i/>
        </w:rPr>
        <w:t xml:space="preserve">Detection metrics per approach, registered IR frame.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X778c6d62678ed3f74c1d1fe86c846ab131bf5ac"/>
    <w:p>
      <w:pPr>
        <w:pStyle w:val="Heading2"/>
      </w:pPr>
      <w:r>
        <w:t xml:space="preserve">A3b — §9 Discussion (draft; replace the placeholder)</w:t>
      </w:r>
    </w:p>
    <w:p>
      <w:pPr>
        <w:pStyle w:val="FirstParagraph"/>
      </w:pPr>
      <w:r>
        <w:rPr>
          <w:bCs/>
          <w:b/>
        </w:rPr>
        <w:t xml:space="preserve">[PASTE]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 is the strongest single sensor; EO is weak (AP50 0.12).</w:t>
      </w:r>
      <w:r>
        <w:t xml:space="preserve"> </w:t>
      </w:r>
      <w:r>
        <w:t xml:space="preserve">As a result no</w:t>
      </w:r>
      <w:r>
        <w:t xml:space="preserve"> </w:t>
      </w:r>
      <w:r>
        <w:t xml:space="preserve">fusion configuration beats IR alone — every ΔAP50 is negative — so the</w:t>
      </w:r>
      <w:r>
        <w:t xml:space="preserve"> </w:t>
      </w:r>
      <w:r>
        <w:t xml:space="preserve">realistic question is which fusion rule loses the least. The fuzzy engine comes</w:t>
      </w:r>
      <w:r>
        <w:t xml:space="preserve"> </w:t>
      </w:r>
      <w:r>
        <w:t xml:space="preserve">closest (ΔAP50 −0.10 overall).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Both fuzzy variants beat the hard regime table on every metric.</w:t>
      </w:r>
      <w:r>
        <w:t xml:space="preserve"> </w:t>
      </w:r>
      <w:r>
        <w:t xml:space="preserve">The</w:t>
      </w:r>
      <w:r>
        <w:t xml:space="preserve"> </w:t>
      </w:r>
      <w:r>
        <w:t xml:space="preserve">smooth, size-aware dial roughly halves the table’s AP50 deficit (−0.10 vs</w:t>
      </w:r>
      <w:r>
        <w:t xml:space="preserve"> </w:t>
      </w:r>
      <w:r>
        <w:t xml:space="preserve">−0.28) and multiplies its AP75 several-fold. As only the weighting changes</w:t>
      </w:r>
      <w:r>
        <w:t xml:space="preserve"> </w:t>
      </w:r>
      <w:r>
        <w:t xml:space="preserve">(association, penalties and threshold are identical), this is a clean gain for</w:t>
      </w:r>
      <w:r>
        <w:t xml:space="preserve"> </w:t>
      </w:r>
      <w:r>
        <w:t xml:space="preserve">the fuzzy engine — and its rule grid is a-priori, not fitted to this 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Box selection restores localization.</w:t>
      </w:r>
      <w:r>
        <w:t xml:space="preserve"> </w:t>
      </w:r>
      <w:r>
        <w:t xml:space="preserve">Overall AP75 rises from 0.106 (WBF)</w:t>
      </w:r>
      <w:r>
        <w:t xml:space="preserve"> </w:t>
      </w:r>
      <w:r>
        <w:t xml:space="preserve">to 0.257 (select), and in TWILIGHT it reaches 0.432 against IR’s 0.457 — near</w:t>
      </w:r>
      <w:r>
        <w:t xml:space="preserve"> </w:t>
      </w:r>
      <w:r>
        <w:t xml:space="preserve">parity. This confirms that averaging a weak EO box into the result was dragging</w:t>
      </w:r>
      <w:r>
        <w:t xml:space="preserve"> </w:t>
      </w:r>
      <w:r>
        <w:t xml:space="preserve">the box off-target; keeping the higher-trust box fixes it. By the integrated</w:t>
      </w:r>
      <w:r>
        <w:t xml:space="preserve"> </w:t>
      </w:r>
      <w:r>
        <w:t xml:space="preserve">mAP50-95 metric, fuzzy+select is the best fusion mode (0.292).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trade-off appears in DAY.</w:t>
      </w:r>
      <w:r>
        <w:t xml:space="preserve"> </w:t>
      </w:r>
      <w:r>
        <w:t xml:space="preserve">There selection raises AP75 (0.108 → 0.247)</w:t>
      </w:r>
      <w:r>
        <w:t xml:space="preserve"> </w:t>
      </w:r>
      <w:r>
        <w:t xml:space="preserve">but lowers AP50 (0.677 → 0.606): in bright light the a-priori grid still grants</w:t>
      </w:r>
      <w:r>
        <w:t xml:space="preserve"> </w:t>
      </w:r>
      <w:r>
        <w:t xml:space="preserve">EO some trust, so selection occasionally commits to a weak EO box, whereas WBF</w:t>
      </w:r>
      <w:r>
        <w:t xml:space="preserve"> </w:t>
      </w:r>
      <w:r>
        <w:t xml:space="preserve">hides this by averaging. The best single fusion result in the study is</w:t>
      </w:r>
      <w:r>
        <w:t xml:space="preserve"> </w:t>
      </w:r>
      <w:r>
        <w:t xml:space="preserve">fuzzy+select in TWILIGHT, ΔAP50 −0.056.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 read and future work.</w:t>
      </w:r>
      <w:r>
        <w:t xml:space="preserve"> </w:t>
      </w:r>
      <w:r>
        <w:t xml:space="preserve">On this rig the IR sensor carries the system and</w:t>
      </w:r>
      <w:r>
        <w:t xml:space="preserve"> </w:t>
      </w:r>
      <w:r>
        <w:t xml:space="preserve">fusion’s ceiling is bounded by the weak EO model. The fuzzy trust engine</w:t>
      </w:r>
      <w:r>
        <w:t xml:space="preserve"> </w:t>
      </w:r>
      <w:r>
        <w:t xml:space="preserve">clearly beats the hard table, and box-selection recovers the localization WBF</w:t>
      </w:r>
      <w:r>
        <w:t xml:space="preserve"> </w:t>
      </w:r>
      <w:r>
        <w:t xml:space="preserve">destroys. Reaching ΔAP50 ≥ 0 requires a stronger EO detector, tuning the rule</w:t>
      </w:r>
      <w:r>
        <w:t xml:space="preserve"> </w:t>
      </w:r>
      <w:r>
        <w:t xml:space="preserve">grid on a validation split, or a margin-gated box mode that uses selection only</w:t>
      </w:r>
      <w:r>
        <w:t xml:space="preserve"> </w:t>
      </w:r>
      <w:r>
        <w:t xml:space="preserve">when one sensor’s weight clearly dominates.</w:t>
      </w:r>
    </w:p>
    <w:p>
      <w:pPr>
        <w:pStyle w:val="BlockText"/>
      </w:pPr>
      <w:r>
        <w:rPr>
          <w:bCs/>
          <w:b/>
        </w:rPr>
        <w:t xml:space="preserve">Reporting caveat:</w:t>
      </w:r>
      <w:r>
        <w:t xml:space="preserve"> </w:t>
      </w:r>
      <w:r>
        <w:t xml:space="preserve">predictions and ground truth are both in the IR frame, so</w:t>
      </w:r>
      <w:r>
        <w:t xml:space="preserve"> </w:t>
      </w:r>
      <w:r>
        <w:t xml:space="preserve">IR is on native turf while EO/fusion is charged the ≈4 px registration residual;</w:t>
      </w:r>
      <w:r>
        <w:t xml:space="preserve"> </w:t>
      </w:r>
      <w:r>
        <w:t xml:space="preserve">this slightly favours IR.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b.-numeric-spec-inconsistencies"/>
    <w:p>
      <w:pPr>
        <w:pStyle w:val="Heading1"/>
      </w:pPr>
      <w:r>
        <w:t xml:space="preserve">B. Numeric / spec inconsistencies</w:t>
      </w:r>
    </w:p>
    <w:bookmarkStart w:id="27" w:name="b4-one-title-everywhere"/>
    <w:p>
      <w:pPr>
        <w:pStyle w:val="Heading2"/>
      </w:pPr>
      <w:r>
        <w:t xml:space="preserve">B4 — One title everywhere</w:t>
      </w:r>
    </w:p>
    <w:p>
      <w:pPr>
        <w:pStyle w:val="FirstParagraph"/>
      </w:pPr>
      <w:r>
        <w:rPr>
          <w:bCs/>
          <w:b/>
        </w:rPr>
        <w:t xml:space="preserve">[ACTION]</w:t>
      </w:r>
      <w:r>
        <w:t xml:space="preserve"> </w:t>
      </w:r>
      <w:r>
        <w:t xml:space="preserve">The cover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Dynamic Weighted Late Fusion Pipeline for Multi-Modal</w:t>
      </w:r>
      <w:r>
        <w:rPr>
          <w:iCs/>
          <w:i/>
        </w:rPr>
        <w:t xml:space="preserve"> </w:t>
      </w:r>
      <w:r>
        <w:rPr>
          <w:iCs/>
          <w:i/>
        </w:rPr>
        <w:t xml:space="preserve">Drone Detection</w:t>
      </w:r>
      <w:r>
        <w:rPr>
          <w:iCs/>
          <w:i/>
        </w:rPr>
        <w:t xml:space="preserve">”</w:t>
      </w:r>
      <w:r>
        <w:t xml:space="preserve">; the inner title page, copyright page and abstract 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Multi</w:t>
      </w:r>
      <w:r>
        <w:rPr>
          <w:iCs/>
          <w:i/>
        </w:rPr>
        <w:t xml:space="preserve"> </w:t>
      </w:r>
      <w:r>
        <w:rPr>
          <w:iCs/>
          <w:i/>
        </w:rPr>
        <w:t xml:space="preserve">Modal Fusion for Drone Detection.</w:t>
      </w:r>
      <w:r>
        <w:rPr>
          <w:iCs/>
          <w:i/>
        </w:rPr>
        <w:t xml:space="preserve">”</w:t>
      </w:r>
      <w:r>
        <w:t xml:space="preserve"> </w:t>
      </w:r>
      <w:r>
        <w:t xml:space="preserve">Pick one and use it on all four. Recommended:</w:t>
      </w:r>
      <w:r>
        <w:t xml:space="preserve"> </w:t>
      </w:r>
      <w:r>
        <w:t xml:space="preserve">the cover title (more descriptive), hyphenated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Multi-Modal</w:t>
      </w:r>
      <w:r>
        <w:rPr>
          <w:bCs/>
          <w:b/>
        </w:rPr>
        <w:t xml:space="preserve">”</w:t>
      </w:r>
      <w:r>
        <w:t xml:space="preserve"> </w:t>
      </w:r>
      <w:r>
        <w:t xml:space="preserve">throughout.</w:t>
      </w:r>
    </w:p>
    <w:bookmarkEnd w:id="27"/>
    <w:bookmarkStart w:id="28" w:name="b5-ir-resolution"/>
    <w:p>
      <w:pPr>
        <w:pStyle w:val="Heading2"/>
      </w:pPr>
      <w:r>
        <w:t xml:space="preserve">B5 — IR resolution</w:t>
      </w:r>
    </w:p>
    <w:p>
      <w:pPr>
        <w:pStyle w:val="FirstParagraph"/>
      </w:pPr>
      <w:r>
        <w:rPr>
          <w:bCs/>
          <w:b/>
        </w:rPr>
        <w:t xml:space="preserve">[CONFIRM + ACTION]</w:t>
      </w:r>
      <w:r>
        <w:t xml:space="preserve"> </w:t>
      </w:r>
      <w:r>
        <w:t xml:space="preserve">Table 1 says IR =</w:t>
      </w:r>
      <w:r>
        <w:t xml:space="preserve"> </w:t>
      </w:r>
      <w:r>
        <w:rPr>
          <w:bCs/>
          <w:b/>
        </w:rPr>
        <w:t xml:space="preserve">640×512</w:t>
      </w:r>
      <w:r>
        <w:t xml:space="preserve"> </w:t>
      </w:r>
      <w:r>
        <w:t xml:space="preserve">and EO 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4K / 1080p</w:t>
      </w:r>
      <w:r>
        <w:rPr>
          <w:bCs/>
          <w:b/>
        </w:rPr>
        <w:t xml:space="preserve">”</w:t>
      </w:r>
      <w:r>
        <w:t xml:space="preserve">, but</w:t>
      </w:r>
      <w:r>
        <w:t xml:space="preserve"> </w:t>
      </w:r>
      <w:r>
        <w:t xml:space="preserve">the code (</w:t>
      </w:r>
      <w:r>
        <w:rPr>
          <w:rStyle w:val="VerbatimChar"/>
        </w:rPr>
        <w:t xml:space="preserve">reg_ir_size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fusion-pipeline-calculations.md</w:t>
      </w:r>
      <w:r>
        <w:t xml:space="preserve"> </w:t>
      </w:r>
      <w:r>
        <w:t xml:space="preserve">use IR =</w:t>
      </w:r>
      <w:r>
        <w:t xml:space="preserve"> </w:t>
      </w:r>
      <w:r>
        <w:rPr>
          <w:bCs/>
          <w:b/>
        </w:rPr>
        <w:t xml:space="preserve">1280×1024</w:t>
      </w:r>
      <w:r>
        <w:t xml:space="preserve">.</w:t>
      </w:r>
      <w:r>
        <w:t xml:space="preserve"> </w:t>
      </w:r>
      <w:r>
        <w:t xml:space="preserve">These can’t both be true. Check the actual IR frame size you ran on, then make</w:t>
      </w:r>
      <w:r>
        <w:t xml:space="preserve"> </w:t>
      </w:r>
      <w:r>
        <w:t xml:space="preserve">Table 1, the calculations doc, and the code agree. Also fix EO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4K / 1080p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a single value (4K = 3840×2160).</w:t>
      </w:r>
    </w:p>
    <w:bookmarkEnd w:id="28"/>
    <w:bookmarkStart w:id="29" w:name="b6-3164-pictures-vs-11534"/>
    <w:p>
      <w:pPr>
        <w:pStyle w:val="Heading2"/>
      </w:pPr>
      <w:r>
        <w:t xml:space="preserve">B6 —</w:t>
      </w:r>
      <w:r>
        <w:t xml:space="preserve"> </w:t>
      </w:r>
      <w:r>
        <w:t xml:space="preserve">“</w:t>
      </w:r>
      <w:r>
        <w:t xml:space="preserve">3164 pictures</w:t>
      </w:r>
      <w:r>
        <w:t xml:space="preserve">”</w:t>
      </w:r>
      <w:r>
        <w:t xml:space="preserve"> </w:t>
      </w:r>
      <w:r>
        <w:t xml:space="preserve">vs 11,534</w:t>
      </w:r>
    </w:p>
    <w:p>
      <w:pPr>
        <w:pStyle w:val="FirstParagraph"/>
      </w:pPr>
      <w:r>
        <w:rPr>
          <w:bCs/>
          <w:b/>
        </w:rPr>
        <w:t xml:space="preserve">[CONFIRM + ACTION]</w:t>
      </w:r>
      <w:r>
        <w:t xml:space="preserve"> </w:t>
      </w:r>
      <w:r>
        <w:t xml:space="preserve">The categorizing paragraph says you classified</w:t>
      </w:r>
      <w:r>
        <w:t xml:space="preserve"> </w:t>
      </w:r>
      <w:r>
        <w:rPr>
          <w:bCs/>
          <w:b/>
        </w:rPr>
        <w:t xml:space="preserve">3164</w:t>
      </w:r>
      <w:r>
        <w:t xml:space="preserve"> </w:t>
      </w:r>
      <w:r>
        <w:t xml:space="preserve">pictures, but Table 3’s counts all sum to</w:t>
      </w:r>
      <w:r>
        <w:t xml:space="preserve"> </w:t>
      </w:r>
      <w:r>
        <w:rPr>
          <w:bCs/>
          <w:b/>
        </w:rPr>
        <w:t xml:space="preserve">11,534</w:t>
      </w:r>
      <w:r>
        <w:t xml:space="preserve"> </w:t>
      </w:r>
      <w:r>
        <w:t xml:space="preserve">(e.g. 5744 EO + 5790 IR).</w:t>
      </w:r>
      <w:r>
        <w:t xml:space="preserve"> </w:t>
      </w:r>
      <w:r>
        <w:t xml:space="preserve">Reconcile — if 11,534 is the dataset size, change</w:t>
      </w:r>
      <w:r>
        <w:t xml:space="preserve"> </w:t>
      </w:r>
      <w:r>
        <w:t xml:space="preserve">“</w:t>
      </w:r>
      <w:r>
        <w:t xml:space="preserve">3164</w:t>
      </w:r>
      <w:r>
        <w:t xml:space="preserve">”</w:t>
      </w:r>
      <w:r>
        <w:t xml:space="preserve"> </w:t>
      </w:r>
      <w:r>
        <w:t xml:space="preserve">to that (or clarify what</w:t>
      </w:r>
      <w:r>
        <w:t xml:space="preserve"> </w:t>
      </w:r>
      <w:r>
        <w:t xml:space="preserve">the 3164 subset was).</w:t>
      </w:r>
    </w:p>
    <w:bookmarkEnd w:id="29"/>
    <w:bookmarkStart w:id="30" w:name="b7-naming-template-vs-example"/>
    <w:p>
      <w:pPr>
        <w:pStyle w:val="Heading2"/>
      </w:pPr>
      <w:r>
        <w:t xml:space="preserve">B7 — Naming template vs example</w:t>
      </w:r>
    </w:p>
    <w:p>
      <w:pPr>
        <w:pStyle w:val="FirstParagraph"/>
      </w:pPr>
      <w:r>
        <w:rPr>
          <w:bCs/>
          <w:b/>
        </w:rPr>
        <w:t xml:space="preserve">[ACTION]</w:t>
      </w:r>
      <w:r>
        <w:t xml:space="preserve"> </w:t>
      </w:r>
      <w:r>
        <w:t xml:space="preserve">The template</w:t>
      </w:r>
      <w:r>
        <w:t xml:space="preserve"> </w:t>
      </w:r>
      <w:r>
        <w:rPr>
          <w:rStyle w:val="VerbatimChar"/>
        </w:rPr>
        <w:t xml:space="preserve">Item_Light_Distance_Background_Sensor_EXP_frameFID</w:t>
      </w:r>
      <w:r>
        <w:t xml:space="preserve"> </w:t>
      </w:r>
      <w:r>
        <w:t xml:space="preserve">implies</w:t>
      </w:r>
      <w:r>
        <w:t xml:space="preserve"> </w:t>
      </w:r>
      <w:r>
        <w:t xml:space="preserve">five separate single digits (</w:t>
      </w:r>
      <w:r>
        <w:rPr>
          <w:rStyle w:val="VerbatimChar"/>
        </w:rPr>
        <w:t xml:space="preserve">1_0_0_0_0_…</w:t>
      </w:r>
      <w:r>
        <w:t xml:space="preserve">), but the real files are</w:t>
      </w:r>
      <w:r>
        <w:t xml:space="preserve"> </w:t>
      </w:r>
      <w:r>
        <w:rPr>
          <w:rStyle w:val="VerbatimChar"/>
        </w:rPr>
        <w:t xml:space="preserve">1_000_0_E11_frame000033</w:t>
      </w:r>
      <w:r>
        <w:t xml:space="preserve"> </w:t>
      </w:r>
      <w:r>
        <w:t xml:space="preserve">— Light/Distance/Background are one 3-digit group.</w:t>
      </w:r>
      <w:r>
        <w:t xml:space="preserve"> </w:t>
      </w:r>
      <w:r>
        <w:t xml:space="preserve">Replace the Figure 2 template + example with the real structure:</w:t>
      </w:r>
    </w:p>
    <w:p>
      <w:pPr>
        <w:pStyle w:val="BodyText"/>
      </w:pPr>
      <w:r>
        <w:rPr>
          <w:bCs/>
          <w:b/>
        </w:rPr>
        <w:t xml:space="preserve">[PASTE]</w:t>
      </w:r>
      <w:r>
        <w:t xml:space="preserve"> </w:t>
      </w:r>
      <w:r>
        <w:t xml:space="preserve">&gt; Template:</w:t>
      </w:r>
      <w:r>
        <w:t xml:space="preserve"> </w:t>
      </w:r>
      <w:r>
        <w:rPr>
          <w:rStyle w:val="VerbatimChar"/>
        </w:rPr>
        <w:t xml:space="preserve">&lt;Item&gt;_&lt;Light&gt;&lt;Distance&gt;&lt;Background&gt;_&lt;Sensor&gt;_&lt;Experiment&gt;_frame&lt;FID&gt;.jpg</w:t>
      </w:r>
      <w:r>
        <w:t xml:space="preserve"> </w:t>
      </w:r>
      <w:r>
        <w:t xml:space="preserve">&gt; Example:</w:t>
      </w:r>
      <w:r>
        <w:t xml:space="preserve"> </w:t>
      </w:r>
      <w:r>
        <w:rPr>
          <w:rStyle w:val="VerbatimChar"/>
        </w:rPr>
        <w:t xml:space="preserve">1_000_0_E11_frame000033.jpg</w:t>
      </w:r>
      <w:r>
        <w:t xml:space="preserve"> </w:t>
      </w:r>
      <w:r>
        <w:t xml:space="preserve">→ drone (Item 1); bright, near, clear</w:t>
      </w:r>
      <w:r>
        <w:t xml:space="preserve"> </w:t>
      </w:r>
      <w:r>
        <w:t xml:space="preserve">&gt; (Light 0, Distance 0, Background 0); EO (Sensor 0); experiment E11; frame 33.</w:t>
      </w:r>
    </w:p>
    <w:p>
      <w:pPr>
        <w:pStyle w:val="BodyText"/>
      </w:pPr>
      <w:r>
        <w:t xml:space="preserve">Also make the experiment tag consistent — Figure 2 uses</w:t>
      </w:r>
      <w:r>
        <w:t xml:space="preserve"> </w:t>
      </w:r>
      <w:r>
        <w:rPr>
          <w:rStyle w:val="VerbatimChar"/>
        </w:rPr>
        <w:t xml:space="preserve">ERF1</w:t>
      </w:r>
      <w:r>
        <w:t xml:space="preserve"> </w:t>
      </w:r>
      <w:r>
        <w:t xml:space="preserve">while the</w:t>
      </w:r>
      <w:r>
        <w:t xml:space="preserve"> </w:t>
      </w:r>
      <w:r>
        <w:t xml:space="preserve">BitFlipper/CVAT screenshots use</w:t>
      </w:r>
      <w:r>
        <w:t xml:space="preserve"> </w:t>
      </w:r>
      <w:r>
        <w:rPr>
          <w:rStyle w:val="VerbatimChar"/>
        </w:rPr>
        <w:t xml:space="preserve">E11 / E17 / E9</w:t>
      </w:r>
      <w:r>
        <w:t xml:space="preserve">. Use the real form (e.g. </w:t>
      </w:r>
      <w:r>
        <w:rPr>
          <w:rStyle w:val="VerbatimChar"/>
        </w:rPr>
        <w:t xml:space="preserve">E11</w:t>
      </w:r>
      <w:r>
        <w:t xml:space="preserve">).</w:t>
      </w:r>
    </w:p>
    <w:bookmarkEnd w:id="30"/>
    <w:bookmarkStart w:id="31" w:name="b8-no-object-vs-no-drone"/>
    <w:p>
      <w:pPr>
        <w:pStyle w:val="Heading2"/>
      </w:pPr>
      <w:r>
        <w:t xml:space="preserve">B8 —</w:t>
      </w:r>
      <w:r>
        <w:t xml:space="preserve"> </w:t>
      </w:r>
      <w:r>
        <w:t xml:space="preserve">“</w:t>
      </w:r>
      <w:r>
        <w:t xml:space="preserve">No object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No Drone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[ACTION]</w:t>
      </w:r>
      <w:r>
        <w:t xml:space="preserve"> </w:t>
      </w:r>
      <w:r>
        <w:t xml:space="preserve">Table 2 calls class 2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object</w:t>
      </w:r>
      <w:r>
        <w:rPr>
          <w:iCs/>
          <w:i/>
        </w:rPr>
        <w:t xml:space="preserve">”</w:t>
      </w:r>
      <w:r>
        <w:t xml:space="preserve">; Table 3 calls it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Drone.</w:t>
      </w:r>
      <w:r>
        <w:rPr>
          <w:iCs/>
          <w:i/>
        </w:rPr>
        <w:t xml:space="preserve">”</w:t>
      </w:r>
      <w:r>
        <w:t xml:space="preserve"> </w:t>
      </w:r>
      <w:r>
        <w:t xml:space="preserve">Standardise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object</w:t>
      </w:r>
      <w:r>
        <w:rPr>
          <w:bCs/>
          <w:b/>
        </w:rPr>
        <w:t xml:space="preserve">”</w:t>
      </w:r>
      <w:r>
        <w:t xml:space="preserve"> </w:t>
      </w:r>
      <w:r>
        <w:t xml:space="preserve">in Table 3 to match the naming convention.</w:t>
      </w:r>
    </w:p>
    <w:bookmarkEnd w:id="31"/>
    <w:bookmarkStart w:id="32" w:name="b9-remaining-placeholders"/>
    <w:p>
      <w:pPr>
        <w:pStyle w:val="Heading2"/>
      </w:pPr>
      <w:r>
        <w:t xml:space="preserve">B9 — Remaining placeholders</w:t>
      </w:r>
    </w:p>
    <w:p>
      <w:pPr>
        <w:pStyle w:val="FirstParagraph"/>
      </w:pPr>
      <w:r>
        <w:rPr>
          <w:bCs/>
          <w:b/>
        </w:rPr>
        <w:t xml:space="preserve">[ACTION]</w:t>
      </w:r>
      <w:r>
        <w:t xml:space="preserve"> </w:t>
      </w:r>
      <w:r>
        <w:t xml:space="preserve">Fill Table 1</w:t>
      </w:r>
      <w:r>
        <w:t xml:space="preserve"> </w:t>
      </w:r>
      <w:r>
        <w:t xml:space="preserve">“</w:t>
      </w:r>
      <w:r>
        <w:t xml:space="preserve">Total Samples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#getexact</w:t>
      </w:r>
      <w:r>
        <w:t xml:space="preserve"> </w:t>
      </w:r>
      <w:r>
        <w:t xml:space="preserve">→ real counts; from Table 3</w:t>
      </w:r>
      <w:r>
        <w:t xml:space="preserve"> </w:t>
      </w:r>
      <w:r>
        <w:t xml:space="preserve">that’s EO 5744, IR 5790, plus your paired count). Delete the literal</w:t>
      </w:r>
      <w:r>
        <w:t xml:space="preserve"> </w:t>
      </w:r>
      <w:r>
        <w:rPr>
          <w:rStyle w:val="VerbatimChar"/>
        </w:rPr>
        <w:t xml:space="preserve">########</w:t>
      </w:r>
      <w:r>
        <w:t xml:space="preserve"> </w:t>
      </w:r>
      <w:r>
        <w:t xml:space="preserve">in</w:t>
      </w:r>
      <w:r>
        <w:t xml:space="preserve"> </w:t>
      </w:r>
      <w:r>
        <w:t xml:space="preserve">the categorizing paragraph. §8 results are handled by A3 above.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.-structure-cross-references"/>
    <w:p>
      <w:pPr>
        <w:pStyle w:val="Heading1"/>
      </w:pPr>
      <w:r>
        <w:t xml:space="preserve">C. Structure / cross-references</w:t>
      </w:r>
    </w:p>
    <w:bookmarkStart w:id="34" w:name="c10-3-subsection-numbers-toc"/>
    <w:p>
      <w:pPr>
        <w:pStyle w:val="Heading2"/>
      </w:pPr>
      <w:r>
        <w:t xml:space="preserve">C10 — §3 subsection numbers + TOC</w:t>
      </w:r>
    </w:p>
    <w:p>
      <w:pPr>
        <w:pStyle w:val="FirstParagraph"/>
      </w:pPr>
      <w:r>
        <w:rPr>
          <w:bCs/>
          <w:b/>
        </w:rPr>
        <w:t xml:space="preserve">[ACTION]</w:t>
      </w:r>
      <w:r>
        <w:t xml:space="preserve"> </w:t>
      </w:r>
      <w:r>
        <w:t xml:space="preserve">The body shows literal placeholders</w:t>
      </w:r>
      <w:r>
        <w:t xml:space="preserve"> </w:t>
      </w:r>
      <w:r>
        <w:rPr>
          <w:rStyle w:val="VerbatimChar"/>
        </w:rPr>
        <w:t xml:space="preserve">3.#. Extracting individual 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3.#. Naming convention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3.#. Categorizing frames</w:t>
      </w:r>
      <w:r>
        <w:t xml:space="preserve">. Number them</w:t>
      </w:r>
      <w:r>
        <w:t xml:space="preserve"> </w:t>
      </w:r>
      <w:r>
        <w:rPr>
          <w:bCs/>
          <w:b/>
        </w:rPr>
        <w:t xml:space="preserve">3.1 / 3.2 / 3.3</w:t>
      </w:r>
      <w:r>
        <w:t xml:space="preserve"> </w:t>
      </w:r>
      <w:r>
        <w:t xml:space="preserve">and add 3.2 and 3.3 to the Table of Contents (currently only 3.1 is listed).</w:t>
      </w:r>
    </w:p>
    <w:bookmarkEnd w:id="34"/>
    <w:bookmarkStart w:id="35" w:name="c11-missing-figure-in-7.3"/>
    <w:p>
      <w:pPr>
        <w:pStyle w:val="Heading2"/>
      </w:pPr>
      <w:r>
        <w:t xml:space="preserve">C11 — Missing figure in §7.3</w:t>
      </w:r>
    </w:p>
    <w:p>
      <w:pPr>
        <w:pStyle w:val="FirstParagraph"/>
      </w:pPr>
      <w:r>
        <w:rPr>
          <w:bCs/>
          <w:b/>
        </w:rPr>
        <w:t xml:space="preserve">[ACTION]</w:t>
      </w:r>
      <w:r>
        <w:t xml:space="preserve"> </w:t>
      </w:r>
      <w:r>
        <w:t xml:space="preserve">Resolved by the A2 rewrite (it no longer says</w:t>
      </w:r>
      <w:r>
        <w:t xml:space="preserve"> </w:t>
      </w:r>
      <w:r>
        <w:t xml:space="preserve">“</w:t>
      </w:r>
      <w:r>
        <w:t xml:space="preserve">the image above</w:t>
      </w:r>
      <w:r>
        <w:t xml:space="preserve">”</w:t>
      </w:r>
      <w:r>
        <w:t xml:space="preserve">).</w:t>
      </w:r>
      <w:r>
        <w:t xml:space="preserve"> </w:t>
      </w:r>
      <w:r>
        <w:t xml:space="preserve">Just delete the red</w:t>
      </w:r>
      <w:r>
        <w:t xml:space="preserve"> </w:t>
      </w:r>
      <w:r>
        <w:t xml:space="preserve">“</w:t>
      </w:r>
      <w:r>
        <w:t xml:space="preserve">Figure caption will added.</w:t>
      </w:r>
      <w:r>
        <w:t xml:space="preserve">”</w:t>
      </w:r>
      <w:r>
        <w:t xml:space="preserve"> </w:t>
      </w:r>
      <w:r>
        <w:t xml:space="preserve">note. Optional: add a small WBF</w:t>
      </w:r>
      <w:r>
        <w:t xml:space="preserve"> </w:t>
      </w:r>
      <w:r>
        <w:t xml:space="preserve">illustration if you want a visual.</w:t>
      </w:r>
    </w:p>
    <w:bookmarkEnd w:id="35"/>
    <w:bookmarkStart w:id="36" w:name="c12-front-matter-placeholders"/>
    <w:p>
      <w:pPr>
        <w:pStyle w:val="Heading2"/>
      </w:pPr>
      <w:r>
        <w:t xml:space="preserve">C12 — Front-matter placeholders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Abstract</w:t>
      </w:r>
      <w:r>
        <w:t xml:space="preserve"> </w:t>
      </w:r>
      <w:r>
        <w:t xml:space="preserve">— draft below.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Conclusion</w:t>
      </w:r>
      <w:r>
        <w:t xml:space="preserve"> </w:t>
      </w:r>
      <w:r>
        <w:t xml:space="preserve">— draft below.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Related Work</w:t>
      </w:r>
      <w:r>
        <w:t xml:space="preserve"> </w:t>
      </w:r>
      <w:r>
        <w:t xml:space="preserve">— your note says you’ll cite inline; either keep §2 as a short</w:t>
      </w:r>
      <w:r>
        <w:t xml:space="preserve"> </w:t>
      </w:r>
      <w:r>
        <w:t xml:space="preserve">paragraph saying so, or remove the empty section heading.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Acknowledgements</w:t>
      </w:r>
      <w:r>
        <w:t xml:space="preserve"> </w:t>
      </w:r>
      <w:r>
        <w:t xml:space="preserve">— personal; fill in or remove the</w:t>
      </w:r>
      <w:r>
        <w:t xml:space="preserve"> </w:t>
      </w:r>
      <w:r>
        <w:t xml:space="preserve">“</w:t>
      </w:r>
      <w:r>
        <w:t xml:space="preserve">We should thank someone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Roman numerals</w:t>
      </w:r>
      <w:r>
        <w:t xml:space="preserve"> </w:t>
      </w:r>
      <w:r>
        <w:t xml:space="preserve">— your own note: front matter (Approval → List of Figures)</w:t>
      </w:r>
      <w:r>
        <w:t xml:space="preserve"> </w:t>
      </w:r>
      <w:r>
        <w:t xml:space="preserve">should use i, ii, iii…; numbered pages start at the Introduction.</w:t>
      </w:r>
    </w:p>
    <w:p>
      <w:pPr>
        <w:pStyle w:val="FirstParagraph"/>
      </w:pPr>
      <w:r>
        <w:rPr>
          <w:bCs/>
          <w:b/>
        </w:rPr>
        <w:t xml:space="preserve">[PASTE — Abstract]</w:t>
      </w:r>
      <w:r>
        <w:t xml:space="preserve"> </w:t>
      </w:r>
      <w:r>
        <w:t xml:space="preserve">&gt; Unmanned aerial vehicles pose a growing security threat, making reliable drone</w:t>
      </w:r>
      <w:r>
        <w:t xml:space="preserve"> </w:t>
      </w:r>
      <w:r>
        <w:t xml:space="preserve">&gt; detection important. Single-sensor detectors each have blind spots:</w:t>
      </w:r>
      <w:r>
        <w:t xml:space="preserve"> </w:t>
      </w:r>
      <w:r>
        <w:t xml:space="preserve">&gt; electro-optical (EO) cameras struggle in low light, while infrared (IR) sensors</w:t>
      </w:r>
      <w:r>
        <w:t xml:space="preserve"> </w:t>
      </w:r>
      <w:r>
        <w:t xml:space="preserve">&gt; lack visible detail. This work investigates whether fusing EO and IR drone</w:t>
      </w:r>
      <w:r>
        <w:t xml:space="preserve"> </w:t>
      </w:r>
      <w:r>
        <w:t xml:space="preserve">&gt; detectors yields more accurate detection than either alone. We collect and</w:t>
      </w:r>
      <w:r>
        <w:t xml:space="preserve"> </w:t>
      </w:r>
      <w:r>
        <w:t xml:space="preserve">&gt; annotate a synchronized EO/IR drone dataset captured with a DJI Matrice 4T, train</w:t>
      </w:r>
      <w:r>
        <w:t xml:space="preserve"> </w:t>
      </w:r>
      <w:r>
        <w:t xml:space="preserve">&gt; single-modality YOLO11 detectors as baselines, and build a late-fusion pipeline</w:t>
      </w:r>
      <w:r>
        <w:t xml:space="preserve"> </w:t>
      </w:r>
      <w:r>
        <w:t xml:space="preserve">&gt; that associates per-sensor detections, fuses their boxes and confidences, and</w:t>
      </w:r>
      <w:r>
        <w:t xml:space="preserve"> </w:t>
      </w:r>
      <w:r>
        <w:t xml:space="preserve">&gt; tracks targets over time. Because the sensors are not co-boresighted, EO</w:t>
      </w:r>
      <w:r>
        <w:t xml:space="preserve"> </w:t>
      </w:r>
      <w:r>
        <w:t xml:space="preserve">&gt; detections are mapped into the IR frame by a one-time affine registration. The</w:t>
      </w:r>
      <w:r>
        <w:t xml:space="preserve"> </w:t>
      </w:r>
      <w:r>
        <w:t xml:space="preserve">&gt; core contribution is an adaptive, fuzzy sensor-trust engine that sets the EO/IR</w:t>
      </w:r>
      <w:r>
        <w:t xml:space="preserve"> </w:t>
      </w:r>
      <w:r>
        <w:t xml:space="preserve">&gt; weighting from scene brightness and target size, replacing a hard per-regime</w:t>
      </w:r>
      <w:r>
        <w:t xml:space="preserve"> </w:t>
      </w:r>
      <w:r>
        <w:t xml:space="preserve">&gt; lookup table. On a 1298-frame test set the fuzzy engine improves over the</w:t>
      </w:r>
      <w:r>
        <w:t xml:space="preserve"> </w:t>
      </w:r>
      <w:r>
        <w:t xml:space="preserve">&gt; hard-table baseline on every metric (AP50 0.69 vs 0.51), and a trust-driven</w:t>
      </w:r>
      <w:r>
        <w:t xml:space="preserve"> </w:t>
      </w:r>
      <w:r>
        <w:t xml:space="preserve">&gt; box-selection variant recovers localization accuracy (AP75 0.26 vs 0.02). Because</w:t>
      </w:r>
      <w:r>
        <w:t xml:space="preserve"> </w:t>
      </w:r>
      <w:r>
        <w:t xml:space="preserve">&gt; the EO detector is substantially weaker than the IR detector on our data, no</w:t>
      </w:r>
      <w:r>
        <w:t xml:space="preserve"> </w:t>
      </w:r>
      <w:r>
        <w:t xml:space="preserve">&gt; fusion configuration surpasses the IR detector alone; the fuzzy approach comes</w:t>
      </w:r>
      <w:r>
        <w:t xml:space="preserve"> </w:t>
      </w:r>
      <w:r>
        <w:t xml:space="preserve">&gt; closest. We analyse why, and what is required for fusion to exceed the strongest</w:t>
      </w:r>
      <w:r>
        <w:t xml:space="preserve"> </w:t>
      </w:r>
      <w:r>
        <w:t xml:space="preserve">&gt; single sensor.</w:t>
      </w:r>
    </w:p>
    <w:p>
      <w:pPr>
        <w:pStyle w:val="BodyText"/>
      </w:pPr>
      <w:r>
        <w:rPr>
          <w:bCs/>
          <w:b/>
        </w:rPr>
        <w:t xml:space="preserve">[PASTE — Conclusion]</w:t>
      </w:r>
      <w:r>
        <w:t xml:space="preserve"> </w:t>
      </w:r>
      <w:r>
        <w:t xml:space="preserve">&gt; We set out to determine whether multi-modal EO/IR fusion can outperform</w:t>
      </w:r>
      <w:r>
        <w:t xml:space="preserve"> </w:t>
      </w:r>
      <w:r>
        <w:t xml:space="preserve">&gt; single-modality drone detection. We built a complete late-fusion pipeline —</w:t>
      </w:r>
      <w:r>
        <w:t xml:space="preserve"> </w:t>
      </w:r>
      <w:r>
        <w:t xml:space="preserve">&gt; synchronized capture, per-sensor YOLO11 detectors, affine EO→IR registration, an</w:t>
      </w:r>
      <w:r>
        <w:t xml:space="preserve"> </w:t>
      </w:r>
      <w:r>
        <w:t xml:space="preserve">&gt; adaptive fuzzy trust engine for sensor weighting, and Kalman tracking — and</w:t>
      </w:r>
      <w:r>
        <w:t xml:space="preserve"> </w:t>
      </w:r>
      <w:r>
        <w:t xml:space="preserve">&gt; evaluated it as an ablation against its own inputs. The fuzzy trust engine clearly</w:t>
      </w:r>
      <w:r>
        <w:t xml:space="preserve"> </w:t>
      </w:r>
      <w:r>
        <w:t xml:space="preserve">&gt; improves on a hard per-regime weighting table across all metrics, and the</w:t>
      </w:r>
      <w:r>
        <w:t xml:space="preserve"> </w:t>
      </w:r>
      <w:r>
        <w:t xml:space="preserve">&gt; box-selection variant restores the localization accuracy that naive box averaging</w:t>
      </w:r>
      <w:r>
        <w:t xml:space="preserve"> </w:t>
      </w:r>
      <w:r>
        <w:t xml:space="preserve">&gt; degrades. The headline finding is honest: on our dataset the IR detector is far</w:t>
      </w:r>
      <w:r>
        <w:t xml:space="preserve"> </w:t>
      </w:r>
      <w:r>
        <w:t xml:space="preserve">&gt; stronger than the EO detector, so no fusion configuration beats IR alone — the</w:t>
      </w:r>
      <w:r>
        <w:t xml:space="preserve"> </w:t>
      </w:r>
      <w:r>
        <w:t xml:space="preserve">&gt; fuzzy approach narrows but does not close the gap. This bounds the value of fusion</w:t>
      </w:r>
      <w:r>
        <w:t xml:space="preserve"> </w:t>
      </w:r>
      <w:r>
        <w:t xml:space="preserve">&gt; by the weaker sensor’s quality. Future work should strengthen the EO detector,</w:t>
      </w:r>
      <w:r>
        <w:t xml:space="preserve"> </w:t>
      </w:r>
      <w:r>
        <w:t xml:space="preserve">&gt; tune the fuzzy rule base on a validation split, and explore a margin-gated box</w:t>
      </w:r>
      <w:r>
        <w:t xml:space="preserve"> </w:t>
      </w:r>
      <w:r>
        <w:t xml:space="preserve">&gt; mode; because the trust engine is sensor-agnostic and shifts weight automatically</w:t>
      </w:r>
      <w:r>
        <w:t xml:space="preserve"> </w:t>
      </w:r>
      <w:r>
        <w:t xml:space="preserve">&gt; as its inputs improve, the same pipeline is positioned to exceed the strongest</w:t>
      </w:r>
      <w:r>
        <w:t xml:space="preserve"> </w:t>
      </w:r>
      <w:r>
        <w:t xml:space="preserve">&gt; single sensor once the EO model is more competitive.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.-typos-find-replace"/>
    <w:p>
      <w:pPr>
        <w:pStyle w:val="Heading1"/>
      </w:pPr>
      <w:r>
        <w:t xml:space="preserve">D. Typos (find → replace)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Brithness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Brightness</w:t>
      </w:r>
      <w:r>
        <w:rPr>
          <w:bCs/>
          <w:b/>
        </w:rPr>
        <w:t xml:space="preserve">”</w:t>
      </w:r>
      <w:r>
        <w:t xml:space="preserve"> </w:t>
      </w:r>
      <w:r>
        <w:t xml:space="preserve">(List of Tables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Table 4 caption).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TWILIGTH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TWILIGHT</w:t>
      </w:r>
      <w:r>
        <w:rPr>
          <w:bCs/>
          <w:b/>
        </w:rPr>
        <w:t xml:space="preserve">”</w:t>
      </w:r>
      <w:r>
        <w:t xml:space="preserve"> </w:t>
      </w:r>
      <w:r>
        <w:t xml:space="preserve">(Table 4, regime column).</w:t>
      </w:r>
    </w:p>
    <w:p>
      <w:pPr>
        <w:numPr>
          <w:ilvl w:val="0"/>
          <w:numId w:val="1003"/>
        </w:numPr>
        <w:pStyle w:val="Compact"/>
      </w:pPr>
      <w:r>
        <w:t xml:space="preserve">§7.3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are system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our system</w:t>
      </w:r>
      <w:r>
        <w:rPr>
          <w:bCs/>
          <w:b/>
        </w:rPr>
        <w:t xml:space="preserve">”</w:t>
      </w:r>
      <w:r>
        <w:t xml:space="preserve"> </w:t>
      </w:r>
      <w:r>
        <w:t xml:space="preserve">(removed if you paste the A2 rewrite).</w:t>
      </w:r>
    </w:p>
    <w:p>
      <w:pPr>
        <w:numPr>
          <w:ilvl w:val="0"/>
          <w:numId w:val="1003"/>
        </w:numPr>
        <w:pStyle w:val="Compact"/>
      </w:pPr>
      <w:r>
        <w:t xml:space="preserve">§7.3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take affect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take effect</w:t>
      </w:r>
      <w:r>
        <w:rPr>
          <w:bCs/>
          <w:b/>
        </w:rPr>
        <w:t xml:space="preserve">”</w:t>
      </w:r>
      <w:r>
        <w:t xml:space="preserve"> </w:t>
      </w:r>
      <w:r>
        <w:t xml:space="preserve">(removed if you paste the A2 rewrite).</w:t>
      </w:r>
    </w:p>
    <w:p>
      <w:pPr>
        <w:numPr>
          <w:ilvl w:val="0"/>
          <w:numId w:val="1003"/>
        </w:numPr>
        <w:pStyle w:val="Compact"/>
      </w:pPr>
      <w:r>
        <w:t xml:space="preserve">§1.1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advantages each sensor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advantages of each sensor.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TOC note: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seperate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separate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counter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counted.</w:t>
      </w:r>
      <w:r>
        <w:rPr>
          <w:bCs/>
          <w:b/>
        </w:rPr>
        <w:t xml:space="preserve">”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2026-06-16T09:51:35Z</dcterms:created>
  <dcterms:modified xsi:type="dcterms:W3CDTF">2026-06-16T09:51:35Z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