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rPr>
          <w:b w:val="0"/>
        </w:rPr>
        <w:t>TED Üniversitesi</w:t>
        <w:br/>
        <w:t>Programlar ve Eğitim Komisyonu Yönergesi</w:t>
      </w:r>
    </w:p>
    <w:p>
      <w:pPr>
        <w:pStyle w:val="Subtitle"/>
        <w:widowControl/>
        <w:jc w:val="center"/>
      </w:pPr>
      <w:r>
        <w:rPr>
          <w:b w:val="0"/>
        </w:rPr>
        <w:t>Kurumsal değerlendirme için çalışma taslağı</w:t>
      </w:r>
    </w:p>
    <w:p>
      <w:pPr>
        <w:widowControl/>
        <w:jc w:val="center"/>
      </w:pPr>
      <w:r>
        <w:rPr>
          <w:sz w:val="18"/>
        </w:rPr>
        <w:t>Çalışma sürümü v19  ·  22 Ekim 2026</w:t>
      </w:r>
    </w:p>
    <w:p>
      <w:pPr>
        <w:widowControl/>
      </w:pPr>
      <w:r>
        <w:rPr>
          <w:sz w:val="18"/>
        </w:rPr>
        <w:t>Bu belge, Programlar ve Eğitim Komisyonunun çalışma düzenini komisyon üyelerinin değerlendirmesine sunar. Taslak 18 madde, bir geçici madde ve iki ek içerir. Her fıkra için önceki durum, önerinin gerekçesi, kanuni dayanak ve TEDÜ, Bilkent ile ODTÜ karşılaştırmaları ayrıca açıklanır. Metin henüz kurumsal olarak kabul edilmiş bir yönerge değildir.</w:t>
      </w:r>
    </w:p>
    <w:p>
      <w:pPr>
        <w:pStyle w:val="Heading1"/>
        <w:widowControl/>
      </w:pPr>
      <w:r>
        <w:rPr>
          <w:b w:val="0"/>
        </w:rPr>
        <w:t>Amaç ve kapsam</w:t>
      </w:r>
    </w:p>
    <w:p>
      <w:pPr>
        <w:widowControl/>
      </w:pPr>
      <w:r>
        <w:rPr>
          <w:b/>
        </w:rPr>
        <w:t xml:space="preserve">MADDE 1 – (1) </w:t>
      </w:r>
      <w:r>
        <w:t>Bu Yönergenin amacı, TED Üniversitesi Programlar ve Eğitim Komisyonunun oluşumunu, görevlerini ve çalışma usul ve esaslarını düzenlemektir.</w:t>
      </w:r>
    </w:p>
    <w:p>
      <w:pPr>
        <w:widowControl/>
      </w:pPr>
      <w:r>
        <w:rPr>
          <w:b w:val="0"/>
        </w:rPr>
        <w:t xml:space="preserve">(2) </w:t>
      </w:r>
      <w:r>
        <w:t>Bu Yönerge, Üniversitenin lisans ve lisansüstü eğitim-öğretim programları ile bunlara ilişkin ders ve müfredat önerilerinin Komisyonca değerlendirilmesini ve program iyileştirme çalışmalarına katkısını kapsar.</w:t>
      </w:r>
    </w:p>
    <w:p>
      <w:pPr>
        <w:pStyle w:val="Heading1"/>
        <w:widowControl/>
      </w:pPr>
      <w:r>
        <w:rPr>
          <w:b w:val="0"/>
        </w:rPr>
        <w:t>Dayanak</w:t>
      </w:r>
    </w:p>
    <w:p>
      <w:pPr>
        <w:widowControl/>
      </w:pPr>
      <w:r>
        <w:rPr>
          <w:b/>
        </w:rPr>
        <w:t xml:space="preserve">MADDE 2 – (1) </w:t>
      </w:r>
      <w:r>
        <w:t>Bu Yönerge, 2547 sayılı Yükseköğretim Kanununun 14 üncü maddesinin (b) fıkrasının (1) ve (4) numaralı bentleri, 44 üncü maddesinin (a) ve (b) fıkraları ile ek 8 inci maddesi esas alınarak hazırlanmıştır.</w:t>
      </w:r>
    </w:p>
    <w:p>
      <w:pPr>
        <w:pStyle w:val="Heading1"/>
        <w:widowControl/>
      </w:pPr>
      <w:r>
        <w:rPr>
          <w:b w:val="0"/>
        </w:rPr>
        <w:t>Tanımlar</w:t>
      </w:r>
    </w:p>
    <w:p>
      <w:pPr>
        <w:widowControl/>
      </w:pPr>
      <w:r>
        <w:rPr>
          <w:b/>
        </w:rPr>
        <w:t xml:space="preserve">MADDE 3 – (1) </w:t>
      </w:r>
      <w:r>
        <w:t>Bu Yönergede geçen;</w:t>
        <w:br/>
        <w:t>a) Üniversite: TED Üniversitesini,</w:t>
        <w:br/>
        <w:t>b) Komisyon veya PEK: TED Üniversitesi Programlar ve Eğitim Komisyonunu,</w:t>
        <w:br/>
        <w:t>c) Başkan: Eğitimden sorumlu Rektör Yardımcısını,</w:t>
        <w:br/>
        <w:t>ç) Enstitü: Lisansüstü Programlar Enstitüsünü,</w:t>
        <w:br/>
        <w:t>d) Ofis: Eğitim Faaliyetleri Planlama ve Destek Ofisini,</w:t>
        <w:br/>
        <w:t>ifade eder.</w:t>
      </w:r>
    </w:p>
    <w:p>
      <w:pPr>
        <w:pStyle w:val="Heading1"/>
        <w:widowControl/>
      </w:pPr>
      <w:r>
        <w:rPr>
          <w:b w:val="0"/>
        </w:rPr>
        <w:t>Komisyonun oluşumu ve görev süresi</w:t>
      </w:r>
    </w:p>
    <w:p>
      <w:pPr>
        <w:widowControl/>
      </w:pPr>
      <w:r>
        <w:rPr>
          <w:b/>
        </w:rPr>
        <w:t xml:space="preserve">MADDE 4 – (1) </w:t>
      </w:r>
      <w:r>
        <w:t>Komisyon, eğitimden sorumlu Rektör Yardımcısının başkanlığında, her fakülteden bir öğretim üyesi ve Enstitüden bir öğretim üyesinden oluşur.</w:t>
      </w:r>
    </w:p>
    <w:p>
      <w:pPr>
        <w:widowControl/>
      </w:pPr>
      <w:r>
        <w:rPr>
          <w:b w:val="0"/>
        </w:rPr>
        <w:t xml:space="preserve">(2) </w:t>
      </w:r>
      <w:r>
        <w:t>Komisyon üyeleri Senato tarafından belirlenir ve Rektör tarafından atanır.</w:t>
      </w:r>
    </w:p>
    <w:p>
      <w:pPr>
        <w:widowControl/>
      </w:pPr>
      <w:r>
        <w:rPr>
          <w:b w:val="0"/>
        </w:rPr>
        <w:t xml:space="preserve">(3) </w:t>
      </w:r>
      <w:r>
        <w:t>Fakülte ve Enstitü temsilcilerinin görev süresi, atamalarının yürürlüğe girdiği tarihten itibaren iki yıldır. Görev süresi sona eren üyeler aynı usulle yeniden atanabilir. Yeniden atanabilecekleri dönem sayısına sınır uygulanmaz. Görev süresinin dolması, üyeliğin kendiliğinden yenilenmesi sonucunu doğurmaz.</w:t>
      </w:r>
    </w:p>
    <w:p>
      <w:pPr>
        <w:widowControl/>
      </w:pPr>
      <w:r>
        <w:rPr>
          <w:b w:val="0"/>
        </w:rPr>
        <w:t xml:space="preserve">(4) </w:t>
      </w:r>
      <w:r>
        <w:t>Görev süresi dolmadan boşalan temsilci üyeliğine aynı belirleme ve atama usulüyle yeni üye atanır. Yeni üye, yerine atandığı üyenin kalan görev süresini tamamlar.</w:t>
      </w:r>
    </w:p>
    <w:p>
      <w:pPr>
        <w:widowControl/>
      </w:pPr>
      <w:r>
        <w:rPr>
          <w:b w:val="0"/>
        </w:rPr>
        <w:t xml:space="preserve">(5) </w:t>
      </w:r>
      <w:r>
        <w:t>Başkanlık, eğitimden sorumlu Rektör Yardımcılığı görevinin devamına bağlıdır. Temsilciler için belirlenen iki yıllık süre Başkana uygulanmaz.</w:t>
      </w:r>
    </w:p>
    <w:p>
      <w:pPr>
        <w:pStyle w:val="Heading1"/>
        <w:widowControl/>
      </w:pPr>
      <w:r>
        <w:rPr>
          <w:b w:val="0"/>
        </w:rPr>
        <w:t>Başkan yardımcısı</w:t>
      </w:r>
    </w:p>
    <w:p>
      <w:pPr>
        <w:widowControl/>
      </w:pPr>
      <w:r>
        <w:rPr>
          <w:b/>
        </w:rPr>
        <w:t xml:space="preserve">MADDE 5 – (1) </w:t>
      </w:r>
      <w:r>
        <w:t>Komisyon, fakülte ve Enstitü temsilcileri arasından bir başkan yardımcısı seçer. Başkan yardımcısının görev süresi, mevcut temsilci üyeliğinin görev süresinin sonuna kadar devam eder.</w:t>
      </w:r>
    </w:p>
    <w:p>
      <w:pPr>
        <w:widowControl/>
      </w:pPr>
      <w:r>
        <w:rPr>
          <w:b w:val="0"/>
        </w:rPr>
        <w:t xml:space="preserve">(2) </w:t>
      </w:r>
      <w:r>
        <w:t>Başkanın katılamadığı Komisyon toplantılarına başkan yardımcısı başkanlık eder.</w:t>
      </w:r>
    </w:p>
    <w:p>
      <w:pPr>
        <w:pStyle w:val="Heading1"/>
        <w:widowControl/>
      </w:pPr>
      <w:r>
        <w:rPr>
          <w:b w:val="0"/>
        </w:rPr>
        <w:t>Komisyonun görevleri</w:t>
      </w:r>
    </w:p>
    <w:p>
      <w:pPr>
        <w:widowControl/>
      </w:pPr>
      <w:r>
        <w:rPr>
          <w:b/>
        </w:rPr>
        <w:t xml:space="preserve">MADDE 6 – (1) </w:t>
      </w:r>
      <w:r>
        <w:t>Komisyon, ilgili akademik birimlerden gelen ders, program ve müfredat önerilerini Üniversitenin ilgili eğitim-öğretim düzenlemeleri çerçevesinde inceler ve değerlendirir.</w:t>
      </w:r>
    </w:p>
    <w:p>
      <w:pPr>
        <w:widowControl/>
      </w:pPr>
      <w:r>
        <w:rPr>
          <w:b w:val="0"/>
        </w:rPr>
        <w:t xml:space="preserve">(2) </w:t>
      </w:r>
      <w:r>
        <w:t>Komisyon, mevcut program değerlendirme ve geribildirim sonuçlarından yararlanarak müfredat bütünlüğü, öğrenme çıktıları ve öğrenci iş yükü bakımından iyileştirme önerileri geliştirir.</w:t>
      </w:r>
    </w:p>
    <w:p>
      <w:pPr>
        <w:widowControl/>
      </w:pPr>
      <w:r>
        <w:rPr>
          <w:b w:val="0"/>
        </w:rPr>
        <w:t xml:space="preserve">(3) </w:t>
      </w:r>
      <w:r>
        <w:t>Komisyon, değerlendirme görüş ve önerilerini Üniversitenin ilgili eğitim-öğretim düzenlemelerinde belirtilen yetkili organlara sunar.</w:t>
      </w:r>
    </w:p>
    <w:p>
      <w:pPr>
        <w:pStyle w:val="Heading1"/>
        <w:widowControl/>
      </w:pPr>
      <w:r>
        <w:rPr>
          <w:b w:val="0"/>
        </w:rPr>
        <w:t>Sekretarya ve raportörlük</w:t>
      </w:r>
    </w:p>
    <w:p>
      <w:pPr>
        <w:widowControl/>
      </w:pPr>
      <w:r>
        <w:rPr>
          <w:b/>
        </w:rPr>
        <w:t xml:space="preserve">MADDE 7 – (1) </w:t>
      </w:r>
      <w:r>
        <w:t>Komisyonun sekretarya ve raportörlük hizmetleri Ofis tarafından yürütülür.</w:t>
      </w:r>
    </w:p>
    <w:p>
      <w:pPr>
        <w:widowControl/>
      </w:pPr>
      <w:r>
        <w:rPr>
          <w:b w:val="0"/>
        </w:rPr>
        <w:t xml:space="preserve">(2) </w:t>
      </w:r>
      <w:r>
        <w:t>Sekretarya, başvuruların kayıtlarını tutar; Başkanın belirlediği gündemi ve toplantı belgelerini iletir; tutanak taslaklarını ve arşivi hazırlar.</w:t>
      </w:r>
    </w:p>
    <w:p>
      <w:pPr>
        <w:widowControl/>
      </w:pPr>
      <w:r>
        <w:rPr>
          <w:b w:val="0"/>
        </w:rPr>
        <w:t xml:space="preserve">(3) </w:t>
      </w:r>
      <w:r>
        <w:t>Raportör, bu görevi nedeniyle Komisyon üyesi sayılmaz; oy kullanmaz ve toplantı ve karar yeter sayılarının hesabına dahil edilmez.</w:t>
      </w:r>
    </w:p>
    <w:p>
      <w:pPr>
        <w:widowControl/>
      </w:pPr>
      <w:r>
        <w:rPr>
          <w:b w:val="0"/>
        </w:rPr>
        <w:t xml:space="preserve">(4) </w:t>
      </w:r>
      <w:r>
        <w:t>Fakülte ve Enstitü temsilcileri için belirlenen iki yıllık görev süresi raportörlüğe uygulanmaz. Raportörlük, Ofisin personel görevlendirmesi kapsamında yürütülür.</w:t>
      </w:r>
    </w:p>
    <w:p>
      <w:pPr>
        <w:pStyle w:val="Heading1"/>
        <w:widowControl/>
      </w:pPr>
      <w:r>
        <w:rPr>
          <w:b w:val="0"/>
        </w:rPr>
        <w:t>Öğrenci görüşlerinin alınması</w:t>
      </w:r>
    </w:p>
    <w:p>
      <w:pPr>
        <w:widowControl/>
      </w:pPr>
      <w:r>
        <w:rPr>
          <w:b/>
        </w:rPr>
        <w:t xml:space="preserve">MADDE 8 – (1) </w:t>
      </w:r>
      <w:r>
        <w:t>Başkan, ilgili gündem için öğrenci temsilcilerini toplantıya davet eder. Öğrenci görüşlerinin alınmasında mevcut yazılı geribildirim kanallarından da yararlanılır.</w:t>
      </w:r>
    </w:p>
    <w:p>
      <w:pPr>
        <w:widowControl/>
      </w:pPr>
      <w:r>
        <w:rPr>
          <w:b w:val="0"/>
        </w:rPr>
        <w:t xml:space="preserve">(2) </w:t>
      </w:r>
      <w:r>
        <w:t>Bu madde kapsamındaki davet, sürekli öğrenci üyeliği veya düzenli danışman katılımcılığı oluşturmaz. Katılım ilgili gündemle sınırlıdır. Davetliler oy kullanmaz ve toplantı ve karar yeter sayılarının hesabına dahil edilmez.</w:t>
      </w:r>
    </w:p>
    <w:p>
      <w:pPr>
        <w:widowControl/>
      </w:pPr>
      <w:r>
        <w:rPr>
          <w:b w:val="0"/>
        </w:rPr>
        <w:t xml:space="preserve">(3) </w:t>
      </w:r>
      <w:r>
        <w:t>Toplantıda sunulan veya değerlendirmeye alınan yazılı öğrenci görüş ve önerileri tutanağa kaydedilir.</w:t>
      </w:r>
    </w:p>
    <w:p>
      <w:pPr>
        <w:pStyle w:val="Heading1"/>
        <w:widowControl/>
      </w:pPr>
      <w:r>
        <w:rPr>
          <w:b w:val="0"/>
        </w:rPr>
        <w:t>İlgili birim ve uzmanların görüşlerinin alınması</w:t>
      </w:r>
    </w:p>
    <w:p>
      <w:pPr>
        <w:widowControl/>
      </w:pPr>
      <w:r>
        <w:rPr>
          <w:b/>
        </w:rPr>
        <w:t xml:space="preserve">MADDE 9 – (1) </w:t>
      </w:r>
      <w:r>
        <w:t>Başkan, ilgili gündem için Öğretme ve Öğrenme Merkezi, Öğrenci İşleri Müdürlüğü, gerektiğinde Öğrenci İşleri Koordinatörlüğü ve diğer ilgili birim veya konu uzmanlarını görüş vermek üzere toplantıya davet eder.</w:t>
      </w:r>
    </w:p>
    <w:p>
      <w:pPr>
        <w:widowControl/>
      </w:pPr>
      <w:r>
        <w:rPr>
          <w:b w:val="0"/>
        </w:rPr>
        <w:t xml:space="preserve">(2) </w:t>
      </w:r>
      <w:r>
        <w:t>Bu madde kapsamında davet edilenler Komisyon üyesi sayılmaz; oy kullanmaz ve toplantı ve karar yeter sayılarının hesabına dahil edilmez. Davet, ilgili gündemle sınırlıdır.</w:t>
      </w:r>
    </w:p>
    <w:p>
      <w:pPr>
        <w:widowControl/>
      </w:pPr>
      <w:r>
        <w:rPr>
          <w:b w:val="0"/>
        </w:rPr>
        <w:t xml:space="preserve">(3) </w:t>
      </w:r>
      <w:r>
        <w:t>Davetlilerin görüşleri tutanağa kaydedilir. Başkan, ilgili gündem hakkında yazılı görüş de isteyebilir.</w:t>
      </w:r>
    </w:p>
    <w:p>
      <w:pPr>
        <w:widowControl/>
      </w:pPr>
      <w:r>
        <w:rPr>
          <w:b w:val="0"/>
        </w:rPr>
        <w:t xml:space="preserve">(4) </w:t>
      </w:r>
      <w:r>
        <w:t>Fakülte ve Enstitü temsilcileri için belirlenen iki yıllık görev süresi, bu madde kapsamında davet edilenlere uygulanmaz.</w:t>
      </w:r>
    </w:p>
    <w:p>
      <w:pPr>
        <w:pStyle w:val="Heading1"/>
        <w:keepNext/>
      </w:pPr>
      <w:r>
        <w:rPr>
          <w:b w:val="0"/>
        </w:rPr>
        <w:t>Toplantıya çağrı</w:t>
      </w:r>
    </w:p>
    <w:p>
      <w:pPr>
        <w:widowControl/>
      </w:pPr>
      <w:r>
        <w:rPr>
          <w:b/>
        </w:rPr>
        <w:t xml:space="preserve">MADDE 10 – (1) </w:t>
      </w:r>
      <w:r>
        <w:t>Komisyon, eğitimden sorumlu Rektör Yardımcısının gerekli gördüğü hâllerde yapacağı çağrı üzerine toplanır.</w:t>
      </w:r>
    </w:p>
    <w:p>
      <w:pPr>
        <w:pStyle w:val="Heading1"/>
        <w:keepNext/>
      </w:pPr>
      <w:r>
        <w:rPr>
          <w:b w:val="0"/>
        </w:rPr>
        <w:t>Gündem ve bildirim</w:t>
      </w:r>
    </w:p>
    <w:p>
      <w:pPr>
        <w:keepNext/>
        <w:widowControl/>
      </w:pPr>
      <w:r>
        <w:rPr>
          <w:b/>
        </w:rPr>
        <w:t xml:space="preserve">MADDE 11 – (1) </w:t>
      </w:r>
      <w:r>
        <w:t>Toplantı gündemi Başkan tarafından belirlenir. Üyeler, gündeme alınmasını istedikleri konuları sekretarya aracılığıyla Başkana iletebilir.</w:t>
      </w:r>
    </w:p>
    <w:p>
      <w:pPr>
        <w:keepNext w:val="0"/>
        <w:widowControl/>
      </w:pPr>
      <w:r>
        <w:rPr>
          <w:b w:val="0"/>
        </w:rPr>
        <w:t xml:space="preserve">(2) </w:t>
      </w:r>
      <w:r>
        <w:t>Sekretarya, toplantı tarihini, yerini, gündemini ve ilgili belgeleri, üyelerin hazırlık yapmasına olanak verecek şekilde toplantıdan önce kurumsal e-posta yoluyla üyelere iletir.</w:t>
      </w:r>
    </w:p>
    <w:p>
      <w:pPr>
        <w:pStyle w:val="Heading1"/>
        <w:keepNext/>
        <w:widowControl/>
      </w:pPr>
      <w:r>
        <w:rPr>
          <w:b w:val="0"/>
        </w:rPr>
        <w:t>Toplantı ve karar yeter sayıları ile oylama</w:t>
      </w:r>
    </w:p>
    <w:p>
      <w:pPr>
        <w:keepNext/>
        <w:widowControl/>
      </w:pPr>
      <w:r>
        <w:rPr>
          <w:b/>
        </w:rPr>
        <w:t xml:space="preserve">MADDE 12 – (1) </w:t>
      </w:r>
      <w:r>
        <w:t>Komisyon, üye tam sayısının salt çoğunluğu ile toplanır.</w:t>
      </w:r>
    </w:p>
    <w:p>
      <w:pPr>
        <w:keepNext/>
        <w:widowControl/>
      </w:pPr>
      <w:r>
        <w:rPr>
          <w:b w:val="0"/>
        </w:rPr>
        <w:t xml:space="preserve">(2) </w:t>
      </w:r>
      <w:r>
        <w:t>Kararlar, toplantıya katılan üyelerin salt çoğunluğu ile alınır.</w:t>
      </w:r>
    </w:p>
    <w:p>
      <w:pPr>
        <w:keepNext w:val="0"/>
        <w:widowControl/>
      </w:pPr>
      <w:r>
        <w:rPr>
          <w:b w:val="0"/>
        </w:rPr>
        <w:t xml:space="preserve">(3) </w:t>
      </w:r>
      <w:r>
        <w:t>İkinci fıkradaki karar çoğunluğuna istisna olarak, oyların eşitliği hâlinde toplantıya başkanlık edenin kullandığı oy yönünde karar verilmiş sayılır.</w:t>
      </w:r>
    </w:p>
    <w:p>
      <w:pPr>
        <w:keepNext w:val="0"/>
        <w:widowControl/>
      </w:pPr>
      <w:r>
        <w:rPr>
          <w:sz w:val="18"/>
        </w:rPr>
        <w:t>Oy eşitliği hakkında inceleme notu  Madde 12/3, katılanların salt çoğunluğu kuralına istisna getirir. Başka komisyonlarda benzer bir hüküm bulunması PEK için hukuki uygunluğu tek başına kanıtlamaz. 2547 sayılı Kanunun 61 inci maddesinin PEK’e uygulanması hakkında kurumun hukuk biriminden görüş alınmalıdır.</w:t>
      </w:r>
    </w:p>
    <w:p>
      <w:pPr>
        <w:pStyle w:val="Heading1"/>
        <w:pageBreakBefore w:val="0"/>
        <w:widowControl/>
      </w:pPr>
      <w:r>
        <w:rPr>
          <w:b w:val="0"/>
        </w:rPr>
        <w:t>Başvuru dosyası ve değerlendirme</w:t>
      </w:r>
    </w:p>
    <w:p>
      <w:pPr>
        <w:widowControl/>
      </w:pPr>
      <w:r>
        <w:rPr>
          <w:b/>
        </w:rPr>
        <w:t xml:space="preserve">MADDE 13 – (1) </w:t>
      </w:r>
      <w:r>
        <w:t>Komisyonun görev alanına giren ÇAP/YAP programı açılması, yeni ders açılması, ders, program ve müfredat değişiklikleri ile diğer işlemlere ilişkin dosyalar, ilgili bölüm veya Enstitü Anabilim Dalı Başkanlığı ve fakülte veya enstitünün PEK temsilcisi ile beraber hazırlanır. Hazırlanan dosyalar önce bölüm kurulunun, takiben fakülte veya enstitü yönetim kurulunun onayına sunulur. Onayların ardından dosyalar, PEK’e sunulmak üzere sekretaryaya iletilir. Her işlem türünün ayrıntılı iş akışı ayrıca düzenlenir.</w:t>
      </w:r>
    </w:p>
    <w:p>
      <w:pPr>
        <w:widowControl/>
      </w:pPr>
      <w:r>
        <w:rPr>
          <w:b w:val="0"/>
        </w:rPr>
        <w:t xml:space="preserve">(2) </w:t>
      </w:r>
      <w:r>
        <w:t>Başvuru dosyası ve ekleri, Üniversitenin kurumsal belge ve yazışma düzenine uygun elektronik kanaldan sekretaryaya iletilir ve sekretarya tarafından kayıt altına alınır.</w:t>
      </w:r>
    </w:p>
    <w:p>
      <w:pPr>
        <w:widowControl/>
      </w:pPr>
      <w:r>
        <w:rPr>
          <w:b w:val="0"/>
        </w:rPr>
        <w:t xml:space="preserve">(3) </w:t>
      </w:r>
      <w:r>
        <w:t>Sekretarya, dosyanın belge yönünden tamlığını kontrol eder. Eksikleri bulunan dosya, eksikler belirtilerek Başkanın bilgisi dâhilinde tamamlanmak üzere ilgili akademik birime iletilir. Bu işlem, önerinin akademik yönden reddi anlamına gelmez.</w:t>
      </w:r>
    </w:p>
    <w:p>
      <w:pPr>
        <w:pStyle w:val="Heading1"/>
        <w:widowControl/>
      </w:pPr>
      <w:r>
        <w:t>Başvuru süresi</w:t>
      </w:r>
    </w:p>
    <w:p>
      <w:pPr>
        <w:widowControl/>
      </w:pPr>
      <w:r/>
      <w:r>
        <w:rPr>
          <w:b/>
        </w:rPr>
        <w:t xml:space="preserve">MADDE 14 – (1) </w:t>
      </w:r>
      <w:r>
        <w:t>Bir eğitim-öğretim yılının güz, bahar veya yaz okulu döneminde uygulanması öngörülen değişikliklere ilişkin başvurular, bir önceki eğitim-öğretim yılının 30 Haziran günü sonuna kadar yapılabilir.</w:t>
      </w:r>
    </w:p>
    <w:p>
      <w:pPr>
        <w:pStyle w:val="Heading1"/>
        <w:pageBreakBefore/>
        <w:widowControl/>
      </w:pPr>
      <w:r>
        <w:t>Geç başvurular ve dosyanın tamamlanması</w:t>
      </w:r>
    </w:p>
    <w:p>
      <w:pPr>
        <w:widowControl/>
      </w:pPr>
      <w:r/>
      <w:r>
        <w:rPr>
          <w:b/>
        </w:rPr>
        <w:t xml:space="preserve">MADDE 15 – (1) </w:t>
      </w:r>
      <w:r>
        <w:t>14 üncü maddede belirtilen tarihten sonra yapılan başvurular kayda alınır; önerinin uygulanması istenen eğitim-öğretim yılı bakımından süresinde yapılmadığı belirtilerek, Başkanın bilgisi dâhilinde ilgili akademik birime iade edilir. İlgili birim, dosyayı güncelleyerek sonraki eğitim-öğretim yılları için 13 ve 14 üncü maddeler uyarınca yeniden başvurabilir.</w:t>
      </w:r>
    </w:p>
    <w:p>
      <w:pPr>
        <w:widowControl/>
      </w:pPr>
      <w:r/>
      <w:r>
        <w:rPr>
          <w:b w:val="0"/>
        </w:rPr>
        <w:t xml:space="preserve">(2) </w:t>
      </w:r>
      <w:r>
        <w:t>Süresinde kayda alınan dosyalarda 13 üncü maddenin üçüncü fıkrası kapsamında belirlenen belge eksiklikleri, sekretaryanın eksikleri yazılı olarak bildirmesini izleyen beş iş günü içinde ilgili akademik birim tarafından tamamlanır.</w:t>
      </w:r>
    </w:p>
    <w:p>
      <w:pPr>
        <w:widowControl/>
      </w:pPr>
      <w:r/>
      <w:r>
        <w:rPr>
          <w:b w:val="0"/>
        </w:rPr>
        <w:t xml:space="preserve">(3) </w:t>
      </w:r>
      <w:r>
        <w:t>Komisyonun incelemesi sırasında istenen akademik açıklama veya düzeltmeler, istemin sekretarya tarafından yazılı olarak bildirilmesini izleyen on iş günü içinde ilgili akademik birim tarafından iletilir. Kurul kararlarının içeriğini değiştiren düzeltmeler, 13 üncü maddenin birinci fıkrasındaki onay süreci izlenerek sunulur.</w:t>
      </w:r>
    </w:p>
    <w:p>
      <w:pPr>
        <w:widowControl/>
      </w:pPr>
      <w:r/>
      <w:r>
        <w:rPr>
          <w:b w:val="0"/>
        </w:rPr>
        <w:t xml:space="preserve">(4) </w:t>
      </w:r>
      <w:r>
        <w:t>İkinci veya üçüncü fıkrada belirtilen sürelerde tamamlanmayan dosyalar, Başkanın bilgisi dâhilinde işlemden kaldırılır ve bu durum gerekçesiyle ilgili akademik birime bildirilir. Bu işlem akademik yönden ret anlamına gelmez; sonraki eğitim-öğretim yılları için yeniden başvuru yapılabilir.</w:t>
      </w:r>
    </w:p>
    <w:p>
      <w:pPr>
        <w:widowControl/>
      </w:pPr>
      <w:r/>
      <w:r>
        <w:rPr>
          <w:b w:val="0"/>
        </w:rPr>
        <w:t xml:space="preserve">(5) </w:t>
      </w:r>
      <w:r>
        <w:t>Aynı önerinin bu maddede belirtilen sürelerde tamamlanması veya Komisyonun istediği düzeltmelerin yapılması hâlinde ilk başvuru tarihi korunur. Dosyaya önerinin kapsamı dışında yeni bir işlem eklenmesi ayrı başvuru sayılır. Tamamlanan dosya, Başkan tarafından 10 ve 11 inci maddeler uyarınca yapılacak Komisyon toplantısının gündemine alınır.</w:t>
      </w:r>
    </w:p>
    <w:p>
      <w:pPr>
        <w:widowControl/>
      </w:pPr>
      <w:r/>
      <w:r>
        <w:rPr>
          <w:b w:val="0"/>
        </w:rPr>
        <w:t xml:space="preserve">(6) </w:t>
      </w:r>
      <w:r>
        <w:t>Bu maddede ve 16 ncı maddede iş günü olarak belirlenen süreler, bildirimin kurumsal elektronik kanalda kayıtlı olduğu veya süreyi başlatan işlemin tamamlandığı tarihi izleyen ilk iş gününden itibaren hesaplanır. Cumartesi, pazar ve resmî tatil günleri hesaba katılmaz.</w:t>
      </w:r>
    </w:p>
    <w:p>
      <w:pPr>
        <w:pStyle w:val="Heading1"/>
        <w:widowControl/>
      </w:pPr>
      <w:r>
        <w:t>Değerlendirme sonucunun kaydı bildirimi ve izlenmesi</w:t>
      </w:r>
    </w:p>
    <w:p>
      <w:pPr>
        <w:widowControl/>
      </w:pPr>
      <w:r/>
      <w:r>
        <w:rPr>
          <w:b/>
        </w:rPr>
        <w:t xml:space="preserve">MADDE 16 – (1) </w:t>
      </w:r>
      <w:r>
        <w:t>Görüşülen konu, Komisyonun değerlendirme sonucu ve gerekçesi sekretarya tarafından tutanağa yazılır. Tutanak, toplantıya başkanlık eden ve toplantıya katılan üyeler tarafından imzalanır; dosya ve ekleriyle birlikte Üniversitenin kurumsal belge ve arşiv düzenine uygun olarak saklanır.</w:t>
      </w:r>
    </w:p>
    <w:p>
      <w:pPr>
        <w:widowControl/>
      </w:pPr>
      <w:r/>
      <w:r>
        <w:rPr>
          <w:b w:val="0"/>
        </w:rPr>
        <w:t xml:space="preserve">(2) </w:t>
      </w:r>
      <w:r>
        <w:t>Komisyon, inceleme sonucunda uygunluk görüşü, gerekçeli olumsuz görüş veya açıklama ve düzeltme istemi oluşturur. Yetkili organlara sunulması gereken görüş ve dosyalar, ilgili eğitim-öğretim düzenlemelerindeki karar ve onay süreci izlenerek iletilir. Komisyonun görüşü, ilgili düzenlemenin aradığı nihai karar ve onayların yerine geçmez.</w:t>
      </w:r>
    </w:p>
    <w:p>
      <w:pPr>
        <w:widowControl/>
      </w:pPr>
      <w:r/>
      <w:r>
        <w:rPr>
          <w:b w:val="0"/>
        </w:rPr>
        <w:t xml:space="preserve">(3) </w:t>
      </w:r>
      <w:r>
        <w:t>İmzaları tamamlanan görüş, sekretarya tarafından Başkanın bilgisi dâhilinde beş iş günü içinde başvuruyu yapan akademik birime kurumsal elektronik kanaldan bildirilir. Yetkili karar organlarına yapılacak sunuşlar, Üniversitenin imza ve yazışma düzenine uygun olarak ilgili makama iletilir.</w:t>
      </w:r>
    </w:p>
    <w:p>
      <w:pPr>
        <w:widowControl/>
      </w:pPr>
      <w:r/>
      <w:r>
        <w:rPr>
          <w:b w:val="0"/>
        </w:rPr>
        <w:t xml:space="preserve">(4) </w:t>
      </w:r>
      <w:r>
        <w:t>Yetkili organların kararlarının uygulanması ilgili akademik ve idari birimlerin görevleri çerçevesinde yürütülür. Komisyon, uygulama ve iyileştirme sonuçlarını mevcut ders ve program değerlendirme verilerinden yararlanarak izler; sekretarya, dosyanın sonuçlandırılmasına ilişkin kayıtları tutar.</w:t>
      </w:r>
    </w:p>
    <w:p>
      <w:pPr>
        <w:pStyle w:val="Heading1"/>
        <w:pageBreakBefore/>
        <w:widowControl/>
      </w:pPr>
      <w:r>
        <w:t>Mevcut üyeler ve devam eden başvurular</w:t>
      </w:r>
    </w:p>
    <w:p>
      <w:pPr>
        <w:widowControl/>
      </w:pPr>
      <w:r/>
      <w:r>
        <w:rPr>
          <w:b/>
        </w:rPr>
        <w:t xml:space="preserve">GEÇİCİ MADDE 1 – (1) </w:t>
      </w:r>
      <w:r>
        <w:t>Mevcut fakülte ve Enstitü temsilcilikleri, bu Yönergenin yürürlüğe girdiği tarihi izleyen otuz takvim günü içinde 4 üncü maddeye uygun olarak yeniden belirlenir ve atamalar yapılır. Mevcut üyeler, yeni atamalar yürürlüğe girinceye kadar görevlerini sürdürür. Yeni temsilcilerin iki yıllık görev süresi, yeni atamalarının yürürlüğe girdiği tarihte başlar.</w:t>
      </w:r>
    </w:p>
    <w:p>
      <w:pPr>
        <w:widowControl/>
      </w:pPr>
      <w:r>
        <w:t>(2) Bu Yönergenin yürürlüğe girdiği tarihten önce sekretaryaya kaydedilmiş ve henüz sonuçlandırılmamış dosyalar, önceki başvuruları ve geçerli kurul kararları korunarak bu Yönergenin değerlendirme ve bildirim usullerine göre sonuçlandırılır. 13 üncü maddenin birinci fıkrasında aranan onaylardan eksik olanlar tamamlanır. Bu dosyalara 14 üncü maddedeki son başvuru tarihi geriye dönük uygulanmaz.</w:t>
      </w:r>
    </w:p>
    <w:p>
      <w:pPr>
        <w:widowControl/>
      </w:pPr>
      <w:r/>
      <w:r>
        <w:rPr>
          <w:b w:val="0"/>
        </w:rPr>
        <w:t xml:space="preserve">(3) </w:t>
      </w:r>
      <w:r>
        <w:t>14 üncü maddedeki yıllık son başvuru tarihi, yürürlük tarihini izleyen ilk 30 Haziran tarihi esas alınarak uygulanmaya başlanır. Bu tarihe kadar, son başvuru tarihi yürürlük tarihinden önce geçmiş eğitim-öğretim yılları için yapılacak başvurular, ilgili eğitim-öğretim düzenlemeleri ve yetkili organların ilan ettiği takvim çerçevesinde değerlendirilir.</w:t>
      </w:r>
    </w:p>
    <w:p>
      <w:pPr>
        <w:pStyle w:val="Heading1"/>
        <w:widowControl/>
      </w:pPr>
      <w:r>
        <w:t>Yürürlük</w:t>
      </w:r>
    </w:p>
    <w:p>
      <w:pPr>
        <w:widowControl/>
      </w:pPr>
      <w:r/>
      <w:r>
        <w:rPr>
          <w:b/>
        </w:rPr>
        <w:t xml:space="preserve">MADDE 17 – (1) </w:t>
      </w:r>
      <w:r>
        <w:t>Bu Yönerge, TED Üniversitesi Senatosu tarafından kabul edildiği tarihte yürürlüğe girer.</w:t>
      </w:r>
    </w:p>
    <w:p>
      <w:pPr>
        <w:pStyle w:val="Heading1"/>
        <w:widowControl/>
      </w:pPr>
      <w:r>
        <w:t>Yürütme</w:t>
      </w:r>
    </w:p>
    <w:p>
      <w:pPr>
        <w:widowControl/>
      </w:pPr>
      <w:r/>
      <w:r>
        <w:rPr>
          <w:b/>
        </w:rPr>
        <w:t xml:space="preserve">MADDE 18 – (1) </w:t>
      </w:r>
      <w:r>
        <w:t>Bu Yönerge hükümlerini TED Üniversitesi Rektörü yürütür.</w:t>
      </w:r>
    </w:p>
    <w:p>
      <w:pPr>
        <w:widowControl/>
      </w:pPr>
      <w:r>
        <w:rPr>
          <w:sz w:val="18"/>
        </w:rPr>
        <w:t>İnceleme notu  Belgelerden doğrulanan hususlar ile kurum içi bilgi veya hukuk görüşü gerektiren noktalar, kaynak incelemesi bölümünde açıklanmıştır. Bu taslağa ait gerçekleşmiş bir kurumsal kabul tarihi veya karar numarası yoktur.</w:t>
      </w:r>
    </w:p>
    <w:p>
      <w:pPr>
        <w:pStyle w:val="Heading1"/>
        <w:widowControl/>
      </w:pPr>
      <w:r>
        <w:t>Ekler</w:t>
      </w:r>
    </w:p>
    <w:p>
      <w:pPr>
        <w:widowControl/>
      </w:pPr>
      <w:r>
        <w:t>Ek 1  PEK ortak iş akışı</w:t>
        <w:br/>
        <w:t>Ek 2  PEK işlemleri için form ve rehber tablosu</w:t>
      </w:r>
    </w:p>
    <w:p>
      <w:pPr>
        <w:widowControl/>
        <w:spacing w:before="0" w:after="0" w:line="20" w:lineRule="exact"/>
        <w:sectPr>
          <w:type w:val="nextPage"/>
          <w:footerReference w:type="default" r:id="rId9"/>
          <w:pgSz w:w="11906" w:h="16838" w:orient="portrait"/>
          <w:pgMar w:top="1077" w:right="1247" w:bottom="1020" w:left="1247" w:header="340" w:footer="340" w:gutter="0"/>
          <w:cols w:space="720"/>
          <w:docGrid w:linePitch="360"/>
        </w:sectPr>
      </w:pPr>
      <w:r/>
      <w:r>
        <w:rPr>
          <w:sz w:val="2"/>
        </w:rPr>
      </w:r>
    </w:p>
    <w:p>
      <w:pPr>
        <w:widowControl/>
        <w:spacing w:before="0" w:after="0" w:line="240" w:lineRule="auto"/>
        <w:jc w:val="center"/>
      </w:pPr>
      <w:r/>
      <w:r>
        <w:drawing>
          <wp:inline xmlns:a="http://schemas.openxmlformats.org/drawingml/2006/main" xmlns:pic="http://schemas.openxmlformats.org/drawingml/2006/picture">
            <wp:extent cx="9720000" cy="13744936"/>
            <wp:docPr id="1" name="Picture 1" descr="Ek 1 PEK ortak iş akışı; Madde 15 beş/on iş günü, Madde 16 bildirim ve izleme, Geçici Madde 1 ilk uygulama atıfları kullanıcı onayına göre güncellendi."/>
            <wp:cNvGraphicFramePr>
              <a:graphicFrameLocks noChangeAspect="1"/>
            </wp:cNvGraphicFramePr>
            <a:graphic>
              <a:graphicData uri="http://schemas.openxmlformats.org/drawingml/2006/picture">
                <pic:pic>
                  <pic:nvPicPr>
                    <pic:cNvPr id="0" name="Ek_1_PEK_Ortak_Is_Akisi_v18.png"/>
                    <pic:cNvPicPr/>
                  </pic:nvPicPr>
                  <pic:blipFill>
                    <a:blip r:embed="rId39"/>
                    <a:stretch>
                      <a:fillRect/>
                    </a:stretch>
                  </pic:blipFill>
                  <pic:spPr>
                    <a:xfrm>
                      <a:off x="0" y="0"/>
                      <a:ext cx="9720000" cy="13744936"/>
                    </a:xfrm>
                    <a:prstGeom prst="rect"/>
                  </pic:spPr>
                </pic:pic>
              </a:graphicData>
            </a:graphic>
          </wp:inline>
        </w:drawing>
      </w:r>
    </w:p>
    <w:p>
      <w:pPr>
        <w:widowControl/>
        <w:spacing w:before="0" w:after="0" w:line="20" w:lineRule="exact"/>
        <w:sectPr>
          <w:type w:val="nextPage"/>
          <w:footerReference w:type="default" r:id="rId9"/>
          <w:pgSz w:w="16838" w:h="23811" w:orient="portrait"/>
          <w:pgMar w:top="567" w:right="765" w:bottom="567" w:left="765" w:header="340" w:footer="340" w:gutter="0"/>
          <w:cols w:space="720"/>
          <w:docGrid w:linePitch="360"/>
        </w:sectPr>
      </w:pPr>
      <w:r/>
      <w:r>
        <w:rPr>
          <w:sz w:val="2"/>
        </w:rPr>
      </w:r>
    </w:p>
    <w:p>
      <w:pPr>
        <w:pStyle w:val="Heading1"/>
        <w:widowControl/>
      </w:pPr>
      <w:r>
        <w:t>Ek 2  PEK işlemleri için form ve rehber tablosu</w:t>
      </w:r>
    </w:p>
    <w:p>
      <w:pPr>
        <w:widowControl/>
      </w:pPr>
      <w:r>
        <w:rPr>
          <w:sz w:val="20"/>
        </w:rPr>
        <w:t>Kaynak kontrol tarihi 22 Ekim 2026. Kapsam, kamuya açık TEDÜ kaynaklarıdır; kurum içi KYS/EBYS alanlarının eksiksiz envanteri değildir.</w:t>
      </w:r>
    </w:p>
    <w:p>
      <w:pPr>
        <w:widowControl/>
      </w:pPr>
      <w:r>
        <w:rPr>
          <w:sz w:val="20"/>
        </w:rPr>
        <w:t>Bu tablo kamuya açık belgelerin erişim durumunu gösterir. Yeni veya bütün dosyalarda zorunlu bir form/ek listesi oluşturmaz. “Doğrulanamadı”, kurumda belge bulunmadığı anlamına gelmez. Doldurulmuş örnekler boş başvuru şablonu değildir.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15" w:type="dxa"/>
          <w:bottom w:w="115" w:type="dxa"/>
          <w:left w:w="115" w:type="dxa"/>
          <w:right w:w="115" w:type="dxa"/>
        </w:tblCellMar>
      </w:tblPr>
      <w:tblGrid>
        <w:gridCol w:w="3515"/>
        <w:gridCol w:w="6123"/>
        <w:gridCol w:w="6350"/>
        <w:gridCol w:w="6236"/>
      </w:tblGrid>
      <w:tr>
        <w:trPr>
          <w:tblHeader/>
          <w:cantSplit/>
        </w:trPr>
        <w:tc>
          <w:tcPr>
            <w:tcW w:type="dxa" w:w="3515"/>
            <w:vAlign w:val="center"/>
            <w:shd w:fill="E7E6E6"/>
          </w:tcPr>
          <w:p>
            <w:pPr>
              <w:spacing w:after="0" w:before="0" w:line="257" w:lineRule="auto"/>
            </w:pPr>
            <w:r>
              <w:rPr>
                <w:b/>
                <w:sz w:val="21"/>
              </w:rPr>
              <w:t>PEK işlemi</w:t>
            </w:r>
          </w:p>
        </w:tc>
        <w:tc>
          <w:tcPr>
            <w:tcW w:type="dxa" w:w="6123"/>
            <w:vAlign w:val="center"/>
            <w:shd w:fill="E7E6E6"/>
          </w:tcPr>
          <w:p>
            <w:pPr>
              <w:spacing w:after="0" w:before="0" w:line="257" w:lineRule="auto"/>
            </w:pPr>
            <w:r>
              <w:rPr>
                <w:b/>
                <w:sz w:val="21"/>
              </w:rPr>
              <w:t>Form / şablon</w:t>
            </w:r>
          </w:p>
        </w:tc>
        <w:tc>
          <w:tcPr>
            <w:tcW w:type="dxa" w:w="6350"/>
            <w:vAlign w:val="center"/>
            <w:shd w:fill="E7E6E6"/>
          </w:tcPr>
          <w:p>
            <w:pPr>
              <w:spacing w:after="0" w:before="0" w:line="257" w:lineRule="auto"/>
            </w:pPr>
            <w:r>
              <w:rPr>
                <w:b/>
                <w:sz w:val="21"/>
              </w:rPr>
              <w:t>Rehber / doldurma açıklaması</w:t>
            </w:r>
          </w:p>
        </w:tc>
        <w:tc>
          <w:tcPr>
            <w:tcW w:type="dxa" w:w="6236"/>
            <w:vAlign w:val="center"/>
            <w:shd w:fill="E7E6E6"/>
          </w:tcPr>
          <w:p>
            <w:pPr>
              <w:spacing w:after="0" w:before="0" w:line="257" w:lineRule="auto"/>
            </w:pPr>
            <w:r>
              <w:rPr>
                <w:b/>
                <w:sz w:val="21"/>
              </w:rPr>
              <w:t>Erişim ve teyit durumu</w:t>
            </w:r>
          </w:p>
        </w:tc>
      </w:tr>
      <w:tr>
        <w:trPr>
          <w:cantSplit/>
        </w:trPr>
        <w:tc>
          <w:tcPr>
            <w:tcW w:type="dxa" w:w="3515"/>
            <w:vAlign w:val="center"/>
            <w:shd w:fill="FFFFFF"/>
          </w:tcPr>
          <w:p>
            <w:pPr>
              <w:spacing w:after="0" w:before="0" w:line="257" w:lineRule="auto"/>
            </w:pPr>
            <w:r>
              <w:rPr>
                <w:sz w:val="21"/>
              </w:rPr>
              <w:t>Yeni ders açılması (lisans ve lisansüstü)</w:t>
            </w:r>
          </w:p>
        </w:tc>
        <w:tc>
          <w:tcPr>
            <w:tcW w:type="dxa" w:w="6123"/>
            <w:vAlign w:val="center"/>
            <w:shd w:fill="FFFFFF"/>
          </w:tcPr>
          <w:p>
            <w:pPr>
              <w:spacing w:after="0" w:before="0" w:line="257" w:lineRule="auto"/>
            </w:pPr>
            <w:r>
              <w:rPr>
                <w:sz w:val="21"/>
              </w:rPr>
            </w:r>
            <w:hyperlink r:id="rId31">
              <w:r>
                <w:rPr>
                  <w:rFonts w:ascii="Arial" w:hAnsi="Arial"/>
                  <w:color w:val="000000"/>
                  <w:sz w:val="21"/>
                  <w:u w:val="single"/>
                </w:rPr>
                <w:t>Ders Profil Formu - EYS.EFP.FR.014-ENG</w:t>
              </w:r>
            </w:hyperlink>
            <w:r>
              <w:rPr>
                <w:sz w:val="21"/>
              </w:rPr>
            </w:r>
          </w:p>
        </w:tc>
        <w:tc>
          <w:tcPr>
            <w:tcW w:type="dxa" w:w="6350"/>
            <w:vAlign w:val="center"/>
            <w:shd w:fill="FFFFFF"/>
          </w:tcPr>
          <w:p>
            <w:pPr>
              <w:spacing w:after="0" w:before="0" w:line="257" w:lineRule="auto"/>
            </w:pPr>
            <w:r>
              <w:rPr>
                <w:sz w:val="21"/>
              </w:rPr>
              <w:t xml:space="preserve">2026 formunun dipnotlarında doldurma açıklamaları var; ayrıca </w:t>
            </w:r>
            <w:hyperlink r:id="rId32">
              <w:r>
                <w:rPr>
                  <w:rFonts w:ascii="Arial" w:hAnsi="Arial"/>
                  <w:color w:val="000000"/>
                  <w:sz w:val="21"/>
                  <w:u w:val="single"/>
                </w:rPr>
                <w:t>KYS-KL-16 yazım kılavuzu</w:t>
              </w:r>
            </w:hyperlink>
            <w:r>
              <w:rPr>
                <w:sz w:val="21"/>
              </w:rPr>
              <w:t xml:space="preserve"> (2025) bulundu.</w:t>
            </w:r>
          </w:p>
        </w:tc>
        <w:tc>
          <w:tcPr>
            <w:tcW w:type="dxa" w:w="6236"/>
            <w:vAlign w:val="center"/>
            <w:shd w:fill="FFFFFF"/>
          </w:tcPr>
          <w:p>
            <w:pPr>
              <w:spacing w:after="0" w:before="0" w:line="257" w:lineRule="auto"/>
            </w:pPr>
            <w:r>
              <w:rPr>
                <w:sz w:val="21"/>
              </w:rPr>
              <w:t>Boş form erişilebilir. Yayın tarihi 01.04.2026; 6 sayfa. Lisans, yüksek lisans ve doktora seçenekleri var. Revizyon alanı boş.</w:t>
            </w:r>
          </w:p>
        </w:tc>
      </w:tr>
      <w:tr>
        <w:trPr>
          <w:cantSplit/>
        </w:trPr>
        <w:tc>
          <w:tcPr>
            <w:tcW w:type="dxa" w:w="3515"/>
            <w:vAlign w:val="center"/>
            <w:shd w:fill="F7F7F7"/>
          </w:tcPr>
          <w:p>
            <w:pPr>
              <w:spacing w:after="0" w:before="0" w:line="257" w:lineRule="auto"/>
            </w:pPr>
            <w:r>
              <w:rPr>
                <w:sz w:val="21"/>
              </w:rPr>
              <w:t>Ders adı, kodu, içeriği, kredi/AKTS, önkoşul/eşkoşul ve diğer ders değişiklikleri</w:t>
            </w:r>
          </w:p>
        </w:tc>
        <w:tc>
          <w:tcPr>
            <w:tcW w:type="dxa" w:w="6123"/>
            <w:vAlign w:val="center"/>
            <w:shd w:fill="F7F7F7"/>
          </w:tcPr>
          <w:p>
            <w:pPr>
              <w:spacing w:after="0" w:before="0" w:line="257" w:lineRule="auto"/>
            </w:pPr>
            <w:r>
              <w:rPr>
                <w:sz w:val="21"/>
              </w:rPr>
              <w:t>Aynı Ders Profil Formu; “Revised Course / Ders Değişikliği” seçeneği.</w:t>
            </w:r>
          </w:p>
        </w:tc>
        <w:tc>
          <w:tcPr>
            <w:tcW w:type="dxa" w:w="6350"/>
            <w:vAlign w:val="center"/>
            <w:shd w:fill="F7F7F7"/>
          </w:tcPr>
          <w:p>
            <w:pPr>
              <w:spacing w:after="0" w:before="0" w:line="257" w:lineRule="auto"/>
            </w:pPr>
            <w:r>
              <w:rPr>
                <w:sz w:val="21"/>
              </w:rPr>
              <w:t>Formun ilk sayfasında mevcut/önerilen alanların ve kalan profil sayfalarının hangi durumda doldurulacağı açıklanıyor.</w:t>
            </w:r>
          </w:p>
        </w:tc>
        <w:tc>
          <w:tcPr>
            <w:tcW w:type="dxa" w:w="6236"/>
            <w:vAlign w:val="center"/>
            <w:shd w:fill="F7F7F7"/>
          </w:tcPr>
          <w:p>
            <w:pPr>
              <w:spacing w:after="0" w:before="0" w:line="257" w:lineRule="auto"/>
            </w:pPr>
            <w:r>
              <w:rPr>
                <w:sz w:val="21"/>
              </w:rPr>
              <w:t>Boş form ve form içi açıklamalar erişilebilir.</w:t>
            </w:r>
          </w:p>
        </w:tc>
      </w:tr>
      <w:tr>
        <w:trPr>
          <w:cantSplit/>
        </w:trPr>
        <w:tc>
          <w:tcPr>
            <w:tcW w:type="dxa" w:w="3515"/>
            <w:vAlign w:val="center"/>
            <w:shd w:fill="FFFFFF"/>
          </w:tcPr>
          <w:p>
            <w:pPr>
              <w:spacing w:after="0" w:before="0" w:line="257" w:lineRule="auto"/>
            </w:pPr>
            <w:r>
              <w:rPr>
                <w:sz w:val="21"/>
              </w:rPr>
              <w:t>Ders kapatılması</w:t>
            </w:r>
          </w:p>
        </w:tc>
        <w:tc>
          <w:tcPr>
            <w:tcW w:type="dxa" w:w="6123"/>
            <w:vAlign w:val="center"/>
            <w:shd w:fill="FFFFFF"/>
          </w:tcPr>
          <w:p>
            <w:pPr>
              <w:spacing w:after="0" w:before="0" w:line="257" w:lineRule="auto"/>
            </w:pPr>
            <w:r>
              <w:rPr>
                <w:sz w:val="21"/>
              </w:rPr>
              <w:t>Ayrı bir ders kapatma başvuru formu doğrulanamadı. Kalite El Kitabı 4.1.2, Ders Profil Formunu kapatma için de anıyor.</w:t>
            </w:r>
          </w:p>
        </w:tc>
        <w:tc>
          <w:tcPr>
            <w:tcW w:type="dxa" w:w="6350"/>
            <w:vAlign w:val="center"/>
            <w:shd w:fill="FFFFFF"/>
          </w:tcPr>
          <w:p>
            <w:pPr>
              <w:spacing w:after="0" w:before="0" w:line="257" w:lineRule="auto"/>
            </w:pPr>
            <w:r>
              <w:rPr>
                <w:sz w:val="21"/>
              </w:rPr>
            </w:r>
            <w:hyperlink r:id="rId33">
              <w:r>
                <w:rPr>
                  <w:rFonts w:ascii="Arial" w:hAnsi="Arial"/>
                  <w:color w:val="000000"/>
                  <w:sz w:val="21"/>
                  <w:u w:val="single"/>
                </w:rPr>
                <w:t>KİDR 2025, B.1.6, “Derslerin Kapatılması”</w:t>
              </w:r>
            </w:hyperlink>
            <w:r>
              <w:rPr>
                <w:sz w:val="21"/>
              </w:rPr>
              <w:t xml:space="preserve"> gerekçe, kredi/mezuniyet ve öğrenci etkilerinin dosyada açıklanmasını istiyor.</w:t>
            </w:r>
          </w:p>
        </w:tc>
        <w:tc>
          <w:tcPr>
            <w:tcW w:type="dxa" w:w="6236"/>
            <w:vAlign w:val="center"/>
            <w:shd w:fill="FFFFFF"/>
          </w:tcPr>
          <w:p>
            <w:pPr>
              <w:spacing w:after="0" w:before="0" w:line="257" w:lineRule="auto"/>
            </w:pPr>
            <w:r>
              <w:rPr>
                <w:sz w:val="21"/>
              </w:rPr>
              <w:t>Süreç ve dosya içeriği kaynaklı; ayrı boş şablon bulunamadı. 2026 profil formunda kapatma kutusu yok.</w:t>
            </w:r>
          </w:p>
        </w:tc>
      </w:tr>
      <w:tr>
        <w:trPr>
          <w:cantSplit/>
        </w:trPr>
        <w:tc>
          <w:tcPr>
            <w:tcW w:type="dxa" w:w="3515"/>
            <w:vAlign w:val="center"/>
            <w:shd w:fill="F7F7F7"/>
          </w:tcPr>
          <w:p>
            <w:pPr>
              <w:spacing w:after="0" w:before="0" w:line="257" w:lineRule="auto"/>
            </w:pPr>
            <w:r>
              <w:rPr>
                <w:sz w:val="21"/>
              </w:rPr>
              <w:t>Program/müfredat değişiklikleri</w:t>
            </w:r>
          </w:p>
        </w:tc>
        <w:tc>
          <w:tcPr>
            <w:tcW w:type="dxa" w:w="6123"/>
            <w:vAlign w:val="center"/>
            <w:shd w:fill="F7F7F7"/>
          </w:tcPr>
          <w:p>
            <w:pPr>
              <w:spacing w:after="0" w:before="0" w:line="257" w:lineRule="auto"/>
            </w:pPr>
            <w:r>
              <w:rPr>
                <w:sz w:val="21"/>
              </w:rPr>
            </w:r>
            <w:hyperlink r:id="rId34">
              <w:r>
                <w:rPr>
                  <w:rFonts w:ascii="Arial" w:hAnsi="Arial"/>
                  <w:color w:val="000000"/>
                  <w:sz w:val="21"/>
                  <w:u w:val="single"/>
                </w:rPr>
                <w:t>Eski-yeni müfredat karşılaştırması örneği</w:t>
              </w:r>
            </w:hyperlink>
            <w:r>
              <w:rPr>
                <w:sz w:val="21"/>
              </w:rPr>
              <w:t xml:space="preserve"> yayımlanmış; bütün işlemler için ortak boş başvuru formu doğrulanamadı.</w:t>
            </w:r>
          </w:p>
        </w:tc>
        <w:tc>
          <w:tcPr>
            <w:tcW w:type="dxa" w:w="6350"/>
            <w:vAlign w:val="center"/>
            <w:shd w:fill="F7F7F7"/>
          </w:tcPr>
          <w:p>
            <w:pPr>
              <w:spacing w:after="0" w:before="0" w:line="257" w:lineRule="auto"/>
            </w:pPr>
            <w:r>
              <w:rPr>
                <w:sz w:val="21"/>
              </w:rPr>
            </w:r>
            <w:hyperlink r:id="rId35">
              <w:r>
                <w:rPr>
                  <w:rFonts w:ascii="Arial" w:hAnsi="Arial"/>
                  <w:color w:val="000000"/>
                  <w:sz w:val="21"/>
                  <w:u w:val="single"/>
                </w:rPr>
                <w:t>Kalite El Kitabı 4.1.1</w:t>
              </w:r>
            </w:hyperlink>
            <w:r>
              <w:rPr>
                <w:sz w:val="21"/>
              </w:rPr>
              <w:t>; FORM C/D ilişki matrisleri ve program/ders tasarım çerçevesi.</w:t>
            </w:r>
          </w:p>
        </w:tc>
        <w:tc>
          <w:tcPr>
            <w:tcW w:type="dxa" w:w="6236"/>
            <w:vAlign w:val="center"/>
            <w:shd w:fill="F7F7F7"/>
          </w:tcPr>
          <w:p>
            <w:pPr>
              <w:spacing w:after="0" w:before="0" w:line="257" w:lineRule="auto"/>
            </w:pPr>
            <w:r>
              <w:rPr>
                <w:sz w:val="21"/>
              </w:rPr>
              <w:t>Karşılaştırma belgesi doldurulmuş bölüm örneğidir. Müfredat-Kredi-AKTS çalışma tablosu da dolu veri örneğidir; başvuru şablonu sayılmadı.</w:t>
            </w:r>
          </w:p>
        </w:tc>
      </w:tr>
      <w:tr>
        <w:trPr>
          <w:cantSplit/>
        </w:trPr>
        <w:tc>
          <w:tcPr>
            <w:tcW w:type="dxa" w:w="3515"/>
            <w:vAlign w:val="center"/>
            <w:shd w:fill="FFFFFF"/>
          </w:tcPr>
          <w:p>
            <w:pPr>
              <w:spacing w:after="0" w:before="0" w:line="257" w:lineRule="auto"/>
            </w:pPr>
            <w:r>
              <w:rPr>
                <w:sz w:val="21"/>
              </w:rPr>
              <w:t>Müfredat değişikliğine bağlı genel intibak ilkeleri</w:t>
            </w:r>
          </w:p>
        </w:tc>
        <w:tc>
          <w:tcPr>
            <w:tcW w:type="dxa" w:w="6123"/>
            <w:vAlign w:val="center"/>
            <w:shd w:fill="FFFFFF"/>
          </w:tcPr>
          <w:p>
            <w:pPr>
              <w:spacing w:after="0" w:before="0" w:line="257" w:lineRule="auto"/>
            </w:pPr>
            <w:r>
              <w:rPr>
                <w:sz w:val="21"/>
              </w:rPr>
              <w:t>Program düzeyinde ayrı bir genel intibak ilkeleri şablonu doğrulanamadı.</w:t>
            </w:r>
          </w:p>
        </w:tc>
        <w:tc>
          <w:tcPr>
            <w:tcW w:type="dxa" w:w="6350"/>
            <w:vAlign w:val="center"/>
            <w:shd w:fill="FFFFFF"/>
          </w:tcPr>
          <w:p>
            <w:pPr>
              <w:spacing w:after="0" w:before="0" w:line="257" w:lineRule="auto"/>
            </w:pPr>
            <w:r>
              <w:rPr>
                <w:sz w:val="21"/>
              </w:rPr>
              <w:t>Bu işlem için ayrı hazırlama kılavuzu bulunamadı.</w:t>
            </w:r>
          </w:p>
        </w:tc>
        <w:tc>
          <w:tcPr>
            <w:tcW w:type="dxa" w:w="6236"/>
            <w:vAlign w:val="center"/>
            <w:shd w:fill="FFFFFF"/>
          </w:tcPr>
          <w:p>
            <w:pPr>
              <w:spacing w:after="0" w:before="0" w:line="257" w:lineRule="auto"/>
            </w:pPr>
            <w:r>
              <w:rPr>
                <w:sz w:val="21"/>
              </w:rPr>
              <w:t>Öğrenci bazlı Yatay Geçiş / Ders İntibak Formu farklı kapsamda; bu satırın formu olarak kullanılamaz.</w:t>
            </w:r>
          </w:p>
        </w:tc>
      </w:tr>
      <w:tr>
        <w:trPr>
          <w:cantSplit/>
        </w:trPr>
        <w:tc>
          <w:tcPr>
            <w:tcW w:type="dxa" w:w="3515"/>
            <w:vAlign w:val="center"/>
            <w:shd w:fill="F7F7F7"/>
          </w:tcPr>
          <w:p>
            <w:pPr>
              <w:spacing w:after="0" w:before="0" w:line="257" w:lineRule="auto"/>
            </w:pPr>
            <w:r>
              <w:rPr>
                <w:sz w:val="21"/>
              </w:rPr>
              <w:t>YAP programı açılması / program profilinin değiştirilmesi</w:t>
            </w:r>
          </w:p>
        </w:tc>
        <w:tc>
          <w:tcPr>
            <w:tcW w:type="dxa" w:w="6123"/>
            <w:vAlign w:val="center"/>
            <w:shd w:fill="F7F7F7"/>
          </w:tcPr>
          <w:p>
            <w:pPr>
              <w:spacing w:after="0" w:before="0" w:line="257" w:lineRule="auto"/>
            </w:pPr>
            <w:r>
              <w:rPr>
                <w:sz w:val="21"/>
              </w:rPr>
            </w:r>
            <w:hyperlink r:id="rId36">
              <w:r>
                <w:rPr>
                  <w:rFonts w:ascii="Arial" w:hAnsi="Arial"/>
                  <w:color w:val="000000"/>
                  <w:sz w:val="21"/>
                  <w:u w:val="single"/>
                </w:rPr>
                <w:t>Secondary Field / Minor Program Profile Form örneği</w:t>
              </w:r>
            </w:hyperlink>
            <w:r>
              <w:rPr>
                <w:sz w:val="21"/>
              </w:rPr>
              <w:t>; belgedeki kod KYS-FR-22.</w:t>
            </w:r>
          </w:p>
        </w:tc>
        <w:tc>
          <w:tcPr>
            <w:tcW w:type="dxa" w:w="6350"/>
            <w:vAlign w:val="center"/>
            <w:shd w:fill="F7F7F7"/>
          </w:tcPr>
          <w:p>
            <w:pPr>
              <w:spacing w:after="0" w:before="0" w:line="257" w:lineRule="auto"/>
            </w:pPr>
            <w:r>
              <w:rPr>
                <w:sz w:val="21"/>
              </w:rPr>
              <w:t>Profilde amaç, program gerekleri, dersler, krediler ve hazırlayan bilgileri için alanlar bulunuyor. Ayrı yazım kılavuzu doğrulanamadı.</w:t>
            </w:r>
          </w:p>
        </w:tc>
        <w:tc>
          <w:tcPr>
            <w:tcW w:type="dxa" w:w="6236"/>
            <w:vAlign w:val="center"/>
            <w:shd w:fill="F7F7F7"/>
          </w:tcPr>
          <w:p>
            <w:pPr>
              <w:spacing w:after="0" w:before="0" w:line="257" w:lineRule="auto"/>
            </w:pPr>
            <w:r>
              <w:rPr>
                <w:sz w:val="21"/>
              </w:rPr>
              <w:t>Doldurulmuş yandal örneği erişilebilir (rev.1 / 03.12.2021). Güncel boş şablonun kurumdan teyidi gerekiyor. Bazı diğer yayımlanmış örneklerde kod KYS-FR-21 görünüyor.</w:t>
            </w:r>
          </w:p>
        </w:tc>
      </w:tr>
      <w:tr>
        <w:trPr>
          <w:cantSplit/>
        </w:trPr>
        <w:tc>
          <w:tcPr>
            <w:tcW w:type="dxa" w:w="3515"/>
            <w:vAlign w:val="center"/>
            <w:shd w:fill="FFFFFF"/>
          </w:tcPr>
          <w:p>
            <w:pPr>
              <w:spacing w:after="0" w:before="0" w:line="257" w:lineRule="auto"/>
            </w:pPr>
            <w:r>
              <w:rPr>
                <w:sz w:val="21"/>
              </w:rPr>
              <w:t>ÇAP programı açılması / program değişiklikleri</w:t>
            </w:r>
          </w:p>
        </w:tc>
        <w:tc>
          <w:tcPr>
            <w:tcW w:type="dxa" w:w="6123"/>
            <w:vAlign w:val="center"/>
            <w:shd w:fill="FFFFFF"/>
          </w:tcPr>
          <w:p>
            <w:pPr>
              <w:spacing w:after="0" w:before="0" w:line="257" w:lineRule="auto"/>
            </w:pPr>
            <w:r>
              <w:rPr>
                <w:sz w:val="21"/>
              </w:rPr>
              <w:t>Program açma/değişikliğine özgü ayrı bir TEDÜ formu doğrulanamadı.</w:t>
            </w:r>
          </w:p>
        </w:tc>
        <w:tc>
          <w:tcPr>
            <w:tcW w:type="dxa" w:w="6350"/>
            <w:vAlign w:val="center"/>
            <w:shd w:fill="FFFFFF"/>
          </w:tcPr>
          <w:p>
            <w:pPr>
              <w:spacing w:after="0" w:before="0" w:line="257" w:lineRule="auto"/>
            </w:pPr>
            <w:r>
              <w:rPr>
                <w:sz w:val="21"/>
              </w:rPr>
              <w:t>Özel dosya hazırlama kılavuzu doğrulanamadı.</w:t>
            </w:r>
          </w:p>
        </w:tc>
        <w:tc>
          <w:tcPr>
            <w:tcW w:type="dxa" w:w="6236"/>
            <w:vAlign w:val="center"/>
            <w:shd w:fill="FFFFFF"/>
          </w:tcPr>
          <w:p>
            <w:pPr>
              <w:spacing w:after="0" w:before="0" w:line="257" w:lineRule="auto"/>
            </w:pPr>
            <w:r>
              <w:rPr>
                <w:sz w:val="21"/>
              </w:rPr>
              <w:t>Öğrencilerin ÇAP başvuru/kayıt formları bu işlem için şablon sayılmadı.</w:t>
            </w:r>
          </w:p>
        </w:tc>
      </w:tr>
      <w:tr>
        <w:trPr>
          <w:cantSplit/>
        </w:trPr>
        <w:tc>
          <w:tcPr>
            <w:tcW w:type="dxa" w:w="3515"/>
            <w:vAlign w:val="center"/>
            <w:shd w:fill="F7F7F7"/>
          </w:tcPr>
          <w:p>
            <w:pPr>
              <w:spacing w:after="0" w:before="0" w:line="257" w:lineRule="auto"/>
            </w:pPr>
            <w:r>
              <w:rPr>
                <w:sz w:val="21"/>
              </w:rPr>
              <w:t>Yeni lisans / yüksek lisans / doktora programı açılması</w:t>
            </w:r>
          </w:p>
        </w:tc>
        <w:tc>
          <w:tcPr>
            <w:tcW w:type="dxa" w:w="6123"/>
            <w:vAlign w:val="center"/>
            <w:shd w:fill="F7F7F7"/>
          </w:tcPr>
          <w:p>
            <w:pPr>
              <w:spacing w:after="0" w:before="0" w:line="257" w:lineRule="auto"/>
            </w:pPr>
            <w:r>
              <w:rPr>
                <w:sz w:val="21"/>
              </w:rPr>
              <w:t>Kamuya açık ayrı bir TEDÜ program açma dosyası şablonu doğrulanamadı.</w:t>
            </w:r>
          </w:p>
        </w:tc>
        <w:tc>
          <w:tcPr>
            <w:tcW w:type="dxa" w:w="6350"/>
            <w:vAlign w:val="center"/>
            <w:shd w:fill="F7F7F7"/>
          </w:tcPr>
          <w:p>
            <w:pPr>
              <w:spacing w:after="0" w:before="0" w:line="257" w:lineRule="auto"/>
            </w:pPr>
            <w:r>
              <w:rPr>
                <w:sz w:val="21"/>
              </w:rPr>
              <w:t>TEDÜ’ye özgü ayrı dosya hazırlama kılavuzu doğrulanamadı.</w:t>
            </w:r>
          </w:p>
        </w:tc>
        <w:tc>
          <w:tcPr>
            <w:tcW w:type="dxa" w:w="6236"/>
            <w:vAlign w:val="center"/>
            <w:shd w:fill="F7F7F7"/>
          </w:tcPr>
          <w:p>
            <w:pPr>
              <w:spacing w:after="0" w:before="0" w:line="257" w:lineRule="auto"/>
            </w:pPr>
            <w:r>
              <w:rPr>
                <w:sz w:val="21"/>
              </w:rPr>
              <w:t>Kurum içi şablon ve ilgili YÖK başvuru paketi ayrıca istenmeli; bu envanter YÖK form paketinin taraması değildir.</w:t>
            </w:r>
          </w:p>
        </w:tc>
      </w:tr>
      <w:tr>
        <w:trPr>
          <w:cantSplit/>
        </w:trPr>
        <w:tc>
          <w:tcPr>
            <w:tcW w:type="dxa" w:w="3515"/>
            <w:vAlign w:val="center"/>
            <w:shd w:fill="FFFFFF"/>
          </w:tcPr>
          <w:p>
            <w:pPr>
              <w:spacing w:after="0" w:before="0" w:line="257" w:lineRule="auto"/>
            </w:pPr>
            <w:r>
              <w:rPr>
                <w:sz w:val="21"/>
              </w:rPr>
              <w:t>Diploma programının adının değiştirilmesi veya program kapatılması</w:t>
            </w:r>
          </w:p>
        </w:tc>
        <w:tc>
          <w:tcPr>
            <w:tcW w:type="dxa" w:w="6123"/>
            <w:vAlign w:val="center"/>
            <w:shd w:fill="FFFFFF"/>
          </w:tcPr>
          <w:p>
            <w:pPr>
              <w:spacing w:after="0" w:before="0" w:line="257" w:lineRule="auto"/>
            </w:pPr>
            <w:r>
              <w:rPr>
                <w:sz w:val="21"/>
              </w:rPr>
              <w:t>Bu işlemlere özgü ayrı TEDÜ başvuru formları doğrulanamadı.</w:t>
            </w:r>
          </w:p>
        </w:tc>
        <w:tc>
          <w:tcPr>
            <w:tcW w:type="dxa" w:w="6350"/>
            <w:vAlign w:val="center"/>
            <w:shd w:fill="FFFFFF"/>
          </w:tcPr>
          <w:p>
            <w:pPr>
              <w:spacing w:after="0" w:before="0" w:line="257" w:lineRule="auto"/>
            </w:pPr>
            <w:r>
              <w:rPr>
                <w:sz w:val="21"/>
              </w:rPr>
              <w:t>İşleme özgü hazırlama kılavuzları doğrulanamadı.</w:t>
            </w:r>
          </w:p>
        </w:tc>
        <w:tc>
          <w:tcPr>
            <w:tcW w:type="dxa" w:w="6236"/>
            <w:vAlign w:val="center"/>
            <w:shd w:fill="FFFFFF"/>
          </w:tcPr>
          <w:p>
            <w:pPr>
              <w:spacing w:after="0" w:before="0" w:line="257" w:lineRule="auto"/>
            </w:pPr>
            <w:r>
              <w:rPr>
                <w:sz w:val="21"/>
              </w:rPr>
              <w:t>“Açık kaynakta bulunamadı” kaydıdır; kurumda form bulunmadığı anlamına gelmez. Ad değişikliği ve kapatma yetki zincirleri ayrıca değerlendirilir.</w:t>
            </w:r>
          </w:p>
        </w:tc>
      </w:tr>
      <w:tr>
        <w:trPr>
          <w:cantSplit/>
        </w:trPr>
        <w:tc>
          <w:tcPr>
            <w:tcW w:type="dxa" w:w="3515"/>
            <w:vAlign w:val="center"/>
            <w:shd w:fill="F7F7F7"/>
          </w:tcPr>
          <w:p>
            <w:pPr>
              <w:spacing w:after="0" w:before="0" w:line="257" w:lineRule="auto"/>
            </w:pPr>
            <w:r>
              <w:rPr>
                <w:sz w:val="21"/>
              </w:rPr>
              <w:t>Ders/program değerlendirme ve iyileştirme çalışmaları</w:t>
            </w:r>
          </w:p>
        </w:tc>
        <w:tc>
          <w:tcPr>
            <w:tcW w:type="dxa" w:w="6123"/>
            <w:vAlign w:val="center"/>
            <w:shd w:fill="F7F7F7"/>
          </w:tcPr>
          <w:p>
            <w:pPr>
              <w:spacing w:after="0" w:before="0" w:line="257" w:lineRule="auto"/>
            </w:pPr>
            <w:r>
              <w:rPr>
                <w:sz w:val="21"/>
              </w:rPr>
              <w:t>1.4 Öğretim Üyesi Ders Değerlendirme Formu/Raporu; 1.5 Bölüm Ders Değerlendirme Formu/Raporu; FORM C/D matrisleri.</w:t>
            </w:r>
          </w:p>
        </w:tc>
        <w:tc>
          <w:tcPr>
            <w:tcW w:type="dxa" w:w="6350"/>
            <w:vAlign w:val="center"/>
            <w:shd w:fill="F7F7F7"/>
          </w:tcPr>
          <w:p>
            <w:pPr>
              <w:spacing w:after="0" w:before="0" w:line="257" w:lineRule="auto"/>
            </w:pPr>
            <w:r>
              <w:rPr>
                <w:sz w:val="21"/>
              </w:rPr>
            </w:r>
            <w:hyperlink r:id="rId37">
              <w:r>
                <w:rPr>
                  <w:rFonts w:ascii="Arial" w:hAnsi="Arial"/>
                  <w:color w:val="000000"/>
                  <w:sz w:val="21"/>
                  <w:u w:val="single"/>
                </w:rPr>
                <w:t>CTL Faculty Handbook, basılı s.21 / PDF s.25</w:t>
              </w:r>
            </w:hyperlink>
            <w:r>
              <w:rPr>
                <w:sz w:val="21"/>
              </w:rPr>
              <w:t xml:space="preserve"> 1.4 Form Attachment için MyTEDU erişimini açıklıyor. </w:t>
            </w:r>
            <w:hyperlink r:id="rId35">
              <w:r>
                <w:rPr>
                  <w:rFonts w:ascii="Arial" w:hAnsi="Arial"/>
                  <w:color w:val="000000"/>
                  <w:sz w:val="21"/>
                  <w:u w:val="single"/>
                </w:rPr>
                <w:t>Kalite El Kitabı 4.1.1-2</w:t>
              </w:r>
            </w:hyperlink>
            <w:r>
              <w:rPr>
                <w:sz w:val="21"/>
              </w:rPr>
              <w:t xml:space="preserve"> 1.4/1.5 ve matrisleri anıyor.</w:t>
            </w:r>
          </w:p>
        </w:tc>
        <w:tc>
          <w:tcPr>
            <w:tcW w:type="dxa" w:w="6236"/>
            <w:vAlign w:val="center"/>
            <w:shd w:fill="F7F7F7"/>
          </w:tcPr>
          <w:p>
            <w:pPr>
              <w:spacing w:after="0" w:before="0" w:line="257" w:lineRule="auto"/>
            </w:pPr>
            <w:r>
              <w:rPr>
                <w:sz w:val="21"/>
              </w:rPr>
              <w:t>Kullanım ve rehber doğrulandı. Güncel 1.4/1.5 boş dosyaları bu taramada elde edilmedi; bunlar PEK’e özel yeni başvuru formları değil, mevcut değerlendirme girdileridir.</w:t>
            </w:r>
          </w:p>
        </w:tc>
      </w:tr>
    </w:tbl>
    <w:p>
      <w:pPr>
        <w:widowControl/>
        <w:spacing w:before="120"/>
      </w:pPr>
      <w:r>
        <w:rPr>
          <w:sz w:val="20"/>
        </w:rPr>
        <w:t>Sürüm uyumu: 2026 Ders Profil Formu ile 2025 KYS-KL-16 kılavuzunun bütün hükümleri aynı değildir. Yeni form katalog tanımını anahtar kelimelerle tarif eder; eski kılavuz 70–90 kelimelik açıklama ister. Güncel kurum içi sürüm teyit edilmelidir.</w:t>
      </w:r>
    </w:p>
    <w:p>
      <w:pPr>
        <w:widowControl/>
        <w:spacing w:before="120"/>
      </w:pPr>
      <w:r>
        <w:rPr>
          <w:sz w:val="20"/>
        </w:rPr>
        <w:t>Öğrencinin ÇAP/YAP kayıt başvurusu ve bireysel ders intibakı, program açma veya genel intibak ilkeleri dosyasıyla aynı işlem değildir. Ders değerlendirme formları ve FORM C/D matrisleri mevcut kalite ve iyileştirme girdileridir.</w:t>
      </w:r>
    </w:p>
    <w:p>
      <w:pPr>
        <w:widowControl/>
        <w:spacing w:before="0" w:after="0" w:line="20" w:lineRule="exact"/>
        <w:sectPr>
          <w:type w:val="nextPage"/>
          <w:footerReference w:type="default" r:id="rId9"/>
          <w:pgSz w:w="23811" w:h="16838" w:orient="landscape"/>
          <w:pgMar w:top="907" w:right="794" w:bottom="907" w:left="794" w:header="340" w:footer="340" w:gutter="0"/>
          <w:cols w:space="720"/>
          <w:docGrid w:linePitch="360"/>
        </w:sectPr>
      </w:pPr>
      <w:r/>
      <w:r>
        <w:rPr>
          <w:sz w:val="2"/>
        </w:rPr>
      </w:r>
    </w:p>
    <w:p>
      <w:pPr>
        <w:widowControl/>
      </w:pPr>
      <w:r>
        <w:rPr>
          <w:sz w:val="18"/>
        </w:rPr>
        <w:t>Okuma notu  Karşılaştırma tablosunda önceki kurumsal uygulama ile bu taslağın getirdiği yeni kurallar birbirinden ayrılarak anlatılmıştır.</w:t>
      </w:r>
    </w:p>
    <w:p>
      <w:pPr>
        <w:widowControl/>
      </w:pPr>
      <w:r>
        <w:rPr>
          <w:sz w:val="18"/>
        </w:rPr>
        <w:t>Kurul kararları  Fakülte/enstitü kurulu ile fakülte/enstitü yönetim kurulu farklı organlardır. Madde 13/1’deki ortak yönetim kurulu aşaması, mevcut yönetmeliklerin ayrıca istediği fakülte veya enstitü kurulu kararını ortadan kaldırmaz. Her dosya, ilgili düzenlemede gereken diğer kurul ve onay aşamalarını da izlemelidir.</w:t>
      </w:r>
    </w:p>
    <w:p>
      <w:pPr>
        <w:pStyle w:val="Heading1"/>
        <w:keepNext/>
        <w:widowControl/>
      </w:pPr>
      <w:r>
        <w:rPr>
          <w:sz w:val="22"/>
        </w:rPr>
        <w:t>İncelemenin kapsamı</w:t>
      </w:r>
    </w:p>
    <w:p>
      <w:pPr>
        <w:keepNext/>
        <w:widowControl/>
      </w:pPr>
      <w:r>
        <w:rPr>
          <w:sz w:val="18"/>
        </w:rPr>
        <w:t>Bu sürümde 50 fıkranın metni korunmuştur. Açıklamalar, çalışmayı ilk kez okuyan komisyon üyeleri için yeniden yazılmış; üye ataması, kurul ayrımı, süreler, öğrenci katılımı, yürürlük ve sekretarya konularındaki kaynaklar yeniden incelenmiştir.</w:t>
      </w:r>
    </w:p>
    <w:p>
      <w:pPr>
        <w:keepNext/>
      </w:pPr>
      <w:r>
        <w:rPr>
          <w:sz w:val="18"/>
        </w:rPr>
        <w:t>Ayrı uygulama çalışmaları  İşlem türlerine özgü ayrıntılı akışlar ve kurum içi form/rehber şablonlarının tamamlanması ayrıca ele alınacaktır.</w:t>
      </w:r>
    </w:p>
    <w:p>
      <w:pPr>
        <w:pStyle w:val="Heading1"/>
        <w:pageBreakBefore/>
        <w:widowControl/>
      </w:pPr>
      <w:r>
        <w:rPr>
          <w:sz w:val="22"/>
        </w:rPr>
        <w:t>Kaynak incelemesinin sonuçları</w:t>
      </w:r>
    </w:p>
    <w:p>
      <w:pPr>
        <w:widowControl/>
      </w:pPr>
      <w:r>
        <w:rPr>
          <w:sz w:val="18"/>
        </w:rPr>
        <w:t>Her başlıkta incelenen belgenin neyi doğruladığı ve hangi bilginin hâlen kurumdan alınması gerektiği açıklanmıştır. Yeni önerilen süreler mevcut kanuni zorunluluklar gibi sunulmamıştır. Bireysel atama kararları, kesin teslim kanalı ve oylamaya ilişkin yazılı hukuk görüşü bu çalışma için temin edilememiştir; bu, kurumda kayıt bulunmadığı anlamına gelmez.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077"/>
        <w:gridCol w:w="2268"/>
        <w:gridCol w:w="6066"/>
      </w:tblGrid>
      <w:tr>
        <w:trPr>
          <w:tblHeader/>
          <w:cantSplit/>
        </w:trPr>
        <w:tc>
          <w:tcPr>
            <w:tcW w:type="dxa" w:w="1077"/>
            <w:vAlign w:val="center"/>
            <w:shd w:fill="E7E6E6"/>
          </w:tcPr>
          <w:p>
            <w:pPr>
              <w:widowControl/>
              <w:spacing w:before="0" w:after="0" w:line="252" w:lineRule="auto"/>
              <w:jc w:val="center"/>
            </w:pPr>
            <w:r>
              <w:rPr>
                <w:sz w:val="18"/>
              </w:rPr>
              <w:t>No</w:t>
            </w:r>
          </w:p>
        </w:tc>
        <w:tc>
          <w:tcPr>
            <w:tcW w:type="dxa" w:w="2268"/>
            <w:vAlign w:val="center"/>
            <w:shd w:fill="E7E6E6"/>
          </w:tcPr>
          <w:p>
            <w:pPr>
              <w:widowControl/>
              <w:spacing w:before="0" w:after="0" w:line="252" w:lineRule="auto"/>
              <w:jc w:val="left"/>
            </w:pPr>
            <w:r>
              <w:rPr>
                <w:sz w:val="18"/>
              </w:rPr>
              <w:t>İncelenen konu</w:t>
            </w:r>
          </w:p>
        </w:tc>
        <w:tc>
          <w:tcPr>
            <w:tcW w:type="dxa" w:w="6066"/>
            <w:vAlign w:val="center"/>
            <w:shd w:fill="E7E6E6"/>
          </w:tcPr>
          <w:p>
            <w:pPr>
              <w:widowControl/>
              <w:spacing w:before="0" w:after="0" w:line="252" w:lineRule="auto"/>
              <w:jc w:val="left"/>
            </w:pPr>
            <w:r>
              <w:rPr>
                <w:sz w:val="18"/>
              </w:rPr>
              <w:t>Sonuç ve açıklama</w:t>
            </w:r>
          </w:p>
        </w:tc>
      </w:tr>
      <w:tr>
        <w:trPr>
          <w:cantSplit/>
        </w:trPr>
        <w:tc>
          <w:tcPr>
            <w:tcW w:type="dxa" w:w="1077"/>
            <w:vAlign w:val="center"/>
            <w:shd w:fill="FFFFFF"/>
          </w:tcPr>
          <w:p>
            <w:pPr>
              <w:widowControl/>
              <w:spacing w:before="0" w:after="0" w:line="252" w:lineRule="auto"/>
              <w:jc w:val="center"/>
            </w:pPr>
            <w:r>
              <w:rPr>
                <w:sz w:val="18"/>
              </w:rPr>
              <w:t>1</w:t>
            </w:r>
          </w:p>
        </w:tc>
        <w:tc>
          <w:tcPr>
            <w:tcW w:type="dxa" w:w="2268"/>
            <w:vAlign w:val="center"/>
            <w:shd w:fill="FFFFFF"/>
          </w:tcPr>
          <w:p>
            <w:pPr>
              <w:widowControl/>
              <w:spacing w:before="0" w:after="0" w:line="252" w:lineRule="auto"/>
              <w:jc w:val="left"/>
            </w:pPr>
            <w:r>
              <w:rPr>
                <w:sz w:val="18"/>
              </w:rPr>
              <w:t>Üyeleri hangi makam belirler ve atar?</w:t>
            </w:r>
          </w:p>
        </w:tc>
        <w:tc>
          <w:tcPr>
            <w:tcW w:type="dxa" w:w="6066"/>
            <w:vAlign w:val="center"/>
            <w:shd w:fill="FFFFFF"/>
          </w:tcPr>
          <w:p>
            <w:pPr>
              <w:widowControl/>
              <w:spacing w:before="0" w:after="0" w:line="252" w:lineRule="auto"/>
              <w:jc w:val="left"/>
            </w:pPr>
            <w:r>
              <w:rPr>
                <w:sz w:val="18"/>
              </w:rPr>
              <w:t>Belgeyle doğrulandı</w:t>
              <w:br/>
            </w:r>
            <w:hyperlink r:id="rId12">
              <w:r>
                <w:rPr>
                  <w:color w:val="285D6A"/>
                  <w:sz w:val="18"/>
                </w:rPr>
                <w:t>TEDÜ Lisansüstü Eğitim-Öğretim Yönetmeliği</w:t>
              </w:r>
            </w:hyperlink>
            <w:r>
              <w:rPr>
                <w:sz w:val="18"/>
              </w:rPr>
              <w:t xml:space="preserve"> m.4/1-ğ üyelerin Senato tarafından belirlenip Rektör tarafından atanacağını açıkça söylüyor. </w:t>
            </w:r>
            <w:hyperlink r:id="rId13">
              <w:r>
                <w:rPr>
                  <w:color w:val="285D6A"/>
                  <w:sz w:val="18"/>
                </w:rPr>
                <w:t>TEDÜ 2025 Kurum İç Değerlendirme Raporu</w:t>
              </w:r>
            </w:hyperlink>
            <w:r>
              <w:rPr>
                <w:sz w:val="18"/>
              </w:rPr>
              <w:t xml:space="preserve"> B.1.5 dekanın süresiz atamasını anlatıyor; iki belge aynı usulü tarif etmiyor. Taslağın Madde 4/2 hükmü yönetmelikteki açık kurala dayanıyor. Kurum raporundaki farklı anlatımın düzeltilmesi ayrıca ele alınmalı.</w:t>
            </w:r>
          </w:p>
        </w:tc>
      </w:tr>
      <w:tr>
        <w:trPr>
          <w:cantSplit/>
        </w:trPr>
        <w:tc>
          <w:tcPr>
            <w:tcW w:type="dxa" w:w="1077"/>
            <w:vAlign w:val="center"/>
            <w:shd w:fill="F7F7F7"/>
          </w:tcPr>
          <w:p>
            <w:pPr>
              <w:widowControl/>
              <w:spacing w:before="0" w:after="0" w:line="252" w:lineRule="auto"/>
              <w:jc w:val="center"/>
            </w:pPr>
            <w:r>
              <w:rPr>
                <w:sz w:val="18"/>
              </w:rPr>
              <w:t>2</w:t>
            </w:r>
          </w:p>
        </w:tc>
        <w:tc>
          <w:tcPr>
            <w:tcW w:type="dxa" w:w="2268"/>
            <w:vAlign w:val="center"/>
            <w:shd w:fill="F7F7F7"/>
          </w:tcPr>
          <w:p>
            <w:pPr>
              <w:widowControl/>
              <w:spacing w:before="0" w:after="0" w:line="252" w:lineRule="auto"/>
              <w:jc w:val="left"/>
            </w:pPr>
            <w:r>
              <w:rPr>
                <w:sz w:val="18"/>
              </w:rPr>
              <w:t>Mevcut üyeler yeni yapıya nasıl geçecek?</w:t>
            </w:r>
          </w:p>
        </w:tc>
        <w:tc>
          <w:tcPr>
            <w:tcW w:type="dxa" w:w="6066"/>
            <w:vAlign w:val="center"/>
            <w:shd w:fill="F7F7F7"/>
          </w:tcPr>
          <w:p>
            <w:pPr>
              <w:widowControl/>
              <w:spacing w:before="0" w:after="0" w:line="252" w:lineRule="auto"/>
              <w:jc w:val="left"/>
            </w:pPr>
            <w:r>
              <w:rPr>
                <w:sz w:val="18"/>
              </w:rPr>
              <w:t>Kurum içi kayıt gerekiyor</w:t>
              <w:br/>
            </w:r>
            <w:hyperlink r:id="rId14">
              <w:r>
                <w:rPr>
                  <w:color w:val="285D6A"/>
                  <w:sz w:val="18"/>
                </w:rPr>
                <w:t>TEDÜ Komisyonlar listesi, 24.09.2026</w:t>
              </w:r>
            </w:hyperlink>
            <w:r>
              <w:rPr>
                <w:sz w:val="18"/>
              </w:rPr>
              <w:t xml:space="preserve"> PDF s.12 mevcut üye yapısını ve bir fakülteden iki temsilciyi gösteriyor. Ancak kişilerin atama tarihleri ve görev süreleri yayımlanmamış. İki yıllık üyelik ve otuz takvim günlük geçiş mevcut kanuni süreler değil, taslakta önerilen yeni düzendir. Mevcut atamaların başlangıçları ve varsa süre koşulları ilgili Senato ve Rektörlük kararlarından kontrol edilmelidir.</w:t>
            </w:r>
          </w:p>
        </w:tc>
      </w:tr>
      <w:tr>
        <w:trPr>
          <w:cantSplit/>
        </w:trPr>
        <w:tc>
          <w:tcPr>
            <w:tcW w:type="dxa" w:w="1077"/>
            <w:vAlign w:val="center"/>
            <w:shd w:fill="FFFFFF"/>
          </w:tcPr>
          <w:p>
            <w:pPr>
              <w:widowControl/>
              <w:spacing w:before="0" w:after="0" w:line="252" w:lineRule="auto"/>
              <w:jc w:val="center"/>
            </w:pPr>
            <w:r>
              <w:rPr>
                <w:sz w:val="18"/>
              </w:rPr>
              <w:t>3</w:t>
            </w:r>
          </w:p>
        </w:tc>
        <w:tc>
          <w:tcPr>
            <w:tcW w:type="dxa" w:w="2268"/>
            <w:vAlign w:val="center"/>
            <w:shd w:fill="FFFFFF"/>
          </w:tcPr>
          <w:p>
            <w:pPr>
              <w:widowControl/>
              <w:spacing w:before="0" w:after="0" w:line="252" w:lineRule="auto"/>
              <w:jc w:val="left"/>
            </w:pPr>
            <w:r>
              <w:rPr>
                <w:sz w:val="18"/>
              </w:rPr>
              <w:t>Dosya hangi kurullardan geçmeli?</w:t>
            </w:r>
          </w:p>
        </w:tc>
        <w:tc>
          <w:tcPr>
            <w:tcW w:type="dxa" w:w="6066"/>
            <w:vAlign w:val="center"/>
            <w:shd w:fill="FFFFFF"/>
          </w:tcPr>
          <w:p>
            <w:pPr>
              <w:widowControl/>
              <w:spacing w:before="0" w:after="0" w:line="252" w:lineRule="auto"/>
              <w:jc w:val="left"/>
            </w:pPr>
            <w:r>
              <w:rPr>
                <w:sz w:val="18"/>
              </w:rPr>
              <w:t>Kurul ayrımı doğrulandı</w:t>
              <w:br/>
            </w:r>
            <w:hyperlink r:id="rId11">
              <w:r>
                <w:rPr>
                  <w:color w:val="285D6A"/>
                  <w:sz w:val="18"/>
                </w:rPr>
                <w:t>TEDÜ Lisans Eğitim-Öğretim Yönetmeliği</w:t>
              </w:r>
            </w:hyperlink>
            <w:r>
              <w:rPr>
                <w:sz w:val="18"/>
              </w:rPr>
              <w:t xml:space="preserve"> m.8/3 müfredat ve intibak için fakülte kurulunu, m.15/3 ders özellikleri için yönetim kurulunu gösterir. </w:t>
            </w:r>
            <w:hyperlink r:id="rId12">
              <w:r>
                <w:rPr>
                  <w:color w:val="285D6A"/>
                  <w:sz w:val="18"/>
                </w:rPr>
                <w:t>TEDÜ Lisansüstü Eğitim-Öğretim Yönetmeliği</w:t>
              </w:r>
            </w:hyperlink>
            <w:r>
              <w:rPr>
                <w:sz w:val="18"/>
              </w:rPr>
              <w:t xml:space="preserve"> m.15 program açma, ad değişikliği ve müfredat işlemlerinde Enstitü Kurulunu arar. ÇAP ve YAP yönergeleri m.5/1 de ilgili fakültelerin kurul kararını ister. Sonuç: Madde 13/1’deki ortak yönetim kurulu aşaması gerekli fakülte/enstitü kurulu kararlarını kaldırmaz. Program kapatma işlemlerinin tam karar/onay zinciri bu taramadaki belgelerle bütün türler için doğrulanmış değildir.</w:t>
            </w:r>
          </w:p>
        </w:tc>
      </w:tr>
      <w:tr>
        <w:trPr>
          <w:cantSplit/>
        </w:trPr>
        <w:tc>
          <w:tcPr>
            <w:tcW w:type="dxa" w:w="1077"/>
            <w:vAlign w:val="center"/>
            <w:shd w:fill="F7F7F7"/>
          </w:tcPr>
          <w:p>
            <w:pPr>
              <w:widowControl/>
              <w:spacing w:before="0" w:after="0" w:line="252" w:lineRule="auto"/>
              <w:jc w:val="center"/>
            </w:pPr>
            <w:r>
              <w:rPr>
                <w:sz w:val="18"/>
              </w:rPr>
              <w:t>4</w:t>
            </w:r>
          </w:p>
        </w:tc>
        <w:tc>
          <w:tcPr>
            <w:tcW w:type="dxa" w:w="2268"/>
            <w:vAlign w:val="center"/>
            <w:shd w:fill="F7F7F7"/>
          </w:tcPr>
          <w:p>
            <w:pPr>
              <w:widowControl/>
              <w:spacing w:before="0" w:after="0" w:line="252" w:lineRule="auto"/>
              <w:jc w:val="left"/>
            </w:pPr>
            <w:r>
              <w:rPr>
                <w:sz w:val="18"/>
              </w:rPr>
              <w:t>30 Haziran ve iş günü süreleri mevcut kural mı?</w:t>
            </w:r>
          </w:p>
        </w:tc>
        <w:tc>
          <w:tcPr>
            <w:tcW w:type="dxa" w:w="6066"/>
            <w:vAlign w:val="center"/>
            <w:shd w:fill="F7F7F7"/>
          </w:tcPr>
          <w:p>
            <w:pPr>
              <w:widowControl/>
              <w:spacing w:before="0" w:after="0" w:line="252" w:lineRule="auto"/>
              <w:jc w:val="left"/>
            </w:pPr>
            <w:r>
              <w:rPr>
                <w:sz w:val="18"/>
              </w:rPr>
              <w:t>Yeni kural olduğu netleştirildi</w:t>
              <w:br/>
              <w:t xml:space="preserve">Hayır. </w:t>
            </w:r>
            <w:hyperlink r:id="rId13">
              <w:r>
                <w:rPr>
                  <w:color w:val="285D6A"/>
                  <w:sz w:val="18"/>
                </w:rPr>
                <w:t>TEDÜ 2025 Kurum İç Değerlendirme Raporu</w:t>
              </w:r>
            </w:hyperlink>
            <w:r>
              <w:rPr>
                <w:sz w:val="18"/>
              </w:rPr>
              <w:t xml:space="preserve"> B.1.6 dönemden beş hafta önce dosya gönderme, 7–10 gün içinde geri bildirim ve düzeltme için beş gün uygulamasını anlatır. Taslak yıllık 30 Haziran takvimini; belge eksiği için beş iş günü, akademik düzeltme için on iş günü ve imza sonrası bildirim için beş iş gününü öneriyor. Bu farklar kasıtlı bir çalışma düzeni değişikliğidir; mevcut kural olarak sunulmamalıdır. Kabul edilirse ilgili süreç belgeleri, duyurular ve takvim bu düzenle uyumlandırılmalıdır.</w:t>
            </w:r>
          </w:p>
        </w:tc>
      </w:tr>
      <w:tr>
        <w:trPr>
          <w:cantSplit/>
        </w:trPr>
        <w:tc>
          <w:tcPr>
            <w:tcW w:type="dxa" w:w="1077"/>
            <w:vAlign w:val="center"/>
            <w:shd w:fill="FFFFFF"/>
          </w:tcPr>
          <w:p>
            <w:pPr>
              <w:widowControl/>
              <w:spacing w:before="0" w:after="0" w:line="252" w:lineRule="auto"/>
              <w:jc w:val="center"/>
            </w:pPr>
            <w:r>
              <w:rPr>
                <w:sz w:val="18"/>
              </w:rPr>
              <w:t>5</w:t>
            </w:r>
          </w:p>
        </w:tc>
        <w:tc>
          <w:tcPr>
            <w:tcW w:type="dxa" w:w="2268"/>
            <w:vAlign w:val="center"/>
            <w:shd w:fill="FFFFFF"/>
          </w:tcPr>
          <w:p>
            <w:pPr>
              <w:widowControl/>
              <w:spacing w:before="0" w:after="0" w:line="252" w:lineRule="auto"/>
              <w:jc w:val="left"/>
            </w:pPr>
            <w:r>
              <w:rPr>
                <w:sz w:val="18"/>
              </w:rPr>
              <w:t>Eşit oyda başkanın oyu sonucu belirleyebilir mi?</w:t>
            </w:r>
          </w:p>
        </w:tc>
        <w:tc>
          <w:tcPr>
            <w:tcW w:type="dxa" w:w="6066"/>
            <w:vAlign w:val="center"/>
            <w:shd w:fill="FFFFFF"/>
          </w:tcPr>
          <w:p>
            <w:pPr>
              <w:widowControl/>
              <w:spacing w:before="0" w:after="0" w:line="252" w:lineRule="auto"/>
              <w:jc w:val="left"/>
            </w:pPr>
            <w:r>
              <w:rPr>
                <w:sz w:val="18"/>
              </w:rPr>
              <w:t>Hukuk görüşü gerekiyor</w:t>
              <w:br/>
            </w:r>
            <w:hyperlink r:id="rId10">
              <w:r>
                <w:rPr>
                  <w:color w:val="285D6A"/>
                  <w:sz w:val="18"/>
                </w:rPr>
                <w:t>2547 sayılı Yükseköğretim Kanunu</w:t>
              </w:r>
            </w:hyperlink>
            <w:r>
              <w:rPr>
                <w:sz w:val="18"/>
              </w:rPr>
              <w:t xml:space="preserve"> m.61, kanunda sözü geçen jüri ve kurullar için katılanların salt çoğunluğu ve oylama turları öngörür; doğrudan başkanın oyunu üstün kılmaz. </w:t>
            </w:r>
            <w:hyperlink r:id="rId18">
              <w:r>
                <w:rPr>
                  <w:color w:val="285D6A"/>
                  <w:sz w:val="18"/>
                </w:rPr>
                <w:t>TEDÜ Kalite Komisyonu Çalışma Yönergesi</w:t>
              </w:r>
            </w:hyperlink>
            <w:r>
              <w:rPr>
                <w:sz w:val="18"/>
              </w:rPr>
              <w:t xml:space="preserve"> m.7/b ve </w:t>
            </w:r>
            <w:hyperlink r:id="rId24">
              <w:r>
                <w:rPr>
                  <w:color w:val="285D6A"/>
                  <w:sz w:val="18"/>
                </w:rPr>
                <w:t>ODTÜ Kalite Komisyonu Yönergesi</w:t>
              </w:r>
            </w:hyperlink>
            <w:r>
              <w:rPr>
                <w:sz w:val="18"/>
              </w:rPr>
              <w:t xml:space="preserve"> m.5/b başka komisyonlarda başkanın oyu yönünde sonuç örneği verir. Ancak bu örnekler PEK bakımından aynı yetkiyi tek başına kanıtlamaz. Madde 12/3’ün uygunluğunu kapatabilmek için PEK’in statüsü ve 61 inci maddenin kapsamı hakkında kurumun hukuk biriminden görüş gerekir.</w:t>
            </w:r>
          </w:p>
        </w:tc>
      </w:tr>
      <w:tr>
        <w:trPr>
          <w:cantSplit/>
        </w:trPr>
        <w:tc>
          <w:tcPr>
            <w:tcW w:type="dxa" w:w="1077"/>
            <w:vAlign w:val="center"/>
            <w:shd w:fill="F7F7F7"/>
          </w:tcPr>
          <w:p>
            <w:pPr>
              <w:widowControl/>
              <w:spacing w:before="0" w:after="0" w:line="252" w:lineRule="auto"/>
              <w:jc w:val="center"/>
            </w:pPr>
            <w:r>
              <w:rPr>
                <w:sz w:val="18"/>
              </w:rPr>
              <w:t>6</w:t>
            </w:r>
          </w:p>
        </w:tc>
        <w:tc>
          <w:tcPr>
            <w:tcW w:type="dxa" w:w="2268"/>
            <w:vAlign w:val="center"/>
            <w:shd w:fill="F7F7F7"/>
          </w:tcPr>
          <w:p>
            <w:pPr>
              <w:widowControl/>
              <w:spacing w:before="0" w:after="0" w:line="252" w:lineRule="auto"/>
              <w:jc w:val="left"/>
            </w:pPr>
            <w:r>
              <w:rPr>
                <w:sz w:val="18"/>
              </w:rPr>
              <w:t>Öğrenci görüşü ile öğrenci üyeliği aynı mı?</w:t>
            </w:r>
          </w:p>
        </w:tc>
        <w:tc>
          <w:tcPr>
            <w:tcW w:type="dxa" w:w="6066"/>
            <w:vAlign w:val="center"/>
            <w:shd w:fill="F7F7F7"/>
          </w:tcPr>
          <w:p>
            <w:pPr>
              <w:widowControl/>
              <w:spacing w:before="0" w:after="0" w:line="252" w:lineRule="auto"/>
              <w:jc w:val="left"/>
            </w:pPr>
            <w:r>
              <w:rPr>
                <w:sz w:val="18"/>
              </w:rPr>
              <w:t>Organlar arasındaki fark doğrulandı</w:t>
              <w:br/>
              <w:t xml:space="preserve">Değil. </w:t>
            </w:r>
            <w:hyperlink r:id="rId18">
              <w:r>
                <w:rPr>
                  <w:color w:val="285D6A"/>
                  <w:sz w:val="18"/>
                </w:rPr>
                <w:t>TEDÜ Kalite Komisyonu Çalışma Yönergesi</w:t>
              </w:r>
            </w:hyperlink>
            <w:r>
              <w:rPr>
                <w:sz w:val="18"/>
              </w:rPr>
              <w:t xml:space="preserve"> m.5’teki sürekli öğrenci üyeliği TEDÜ Kalite Komisyonuna aittir. </w:t>
            </w:r>
            <w:hyperlink r:id="rId14">
              <w:r>
                <w:rPr>
                  <w:color w:val="285D6A"/>
                  <w:sz w:val="18"/>
                </w:rPr>
                <w:t>TEDÜ Komisyonlar listesi, 24.09.2026</w:t>
              </w:r>
            </w:hyperlink>
            <w:r>
              <w:rPr>
                <w:sz w:val="18"/>
              </w:rPr>
              <w:t xml:space="preserve"> PDF s.12’deki PEK listesinde öğrenci üye yer almıyor. </w:t>
            </w:r>
            <w:hyperlink r:id="rId16">
              <w:r>
                <w:rPr>
                  <w:color w:val="285D6A"/>
                  <w:sz w:val="18"/>
                </w:rPr>
                <w:t>TEDÜ Kalite El Kitabı</w:t>
              </w:r>
            </w:hyperlink>
            <w:r>
              <w:rPr>
                <w:sz w:val="18"/>
              </w:rPr>
              <w:t xml:space="preserve"> 4.1.3 öğrenci görüşlerinin anket ve geri bildirim kanallarıyla alındığını gösteriyor. Bu nedenle kalite komisyonundaki üyelik şartı PEK’e kendiliğinden aktarılmaz; Madde 8 gündeme bağlı, oysuz öğrenci davetini yeni çalışma usulü olarak düzenliyor.</w:t>
            </w:r>
          </w:p>
        </w:tc>
      </w:tr>
      <w:tr>
        <w:trPr>
          <w:cantSplit/>
        </w:trPr>
        <w:tc>
          <w:tcPr>
            <w:tcW w:type="dxa" w:w="1077"/>
            <w:vAlign w:val="center"/>
            <w:shd w:fill="FFFFFF"/>
          </w:tcPr>
          <w:p>
            <w:pPr>
              <w:widowControl/>
              <w:spacing w:before="0" w:after="0" w:line="252" w:lineRule="auto"/>
              <w:jc w:val="center"/>
            </w:pPr>
            <w:r>
              <w:rPr>
                <w:sz w:val="18"/>
              </w:rPr>
              <w:t>7</w:t>
            </w:r>
          </w:p>
        </w:tc>
        <w:tc>
          <w:tcPr>
            <w:tcW w:type="dxa" w:w="2268"/>
            <w:vAlign w:val="center"/>
            <w:shd w:fill="FFFFFF"/>
          </w:tcPr>
          <w:p>
            <w:pPr>
              <w:widowControl/>
              <w:spacing w:before="0" w:after="0" w:line="252" w:lineRule="auto"/>
              <w:jc w:val="left"/>
            </w:pPr>
            <w:r>
              <w:rPr>
                <w:sz w:val="18"/>
              </w:rPr>
              <w:t>Yönergeyi kim kabul eder ve kim yürütür?</w:t>
            </w:r>
          </w:p>
        </w:tc>
        <w:tc>
          <w:tcPr>
            <w:tcW w:type="dxa" w:w="6066"/>
            <w:vAlign w:val="center"/>
            <w:shd w:fill="FFFFFF"/>
          </w:tcPr>
          <w:p>
            <w:pPr>
              <w:widowControl/>
              <w:spacing w:before="0" w:after="0" w:line="252" w:lineRule="auto"/>
              <w:jc w:val="left"/>
            </w:pPr>
            <w:r>
              <w:rPr>
                <w:sz w:val="18"/>
              </w:rPr>
              <w:t>Genel yetki dayanağı doğrulandı</w:t>
              <w:br/>
            </w:r>
            <w:hyperlink r:id="rId10">
              <w:r>
                <w:rPr>
                  <w:color w:val="285D6A"/>
                  <w:sz w:val="18"/>
                </w:rPr>
                <w:t>2547 sayılı Yükseköğretim Kanunu</w:t>
              </w:r>
            </w:hyperlink>
            <w:r>
              <w:rPr>
                <w:sz w:val="18"/>
              </w:rPr>
              <w:t xml:space="preserve"> m.14 eğitim-öğretim esaslarını kararlaştırma görevini Senatoya, m.13 üniversitenin yönetim ve gözetimini Rektöre verir. Bu genel görevlerden hareketle Madde 17–18’in Senato kabulü ve Rektör tarafından yürütme modeli için dayanak bulunduğu değerlendirilmiştir. </w:t>
            </w:r>
            <w:hyperlink r:id="rId18">
              <w:r>
                <w:rPr>
                  <w:color w:val="285D6A"/>
                  <w:sz w:val="18"/>
                </w:rPr>
                <w:t>TEDÜ Kalite Komisyonu Çalışma Yönergesi</w:t>
              </w:r>
            </w:hyperlink>
            <w:r>
              <w:rPr>
                <w:sz w:val="18"/>
              </w:rPr>
              <w:t xml:space="preserve"> m.9–10 ile </w:t>
            </w:r>
            <w:hyperlink r:id="rId38">
              <w:r>
                <w:rPr>
                  <w:color w:val="285D6A"/>
                  <w:sz w:val="18"/>
                </w:rPr>
                <w:t>TEDÜ Yapay Zekâ Komitesi Çalışma Yönergesi</w:t>
              </w:r>
            </w:hyperlink>
            <w:r>
              <w:rPr>
                <w:sz w:val="18"/>
              </w:rPr>
              <w:t xml:space="preserve"> m.8–9 da aynı kurum içi modeli gösterir. Henüz bu taslağın kabul kararı bulunmaması bir kaynak eksikliği değil, kabul aşamasının ileride gerçekleşecek olmasıdır.</w:t>
            </w:r>
          </w:p>
        </w:tc>
      </w:tr>
      <w:tr>
        <w:trPr>
          <w:cantSplit/>
        </w:trPr>
        <w:tc>
          <w:tcPr>
            <w:tcW w:type="dxa" w:w="1077"/>
            <w:vAlign w:val="center"/>
            <w:shd w:fill="F7F7F7"/>
          </w:tcPr>
          <w:p>
            <w:pPr>
              <w:widowControl/>
              <w:spacing w:before="0" w:after="0" w:line="252" w:lineRule="auto"/>
              <w:jc w:val="center"/>
            </w:pPr>
            <w:r>
              <w:rPr>
                <w:sz w:val="18"/>
              </w:rPr>
              <w:t>8</w:t>
            </w:r>
          </w:p>
        </w:tc>
        <w:tc>
          <w:tcPr>
            <w:tcW w:type="dxa" w:w="2268"/>
            <w:vAlign w:val="center"/>
            <w:shd w:fill="F7F7F7"/>
          </w:tcPr>
          <w:p>
            <w:pPr>
              <w:widowControl/>
              <w:spacing w:before="0" w:after="0" w:line="252" w:lineRule="auto"/>
              <w:jc w:val="left"/>
            </w:pPr>
            <w:r>
              <w:rPr>
                <w:sz w:val="18"/>
              </w:rPr>
              <w:t>Sekretarya, raportör ve belge kanalı belli mi?</w:t>
            </w:r>
          </w:p>
        </w:tc>
        <w:tc>
          <w:tcPr>
            <w:tcW w:type="dxa" w:w="6066"/>
            <w:vAlign w:val="center"/>
            <w:shd w:fill="F7F7F7"/>
          </w:tcPr>
          <w:p>
            <w:pPr>
              <w:widowControl/>
              <w:spacing w:before="0" w:after="0" w:line="252" w:lineRule="auto"/>
              <w:jc w:val="left"/>
            </w:pPr>
            <w:r>
              <w:rPr>
                <w:sz w:val="18"/>
              </w:rPr>
              <w:t>Görevli birim doğrulandı</w:t>
              <w:br/>
            </w:r>
            <w:hyperlink r:id="rId15">
              <w:r>
                <w:rPr>
                  <w:color w:val="285D6A"/>
                  <w:sz w:val="18"/>
                </w:rPr>
                <w:t>TEDÜ Çalışan El Kitabı</w:t>
              </w:r>
            </w:hyperlink>
            <w:r>
              <w:rPr>
                <w:sz w:val="18"/>
              </w:rPr>
              <w:t xml:space="preserve"> PDF s.25 Ofisin PEK koordinasyonunu, </w:t>
            </w:r>
            <w:hyperlink r:id="rId14">
              <w:r>
                <w:rPr>
                  <w:color w:val="285D6A"/>
                  <w:sz w:val="18"/>
                </w:rPr>
                <w:t>TEDÜ Komisyonlar listesi, 24.09.2026</w:t>
              </w:r>
            </w:hyperlink>
            <w:r>
              <w:rPr>
                <w:sz w:val="18"/>
              </w:rPr>
              <w:t xml:space="preserve"> PDF s.12 Ofis personelinin raportörlüğünü gösteriyor. </w:t>
            </w:r>
            <w:hyperlink r:id="rId17">
              <w:r>
                <w:rPr>
                  <w:color w:val="285D6A"/>
                  <w:sz w:val="18"/>
                </w:rPr>
                <w:t>TEDÜ İmza Yetkileri Yönergesi</w:t>
              </w:r>
            </w:hyperlink>
            <w:r>
              <w:rPr>
                <w:sz w:val="18"/>
              </w:rPr>
              <w:t xml:space="preserve"> m.5 ve 8–10 mevcut yazışma, yetki devri ve imza kurallarını içerir. Bu nedenle görevli birim açıktır. Buna karşılık dosyaların hangi e-posta veya elektronik belge kanalı üzerinden resmen teslim edileceği ve fiilî arşiv uygulaması kamuya açık belgelerde bu kesinlikle bulunmadı; bunlar Ofisten öğrenilmelidir.</w:t>
            </w:r>
          </w:p>
        </w:tc>
      </w:tr>
    </w:tbl>
    <w:p>
      <w:pPr>
        <w:widowControl/>
        <w:spacing w:after="0"/>
      </w:pPr>
      <w:r>
        <w:rPr>
          <w:b w:val="0"/>
        </w:rPr>
      </w:r>
    </w:p>
    <w:p>
      <w:pPr>
        <w:sectPr>
          <w:footerReference w:type="default" r:id="rId9"/>
          <w:pgSz w:w="11906" w:h="16838"/>
          <w:pgMar w:top="1077" w:right="1247" w:bottom="1020" w:left="1247" w:header="454" w:footer="454" w:gutter="0"/>
          <w:cols w:space="720"/>
          <w:docGrid w:linePitch="360"/>
        </w:sectPr>
      </w:pPr>
    </w:p>
    <w:p>
      <w:pPr>
        <w:pStyle w:val="Heading1"/>
        <w:widowControl/>
      </w:pPr>
      <w:r>
        <w:rPr>
          <w:b w:val="0"/>
        </w:rPr>
        <w:t>Madde karşılaştırma tablosu</w:t>
      </w:r>
    </w:p>
    <w:p>
      <w:pPr>
        <w:widowControl/>
      </w:pPr>
      <w:r>
        <w:rPr>
          <w:sz w:val="18"/>
        </w:rPr>
        <w:t>Tablo her fıkra için aynı sekiz soruyu yanıtlar: hangi hüküm, önceki durum, taslak metni, değişiklik ve gerekçe, kanuni dayanak, TEDÜ düzenlemeleri, Bilkent ile karşılaştırma ve ODTÜ ile karşılaştırma. Kaynaklara belge adları üzerinden ulaşılabilir.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90" w:type="dxa"/>
          <w:right w:w="90" w:type="dxa"/>
        </w:tblCellMar>
      </w:tblPr>
      <w:tblGrid>
        <w:gridCol w:w="1361"/>
        <w:gridCol w:w="2494"/>
        <w:gridCol w:w="5216"/>
        <w:gridCol w:w="2948"/>
        <w:gridCol w:w="2494"/>
        <w:gridCol w:w="2494"/>
        <w:gridCol w:w="2608"/>
        <w:gridCol w:w="2608"/>
      </w:tblGrid>
      <w:tr>
        <w:trPr>
          <w:tblHeader/>
          <w:cantSplit/>
        </w:trPr>
        <w:tc>
          <w:tcPr>
            <w:tcW w:type="dxa" w:w="1361"/>
            <w:vAlign w:val="center"/>
            <w:shd w:fill="E7E6E6"/>
          </w:tcPr>
          <w:p>
            <w:pPr>
              <w:widowControl/>
              <w:spacing w:before="0" w:after="0" w:line="252" w:lineRule="auto"/>
              <w:jc w:val="center"/>
            </w:pPr>
            <w:r>
              <w:rPr>
                <w:sz w:val="18"/>
              </w:rPr>
              <w:t>Madde ve fıkra</w:t>
            </w:r>
          </w:p>
        </w:tc>
        <w:tc>
          <w:tcPr>
            <w:tcW w:type="dxa" w:w="2494"/>
            <w:vAlign w:val="center"/>
            <w:shd w:fill="E7E6E6"/>
          </w:tcPr>
          <w:p>
            <w:pPr>
              <w:widowControl/>
              <w:spacing w:before="0" w:after="0" w:line="252" w:lineRule="auto"/>
              <w:jc w:val="left"/>
            </w:pPr>
            <w:r>
              <w:rPr>
                <w:sz w:val="18"/>
              </w:rPr>
              <w:t>Önceki durum neydi?</w:t>
            </w:r>
          </w:p>
        </w:tc>
        <w:tc>
          <w:tcPr>
            <w:tcW w:type="dxa" w:w="5216"/>
            <w:vAlign w:val="center"/>
            <w:shd w:fill="E7E6E6"/>
          </w:tcPr>
          <w:p>
            <w:pPr>
              <w:widowControl/>
              <w:spacing w:before="0" w:after="0" w:line="252" w:lineRule="auto"/>
              <w:jc w:val="left"/>
            </w:pPr>
            <w:r>
              <w:rPr>
                <w:sz w:val="18"/>
              </w:rPr>
              <w:t>Taslakta ne yazıyor?</w:t>
            </w:r>
          </w:p>
        </w:tc>
        <w:tc>
          <w:tcPr>
            <w:tcW w:type="dxa" w:w="2948"/>
            <w:vAlign w:val="center"/>
            <w:shd w:fill="E7E6E6"/>
          </w:tcPr>
          <w:p>
            <w:pPr>
              <w:widowControl/>
              <w:spacing w:before="0" w:after="0" w:line="252" w:lineRule="auto"/>
              <w:jc w:val="left"/>
            </w:pPr>
            <w:r>
              <w:rPr>
                <w:sz w:val="18"/>
              </w:rPr>
              <w:t>Ne değişiyor ve neden?</w:t>
            </w:r>
          </w:p>
        </w:tc>
        <w:tc>
          <w:tcPr>
            <w:tcW w:type="dxa" w:w="2494"/>
            <w:vAlign w:val="center"/>
            <w:shd w:fill="E7E6E6"/>
          </w:tcPr>
          <w:p>
            <w:pPr>
              <w:widowControl/>
              <w:spacing w:before="0" w:after="0" w:line="252" w:lineRule="auto"/>
              <w:jc w:val="left"/>
            </w:pPr>
            <w:r>
              <w:rPr>
                <w:sz w:val="18"/>
              </w:rPr>
              <w:t>Kanuni dayanak ne söylüyor?</w:t>
            </w:r>
          </w:p>
        </w:tc>
        <w:tc>
          <w:tcPr>
            <w:tcW w:type="dxa" w:w="2494"/>
            <w:vAlign w:val="center"/>
            <w:shd w:fill="E7E6E6"/>
          </w:tcPr>
          <w:p>
            <w:pPr>
              <w:widowControl/>
              <w:spacing w:before="0" w:after="0" w:line="252" w:lineRule="auto"/>
              <w:jc w:val="left"/>
            </w:pPr>
            <w:r>
              <w:rPr>
                <w:sz w:val="18"/>
              </w:rPr>
              <w:t>TEDÜ belgelerinde ne var?</w:t>
            </w:r>
          </w:p>
        </w:tc>
        <w:tc>
          <w:tcPr>
            <w:tcW w:type="dxa" w:w="2608"/>
            <w:vAlign w:val="center"/>
            <w:shd w:fill="E7E6E6"/>
          </w:tcPr>
          <w:p>
            <w:pPr>
              <w:widowControl/>
              <w:spacing w:before="0" w:after="0" w:line="252" w:lineRule="auto"/>
              <w:jc w:val="left"/>
            </w:pPr>
            <w:r>
              <w:rPr>
                <w:sz w:val="18"/>
              </w:rPr>
              <w:t>Bilkent ile benzerlik ve fark</w:t>
            </w:r>
          </w:p>
        </w:tc>
        <w:tc>
          <w:tcPr>
            <w:tcW w:type="dxa" w:w="2608"/>
            <w:vAlign w:val="center"/>
            <w:shd w:fill="E7E6E6"/>
          </w:tcPr>
          <w:p>
            <w:pPr>
              <w:widowControl/>
              <w:spacing w:before="0" w:after="0" w:line="252" w:lineRule="auto"/>
              <w:jc w:val="left"/>
            </w:pPr>
            <w:r>
              <w:rPr>
                <w:sz w:val="18"/>
              </w:rPr>
              <w:t>ODTÜ ile benzerlik ve fark</w:t>
            </w:r>
          </w:p>
        </w:tc>
      </w:tr>
      <w:tr>
        <w:trPr>
          <w:cantSplit/>
        </w:trPr>
        <w:tc>
          <w:tcPr>
            <w:tcW w:type="dxa" w:w="1361"/>
            <w:vAlign w:val="center"/>
            <w:shd w:fill="FFFFFF"/>
          </w:tcPr>
          <w:p>
            <w:pPr>
              <w:widowControl/>
              <w:spacing w:before="0" w:after="0" w:line="252" w:lineRule="auto"/>
              <w:jc w:val="center"/>
            </w:pPr>
            <w:r>
              <w:rPr>
                <w:sz w:val="18"/>
              </w:rPr>
              <w:t>Madde 1/1</w:t>
            </w:r>
          </w:p>
        </w:tc>
        <w:tc>
          <w:tcPr>
            <w:tcW w:type="dxa" w:w="2494"/>
            <w:vAlign w:val="center"/>
            <w:shd w:fill="FFFFFF"/>
          </w:tcPr>
          <w:p>
            <w:pPr>
              <w:widowControl/>
              <w:spacing w:before="0" w:after="0" w:line="252" w:lineRule="auto"/>
              <w:jc w:val="left"/>
            </w:pPr>
            <w:r>
              <w:rPr>
                <w:sz w:val="18"/>
              </w:rPr>
              <w:t>PEK’in görevleri lisans ve lisansüstü yönetmeliklerinde, çalışma biçimi ise rapor ve el kitaplarında ayrı ayrı anlatılıyor. Bu taramada bağımsız, kamuya açık bir PEK çalışma yönergesi bulunamadı.</w:t>
            </w:r>
          </w:p>
        </w:tc>
        <w:tc>
          <w:tcPr>
            <w:tcW w:type="dxa" w:w="5216"/>
            <w:vAlign w:val="center"/>
            <w:shd w:fill="FFFFFF"/>
          </w:tcPr>
          <w:p>
            <w:pPr>
              <w:widowControl/>
              <w:spacing w:before="0" w:after="0" w:line="252" w:lineRule="auto"/>
              <w:jc w:val="left"/>
            </w:pPr>
            <w:r>
              <w:rPr>
                <w:sz w:val="18"/>
              </w:rPr>
              <w:t>Bu Yönergenin amacı, TED Üniversitesi Programlar ve Eğitim Komisyonunun oluşumunu, görevlerini ve çalışma usul ve esaslarını düzenlemektir.</w:t>
            </w:r>
          </w:p>
        </w:tc>
        <w:tc>
          <w:tcPr>
            <w:tcW w:type="dxa" w:w="2948"/>
            <w:vAlign w:val="center"/>
            <w:shd w:fill="FFFFFF"/>
          </w:tcPr>
          <w:p>
            <w:pPr>
              <w:widowControl/>
              <w:spacing w:before="0" w:after="0" w:line="252" w:lineRule="auto"/>
              <w:jc w:val="left"/>
            </w:pPr>
            <w:r>
              <w:rPr>
                <w:sz w:val="18"/>
              </w:rPr>
              <w:t>Komisyonun kimlerden oluşacağını ve nasıl çalışacağını tek metinde toplar. Üye, başkan, sekretarya ve başvuran birimler aynı çalışma düzenini izleyebilir.</w:t>
            </w:r>
          </w:p>
        </w:tc>
        <w:tc>
          <w:tcPr>
            <w:tcW w:type="dxa" w:w="2494"/>
            <w:vAlign w:val="center"/>
            <w:shd w:fill="FFFFFF"/>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FFFFF"/>
          </w:tcPr>
          <w:p>
            <w:pPr>
              <w:widowControl/>
              <w:spacing w:before="0" w:after="0" w:line="252" w:lineRule="auto"/>
              <w:jc w:val="left"/>
            </w:pPr>
            <w:r>
              <w:rPr>
                <w:sz w:val="18"/>
              </w:rPr>
            </w:r>
            <w:hyperlink r:id="rId11">
              <w:r>
                <w:rPr>
                  <w:color w:val="285D6A"/>
                  <w:sz w:val="18"/>
                </w:rPr>
                <w:t>TEDÜ Lisans Eğitim-Öğretim Yönetmeliği</w:t>
              </w:r>
            </w:hyperlink>
            <w:r>
              <w:rPr>
                <w:sz w:val="18"/>
              </w:rPr>
              <w:t xml:space="preserve"> m.8 ve 15 ile </w:t>
            </w:r>
            <w:hyperlink r:id="rId12">
              <w:r>
                <w:rPr>
                  <w:color w:val="285D6A"/>
                  <w:sz w:val="18"/>
                </w:rPr>
                <w:t>TEDÜ Lisansüstü Eğitim-Öğretim Yönetmeliği</w:t>
              </w:r>
            </w:hyperlink>
            <w:r>
              <w:rPr>
                <w:sz w:val="18"/>
              </w:rPr>
              <w:t xml:space="preserve"> m.15 PEK’in eğitim-öğretim süreçlerindeki yerini gösterir.</w:t>
            </w:r>
          </w:p>
        </w:tc>
        <w:tc>
          <w:tcPr>
            <w:tcW w:type="dxa" w:w="2608"/>
            <w:vAlign w:val="center"/>
            <w:shd w:fill="FFFFFF"/>
          </w:tcPr>
          <w:p>
            <w:pPr>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bölüm komitesi ile üniversite düzeyindeki müfredat komitesini birlikte tanımlar. Bu metin 2001 yılına ait tarihler içerir; güncel takvim veya atama kuralı olarak kullanılmamıştır.</w:t>
            </w:r>
          </w:p>
        </w:tc>
        <w:tc>
          <w:tcPr>
            <w:tcW w:type="dxa" w:w="2608"/>
            <w:vAlign w:val="center"/>
            <w:shd w:fill="FFFFFF"/>
          </w:tcPr>
          <w:p>
            <w:pPr>
              <w:widowControl/>
              <w:spacing w:before="0" w:after="0" w:line="252" w:lineRule="auto"/>
              <w:jc w:val="left"/>
            </w:pPr>
            <w:r>
              <w:rPr>
                <w:sz w:val="18"/>
              </w:rPr>
            </w:r>
            <w:hyperlink r:id="rId21">
              <w:r>
                <w:rPr>
                  <w:color w:val="285D6A"/>
                  <w:sz w:val="18"/>
                </w:rPr>
                <w:t>ODTÜ Lisans Eğitim Öğretim Yönetmeliği</w:t>
              </w:r>
            </w:hyperlink>
            <w:r>
              <w:rPr>
                <w:sz w:val="18"/>
              </w:rPr>
              <w:t xml:space="preserve"> ve </w:t>
            </w:r>
            <w:hyperlink r:id="rId22">
              <w:r>
                <w:rPr>
                  <w:color w:val="285D6A"/>
                  <w:sz w:val="18"/>
                </w:rPr>
                <w:t>ODTÜ Lisansüstü Eğitim Öğretim Yönetmeliği</w:t>
              </w:r>
            </w:hyperlink>
            <w:r>
              <w:rPr>
                <w:sz w:val="18"/>
              </w:rPr>
              <w:t xml:space="preserve"> program ve ders süreçlerini düzenler. İncelenen bu belgelerde TEDÜ PEK’iyle aynı yapıda merkezî bir komisyon gösterilmemiştir.</w:t>
            </w:r>
          </w:p>
        </w:tc>
      </w:tr>
      <w:tr>
        <w:trPr>
          <w:cantSplit/>
        </w:trPr>
        <w:tc>
          <w:tcPr>
            <w:tcW w:type="dxa" w:w="1361"/>
            <w:vAlign w:val="center"/>
            <w:shd w:fill="F7F7F7"/>
          </w:tcPr>
          <w:p>
            <w:pPr>
              <w:widowControl/>
              <w:spacing w:before="0" w:after="0" w:line="252" w:lineRule="auto"/>
              <w:jc w:val="center"/>
            </w:pPr>
            <w:r>
              <w:rPr>
                <w:sz w:val="18"/>
              </w:rPr>
              <w:t>Madde 1/2</w:t>
            </w:r>
          </w:p>
        </w:tc>
        <w:tc>
          <w:tcPr>
            <w:tcW w:type="dxa" w:w="2494"/>
            <w:vAlign w:val="center"/>
            <w:shd w:fill="F7F7F7"/>
          </w:tcPr>
          <w:p>
            <w:pPr>
              <w:widowControl/>
              <w:spacing w:before="0" w:after="0" w:line="252" w:lineRule="auto"/>
              <w:jc w:val="left"/>
            </w:pPr>
            <w:r>
              <w:rPr>
                <w:sz w:val="18"/>
              </w:rPr>
              <w:t>TEDÜ belgelerinde PEK hem lisans hem lisansüstü ders ve program önerilerini değerlendiriyor. Program iyileştirme çalışmaları kalite belgelerinde ayrıca açıklanıyor.</w:t>
            </w:r>
          </w:p>
        </w:tc>
        <w:tc>
          <w:tcPr>
            <w:tcW w:type="dxa" w:w="5216"/>
            <w:vAlign w:val="center"/>
            <w:shd w:fill="F7F7F7"/>
          </w:tcPr>
          <w:p>
            <w:pPr>
              <w:widowControl/>
              <w:spacing w:before="0" w:after="0" w:line="252" w:lineRule="auto"/>
              <w:jc w:val="left"/>
            </w:pPr>
            <w:r>
              <w:rPr>
                <w:sz w:val="18"/>
              </w:rPr>
              <w:t>Bu Yönerge, Üniversitenin lisans ve lisansüstü eğitim-öğretim programları ile bunlara ilişkin ders ve müfredat önerilerinin Komisyonca değerlendirilmesini ve program iyileştirme çalışmalarına katkısını kapsar.</w:t>
            </w:r>
          </w:p>
        </w:tc>
        <w:tc>
          <w:tcPr>
            <w:tcW w:type="dxa" w:w="2948"/>
            <w:vAlign w:val="center"/>
            <w:shd w:fill="F7F7F7"/>
          </w:tcPr>
          <w:p>
            <w:pPr>
              <w:widowControl/>
              <w:spacing w:before="0" w:after="0" w:line="252" w:lineRule="auto"/>
              <w:jc w:val="left"/>
            </w:pPr>
            <w:r>
              <w:rPr>
                <w:sz w:val="18"/>
              </w:rPr>
              <w:t>Yönergenin hangi eğitim düzeylerine ve hangi işlere uygulanacağını belirler. Kapsamı yalnız yeni ders açılmasıyla sınırlamaz.</w:t>
            </w:r>
          </w:p>
        </w:tc>
        <w:tc>
          <w:tcPr>
            <w:tcW w:type="dxa" w:w="2494"/>
            <w:vAlign w:val="center"/>
            <w:shd w:fill="F7F7F7"/>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ve 44 eğitim-öğretimin düzenlenmesine, ek m.8 vakıf üniversitelerinin akademik organlarına ilişkin genel çerçeveyi sağlar.</w:t>
            </w:r>
          </w:p>
        </w:tc>
        <w:tc>
          <w:tcPr>
            <w:tcW w:type="dxa" w:w="2494"/>
            <w:vAlign w:val="center"/>
            <w:shd w:fill="F7F7F7"/>
          </w:tcPr>
          <w:p>
            <w:pPr>
              <w:widowControl/>
              <w:spacing w:before="0" w:after="0" w:line="252" w:lineRule="auto"/>
              <w:jc w:val="left"/>
            </w:pPr>
            <w:r>
              <w:rPr>
                <w:sz w:val="18"/>
              </w:rPr>
            </w:r>
            <w:hyperlink r:id="rId13">
              <w:r>
                <w:rPr>
                  <w:color w:val="285D6A"/>
                  <w:sz w:val="18"/>
                </w:rPr>
                <w:t>TEDÜ 2025 Kurum İç Değerlendirme Raporu</w:t>
              </w:r>
            </w:hyperlink>
            <w:r>
              <w:rPr>
                <w:sz w:val="18"/>
              </w:rPr>
              <w:t xml:space="preserve"> B.1.5–B.1.6 PEK’in ders, program, müfredat ve iyileştirme çalışmalarını birlikte anlatır.</w:t>
            </w:r>
          </w:p>
        </w:tc>
        <w:tc>
          <w:tcPr>
            <w:tcW w:type="dxa" w:w="2608"/>
            <w:vAlign w:val="center"/>
            <w:shd w:fill="F7F7F7"/>
          </w:tcPr>
          <w:p>
            <w:pPr>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üniversite komitesine lisans ve lisansüstü müfredatlar hakkında danışmanlık ve iyileştirme görevi verir. Kapsam benzerdir.</w:t>
            </w:r>
          </w:p>
        </w:tc>
        <w:tc>
          <w:tcPr>
            <w:tcW w:type="dxa" w:w="2608"/>
            <w:vAlign w:val="center"/>
            <w:shd w:fill="F7F7F7"/>
          </w:tcPr>
          <w:p>
            <w:pPr>
              <w:widowControl/>
              <w:spacing w:before="0" w:after="0" w:line="252" w:lineRule="auto"/>
              <w:jc w:val="left"/>
            </w:pPr>
            <w:r>
              <w:rPr>
                <w:sz w:val="18"/>
              </w:rPr>
            </w:r>
            <w:hyperlink r:id="rId21">
              <w:r>
                <w:rPr>
                  <w:color w:val="285D6A"/>
                  <w:sz w:val="18"/>
                </w:rPr>
                <w:t>ODTÜ Lisans Eğitim Öğretim Yönetmeliği</w:t>
              </w:r>
            </w:hyperlink>
            <w:r>
              <w:rPr>
                <w:sz w:val="18"/>
              </w:rPr>
              <w:t xml:space="preserve"> ile </w:t>
            </w:r>
            <w:hyperlink r:id="rId22">
              <w:r>
                <w:rPr>
                  <w:color w:val="285D6A"/>
                  <w:sz w:val="18"/>
                </w:rPr>
                <w:t>ODTÜ Lisansüstü Eğitim Öğretim Yönetmeliği</w:t>
              </w:r>
            </w:hyperlink>
            <w:r>
              <w:rPr>
                <w:sz w:val="18"/>
              </w:rPr>
              <w:t xml:space="preserve"> iki eğitim düzeyi için ayrı süreçler kurar. Taslak bu süreçlerin PEK’teki ortak çalışma kısmını tek metinde toplar.</w:t>
            </w:r>
          </w:p>
        </w:tc>
      </w:tr>
      <w:tr>
        <w:trPr>
          <w:cantSplit/>
        </w:trPr>
        <w:tc>
          <w:tcPr>
            <w:tcW w:type="dxa" w:w="1361"/>
            <w:vAlign w:val="center"/>
            <w:shd w:fill="FFFFFF"/>
          </w:tcPr>
          <w:p>
            <w:pPr>
              <w:widowControl/>
              <w:spacing w:before="0" w:after="0" w:line="252" w:lineRule="auto"/>
              <w:jc w:val="center"/>
            </w:pPr>
            <w:r>
              <w:rPr>
                <w:sz w:val="18"/>
              </w:rPr>
              <w:t>Madde 2/1</w:t>
            </w:r>
          </w:p>
        </w:tc>
        <w:tc>
          <w:tcPr>
            <w:tcW w:type="dxa" w:w="2494"/>
            <w:vAlign w:val="center"/>
            <w:shd w:fill="FFFFFF"/>
          </w:tcPr>
          <w:p>
            <w:pPr>
              <w:widowControl/>
              <w:spacing w:before="0" w:after="0" w:line="252" w:lineRule="auto"/>
              <w:jc w:val="left"/>
            </w:pPr>
            <w:r>
              <w:rPr>
                <w:sz w:val="18"/>
              </w:rPr>
              <w:t>PEK’in rolüne ilişkin hükümler TEDÜ’nün eğitim-öğretim yönetmeliklerinde bulunuyor; bağımsız yönergenin dayanak maddesi bu çalışmada oluşturuldu.</w:t>
            </w:r>
          </w:p>
        </w:tc>
        <w:tc>
          <w:tcPr>
            <w:tcW w:type="dxa" w:w="5216"/>
            <w:vAlign w:val="center"/>
            <w:shd w:fill="FFFFFF"/>
          </w:tcPr>
          <w:p>
            <w:pPr>
              <w:widowControl/>
              <w:spacing w:before="0" w:after="0" w:line="252" w:lineRule="auto"/>
              <w:jc w:val="left"/>
            </w:pPr>
            <w:r>
              <w:rPr>
                <w:sz w:val="18"/>
              </w:rPr>
              <w:t>Bu Yönerge, 2547 sayılı Yükseköğretim Kanununun 14 üncü maddesinin (b) fıkrasının (1) ve (4) numaralı bentleri, 44 üncü maddesinin (a) ve (b) fıkraları ile ek 8 inci maddesi esas alınarak hazırlanmıştır.</w:t>
            </w:r>
          </w:p>
        </w:tc>
        <w:tc>
          <w:tcPr>
            <w:tcW w:type="dxa" w:w="2948"/>
            <w:vAlign w:val="center"/>
            <w:shd w:fill="FFFFFF"/>
          </w:tcPr>
          <w:p>
            <w:pPr>
              <w:widowControl/>
              <w:spacing w:before="0" w:after="0" w:line="252" w:lineRule="auto"/>
              <w:jc w:val="left"/>
            </w:pPr>
            <w:r>
              <w:rPr>
                <w:sz w:val="18"/>
              </w:rPr>
              <w:t>Düzenlemenin hangi kanuni yetki alanı içinde hazırlandığını gösterir. Üye sayısı, iki yıllık süre veya 30 Haziran gibi tercihlerin doğrudan kanunda yazdığı anlamına gelmez.</w:t>
            </w:r>
          </w:p>
        </w:tc>
        <w:tc>
          <w:tcPr>
            <w:tcW w:type="dxa" w:w="2494"/>
            <w:vAlign w:val="center"/>
            <w:shd w:fill="FFFFFF"/>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m.14/b-1 Senatonun eğitim-öğretim esaslarına, m.14/b-4 yıllık programa ve takvime ilişkin görevini düzenler. m.44/a–b eğitim-öğretim usullerini, ek m.8 vakıf üniversitelerinin akademik organlarını kapsar.</w:t>
            </w:r>
          </w:p>
        </w:tc>
        <w:tc>
          <w:tcPr>
            <w:tcW w:type="dxa" w:w="2494"/>
            <w:vAlign w:val="center"/>
            <w:shd w:fill="FFFFFF"/>
          </w:tcPr>
          <w:p>
            <w:pPr>
              <w:widowControl/>
              <w:spacing w:before="0" w:after="0" w:line="252" w:lineRule="auto"/>
              <w:jc w:val="left"/>
            </w:pPr>
            <w:r>
              <w:rPr>
                <w:sz w:val="18"/>
              </w:rPr>
            </w:r>
            <w:hyperlink r:id="rId11">
              <w:r>
                <w:rPr>
                  <w:color w:val="285D6A"/>
                  <w:sz w:val="18"/>
                </w:rPr>
                <w:t>TEDÜ Lisans Eğitim-Öğretim Yönetmeliği</w:t>
              </w:r>
            </w:hyperlink>
            <w:r>
              <w:rPr>
                <w:sz w:val="18"/>
              </w:rPr>
              <w:t xml:space="preserve"> m.3 de 2547 sayılı Kanunun 14 ve 44 üncü maddelerini dayanakları arasında sayar. Bu yönergenin özel süreçleri ilgili TEDÜ yönetmelikleriyle birlikte uygulanmalıdır.</w:t>
            </w:r>
          </w:p>
        </w:tc>
        <w:tc>
          <w:tcPr>
            <w:tcW w:type="dxa" w:w="2608"/>
            <w:vAlign w:val="center"/>
            <w:shd w:fill="FFFFFF"/>
          </w:tcPr>
          <w:p>
            <w:pPr>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farklı bir organ olan Kalite Komisyonunu düzenler. Onun kalite mevzuatına ilişkin dayanağı, PEK’in dayanağı olarak aynen alınmamıştır.</w:t>
            </w:r>
          </w:p>
        </w:tc>
        <w:tc>
          <w:tcPr>
            <w:tcW w:type="dxa" w:w="2608"/>
            <w:vAlign w:val="center"/>
            <w:shd w:fill="FFFFFF"/>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farklı bir organ olan Kalite Komisyonunu düzenler. Sayfasındaki eski kalite mevzuatı atfı PEK’e aktarılmamıştır.</w:t>
            </w:r>
          </w:p>
        </w:tc>
      </w:tr>
      <w:tr>
        <w:trPr>
          <w:cantSplit/>
        </w:trPr>
        <w:tc>
          <w:tcPr>
            <w:tcW w:type="dxa" w:w="1361"/>
            <w:vAlign w:val="center"/>
            <w:shd w:fill="F7F7F7"/>
          </w:tcPr>
          <w:p>
            <w:pPr>
              <w:widowControl/>
              <w:spacing w:before="0" w:after="0" w:line="252" w:lineRule="auto"/>
              <w:jc w:val="center"/>
            </w:pPr>
            <w:r>
              <w:rPr>
                <w:sz w:val="18"/>
              </w:rPr>
              <w:t>Madde 3/1</w:t>
            </w:r>
          </w:p>
        </w:tc>
        <w:tc>
          <w:tcPr>
            <w:tcW w:type="dxa" w:w="2494"/>
            <w:vAlign w:val="center"/>
            <w:shd w:fill="F7F7F7"/>
          </w:tcPr>
          <w:p>
            <w:pPr>
              <w:widowControl/>
              <w:spacing w:before="0" w:after="0" w:line="252" w:lineRule="auto"/>
              <w:jc w:val="left"/>
            </w:pPr>
            <w:r>
              <w:rPr>
                <w:sz w:val="18"/>
              </w:rPr>
              <w:t>İlgili kurum belgelerinde Üniversite, PEK, Lisansüstü Programlar Enstitüsü ve Eğitim Faaliyetleri Planlama ve Destek Ofisi adları kullanılıyor.</w:t>
            </w:r>
          </w:p>
        </w:tc>
        <w:tc>
          <w:tcPr>
            <w:tcW w:type="dxa" w:w="5216"/>
            <w:vAlign w:val="center"/>
            <w:shd w:fill="F7F7F7"/>
          </w:tcPr>
          <w:p>
            <w:pPr>
              <w:widowControl/>
              <w:spacing w:before="0" w:after="0" w:line="252" w:lineRule="auto"/>
              <w:jc w:val="left"/>
            </w:pPr>
            <w:r>
              <w:rPr>
                <w:sz w:val="18"/>
              </w:rPr>
              <w:t>Bu Yönergede geçen;</w:t>
              <w:br/>
              <w:t>a) Üniversite: TED Üniversitesini,</w:t>
              <w:br/>
              <w:t>b) Komisyon veya PEK: TED Üniversitesi Programlar ve Eğitim Komisyonunu,</w:t>
              <w:br/>
              <w:t>c) Başkan: Eğitimden sorumlu Rektör Yardımcısını,</w:t>
              <w:br/>
              <w:t>ç) Enstitü: Lisansüstü Programlar Enstitüsünü,</w:t>
              <w:br/>
              <w:t>d) Ofis: Eğitim Faaliyetleri Planlama ve Destek Ofisini,</w:t>
              <w:br/>
              <w:t>ifade eder.</w:t>
            </w:r>
          </w:p>
        </w:tc>
        <w:tc>
          <w:tcPr>
            <w:tcW w:type="dxa" w:w="2948"/>
            <w:vAlign w:val="center"/>
            <w:shd w:fill="F7F7F7"/>
          </w:tcPr>
          <w:p>
            <w:pPr>
              <w:widowControl/>
              <w:spacing w:before="0" w:after="0" w:line="252" w:lineRule="auto"/>
              <w:jc w:val="left"/>
            </w:pPr>
            <w:r>
              <w:rPr>
                <w:sz w:val="18"/>
              </w:rPr>
              <w:t>Uzun birim adlarını metin boyunca aynı anlamla kullanmayı sağlar. Başkanın eğitimden sorumlu Rektör Yardımcısı olduğu baştan anlaşılır.</w:t>
            </w:r>
          </w:p>
        </w:tc>
        <w:tc>
          <w:tcPr>
            <w:tcW w:type="dxa" w:w="2494"/>
            <w:vAlign w:val="center"/>
            <w:shd w:fill="F7F7F7"/>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bu tanımların tamamını PEK’e özgü olarak belirlemez. Tanımlar, yönergenin kendi kapsamındaki birim ve görev adlarını açıklamak için yazılmıştır.</w:t>
            </w:r>
          </w:p>
        </w:tc>
        <w:tc>
          <w:tcPr>
            <w:tcW w:type="dxa" w:w="2494"/>
            <w:vAlign w:val="center"/>
            <w:shd w:fill="F7F7F7"/>
          </w:tcPr>
          <w:p>
            <w:pPr>
              <w:widowControl/>
              <w:spacing w:before="0" w:after="0" w:line="252" w:lineRule="auto"/>
              <w:jc w:val="left"/>
            </w:pPr>
            <w:r>
              <w:rPr>
                <w:sz w:val="18"/>
              </w:rPr>
            </w:r>
            <w:hyperlink r:id="rId11">
              <w:r>
                <w:rPr>
                  <w:color w:val="285D6A"/>
                  <w:sz w:val="18"/>
                </w:rPr>
                <w:t>TEDÜ Lisans Eğitim-Öğretim Yönetmeliği</w:t>
              </w:r>
            </w:hyperlink>
            <w:r>
              <w:rPr>
                <w:sz w:val="18"/>
              </w:rPr>
              <w:t xml:space="preserve"> m.4 Ofis ve PEK’i, </w:t>
            </w:r>
            <w:hyperlink r:id="rId12">
              <w:r>
                <w:rPr>
                  <w:color w:val="285D6A"/>
                  <w:sz w:val="18"/>
                </w:rPr>
                <w:t>TEDÜ Lisansüstü Eğitim-Öğretim Yönetmeliği</w:t>
              </w:r>
            </w:hyperlink>
            <w:r>
              <w:rPr>
                <w:sz w:val="18"/>
              </w:rPr>
              <w:t xml:space="preserve"> m.4 Enstitü ve PEK’i tanımlar. </w:t>
            </w:r>
            <w:hyperlink r:id="rId14">
              <w:r>
                <w:rPr>
                  <w:color w:val="285D6A"/>
                  <w:sz w:val="18"/>
                </w:rPr>
                <w:t>TEDÜ Komisyonlar listesi, 24.09.2026</w:t>
              </w:r>
            </w:hyperlink>
            <w:r>
              <w:rPr>
                <w:sz w:val="18"/>
              </w:rPr>
              <w:t xml:space="preserve"> PDF s.12 başkanın Rektör Yardımcısı olduğunu gösterir.</w:t>
            </w:r>
          </w:p>
        </w:tc>
        <w:tc>
          <w:tcPr>
            <w:tcW w:type="dxa" w:w="2608"/>
            <w:vAlign w:val="center"/>
            <w:shd w:fill="F7F7F7"/>
          </w:tcPr>
          <w:p>
            <w:pPr>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farklı adlarla bölüm ve üniversite müfredat komiteleri kullanır. TEDÜ’nün birim adları Bilkent’in yapısına göre değiştirilmemiştir.</w:t>
            </w:r>
          </w:p>
        </w:tc>
        <w:tc>
          <w:tcPr>
            <w:tcW w:type="dxa" w:w="2608"/>
            <w:vAlign w:val="center"/>
            <w:shd w:fill="F7F7F7"/>
          </w:tcPr>
          <w:p>
            <w:pPr>
              <w:widowControl/>
              <w:spacing w:before="0" w:after="0" w:line="252" w:lineRule="auto"/>
              <w:jc w:val="left"/>
            </w:pPr>
            <w:r>
              <w:rPr>
                <w:sz w:val="18"/>
              </w:rPr>
            </w:r>
            <w:hyperlink r:id="rId23">
              <w:r>
                <w:rPr>
                  <w:color w:val="285D6A"/>
                  <w:sz w:val="18"/>
                </w:rPr>
                <w:t>ODTÜ Fen Bilimleri Enstitüsü Yeni Ders Önerisi Akışı</w:t>
              </w:r>
            </w:hyperlink>
            <w:r>
              <w:rPr>
                <w:sz w:val="18"/>
              </w:rPr>
              <w:t xml:space="preserve"> Enstitü, Enstitü Anabilim Dalı Başkanlığı ve Öğrenci İşleri üzerinden ilerler. TEDÜ’deki Ofisin birebir karşılığı varsayılmamıştır.</w:t>
            </w:r>
          </w:p>
        </w:tc>
      </w:tr>
      <w:tr>
        <w:trPr>
          <w:cantSplit/>
        </w:trPr>
        <w:tc>
          <w:tcPr>
            <w:tcW w:type="dxa" w:w="1361"/>
            <w:vAlign w:val="center"/>
            <w:shd w:fill="FFFFFF"/>
          </w:tcPr>
          <w:p>
            <w:pPr>
              <w:widowControl/>
              <w:spacing w:before="0" w:after="0" w:line="252" w:lineRule="auto"/>
              <w:jc w:val="center"/>
            </w:pPr>
            <w:r>
              <w:rPr>
                <w:sz w:val="18"/>
              </w:rPr>
              <w:t>Madde 4/1</w:t>
            </w:r>
          </w:p>
        </w:tc>
        <w:tc>
          <w:tcPr>
            <w:tcW w:type="dxa" w:w="2494"/>
            <w:vAlign w:val="center"/>
            <w:shd w:fill="FFFFFF"/>
          </w:tcPr>
          <w:p>
            <w:pPr>
              <w:widowControl/>
              <w:spacing w:before="0" w:after="0" w:line="252" w:lineRule="auto"/>
              <w:jc w:val="left"/>
            </w:pPr>
            <w:r>
              <w:rPr>
                <w:sz w:val="18"/>
              </w:rPr>
              <w:t>24 Eylül 2026 tarihli TEDÜ listesinde başkan, fakülte ve Enstitü temsilcileri ile ayrı bir raportör yer alıyor. Listede bir fakülteden iki temsilci bulunuyor.</w:t>
            </w:r>
          </w:p>
        </w:tc>
        <w:tc>
          <w:tcPr>
            <w:tcW w:type="dxa" w:w="5216"/>
            <w:vAlign w:val="center"/>
            <w:shd w:fill="FFFFFF"/>
          </w:tcPr>
          <w:p>
            <w:pPr>
              <w:widowControl/>
              <w:spacing w:before="0" w:after="0" w:line="252" w:lineRule="auto"/>
              <w:jc w:val="left"/>
            </w:pPr>
            <w:r>
              <w:rPr>
                <w:sz w:val="18"/>
              </w:rPr>
              <w:t>Komisyon, eğitimden sorumlu Rektör Yardımcısının başkanlığında, her fakülteden bir öğretim üyesi ve Enstitüden bir öğretim üyesinden oluşur.</w:t>
            </w:r>
          </w:p>
        </w:tc>
        <w:tc>
          <w:tcPr>
            <w:tcW w:type="dxa" w:w="2948"/>
            <w:vAlign w:val="center"/>
            <w:shd w:fill="FFFFFF"/>
          </w:tcPr>
          <w:p>
            <w:pPr>
              <w:widowControl/>
              <w:spacing w:before="0" w:after="0" w:line="252" w:lineRule="auto"/>
              <w:jc w:val="left"/>
            </w:pPr>
            <w:r>
              <w:rPr>
                <w:sz w:val="18"/>
              </w:rPr>
              <w:t>Her fakülte ve Enstitü için bir temsilcilik tanımlayarak komisyon yapısını standartlaştırır. Bu nedenle mevcut listedeki yapıdan kısmen farklı bir düzen önerir.</w:t>
            </w:r>
          </w:p>
        </w:tc>
        <w:tc>
          <w:tcPr>
            <w:tcW w:type="dxa" w:w="2494"/>
            <w:vAlign w:val="center"/>
            <w:shd w:fill="FFFFFF"/>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ek m.8 genel akademik örgütlenme çerçevesini verir; PEK’te her birimden kaç kişi bulunacağını belirlemez.</w:t>
            </w:r>
          </w:p>
        </w:tc>
        <w:tc>
          <w:tcPr>
            <w:tcW w:type="dxa" w:w="2494"/>
            <w:vAlign w:val="center"/>
            <w:shd w:fill="FFFFFF"/>
          </w:tcPr>
          <w:p>
            <w:pPr>
              <w:widowControl/>
              <w:spacing w:before="0" w:after="0" w:line="252" w:lineRule="auto"/>
              <w:jc w:val="left"/>
            </w:pPr>
            <w:r>
              <w:rPr>
                <w:sz w:val="18"/>
              </w:rPr>
            </w:r>
            <w:hyperlink r:id="rId14">
              <w:r>
                <w:rPr>
                  <w:color w:val="285D6A"/>
                  <w:sz w:val="18"/>
                </w:rPr>
                <w:t>TEDÜ Komisyonlar listesi, 24.09.2026</w:t>
              </w:r>
            </w:hyperlink>
            <w:r>
              <w:rPr>
                <w:sz w:val="18"/>
              </w:rPr>
              <w:t xml:space="preserve"> PDF s.12 mevcut yapının dayanağıdır. Birer temsilciliğe geçiş Geçici Madde 1’de düzenlenir.</w:t>
            </w:r>
          </w:p>
        </w:tc>
        <w:tc>
          <w:tcPr>
            <w:tcW w:type="dxa" w:w="2608"/>
            <w:vAlign w:val="center"/>
            <w:shd w:fill="FFFFFF"/>
          </w:tcPr>
          <w:p>
            <w:pPr>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m.5 Kalite Komisyonunda aynı fakülte/enstitüden birden fazla temsilci bulunmamasını öngörür. </w:t>
            </w:r>
            <w:hyperlink r:id="rId19">
              <w:r>
                <w:rPr>
                  <w:color w:val="285D6A"/>
                  <w:sz w:val="18"/>
                </w:rPr>
                <w:t>Bilkent Müfredat ve Öğretim Geliştirme Esasları</w:t>
              </w:r>
            </w:hyperlink>
            <w:r>
              <w:rPr>
                <w:sz w:val="18"/>
              </w:rPr>
              <w:t xml:space="preserve"> ise üniversite müfredat komitesi için farklı bir üye yapısı tarif eder.</w:t>
            </w:r>
          </w:p>
        </w:tc>
        <w:tc>
          <w:tcPr>
            <w:tcW w:type="dxa" w:w="2608"/>
            <w:vAlign w:val="center"/>
            <w:shd w:fill="FFFFFF"/>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m.3 akademik ve idari temsilcileri, uzmanları ve öğrenciyi birlikte içerir. PEK taslağının üyelik kapsamı daha dardır.</w:t>
            </w:r>
          </w:p>
        </w:tc>
      </w:tr>
      <w:tr>
        <w:trPr>
          <w:cantSplit/>
        </w:trPr>
        <w:tc>
          <w:tcPr>
            <w:tcW w:type="dxa" w:w="1361"/>
            <w:vAlign w:val="center"/>
            <w:shd w:fill="F7F7F7"/>
          </w:tcPr>
          <w:p>
            <w:pPr>
              <w:widowControl/>
              <w:spacing w:before="0" w:after="0" w:line="252" w:lineRule="auto"/>
              <w:jc w:val="center"/>
            </w:pPr>
            <w:r>
              <w:rPr>
                <w:sz w:val="18"/>
              </w:rPr>
              <w:t>Madde 4/2</w:t>
            </w:r>
          </w:p>
        </w:tc>
        <w:tc>
          <w:tcPr>
            <w:tcW w:type="dxa" w:w="2494"/>
            <w:vAlign w:val="center"/>
            <w:shd w:fill="F7F7F7"/>
          </w:tcPr>
          <w:p>
            <w:pPr>
              <w:widowControl/>
              <w:spacing w:before="0" w:after="0" w:line="252" w:lineRule="auto"/>
              <w:jc w:val="left"/>
            </w:pPr>
            <w:r>
              <w:rPr>
                <w:sz w:val="18"/>
              </w:rPr>
              <w:t>Lisansüstü Yönetmeliği üyelerin Senato tarafından belirlenip Rektör tarafından atanacağını söylüyor. 2025 Kurum İç Değerlendirme Raporunda ise dekanların süresiz ataması anlatılıyor.</w:t>
            </w:r>
          </w:p>
        </w:tc>
        <w:tc>
          <w:tcPr>
            <w:tcW w:type="dxa" w:w="5216"/>
            <w:vAlign w:val="center"/>
            <w:shd w:fill="F7F7F7"/>
          </w:tcPr>
          <w:p>
            <w:pPr>
              <w:widowControl/>
              <w:spacing w:before="0" w:after="0" w:line="252" w:lineRule="auto"/>
              <w:jc w:val="left"/>
            </w:pPr>
            <w:r>
              <w:rPr>
                <w:sz w:val="18"/>
              </w:rPr>
              <w:t>Komisyon üyeleri Senato tarafından belirlenir ve Rektör tarafından atanır.</w:t>
            </w:r>
          </w:p>
        </w:tc>
        <w:tc>
          <w:tcPr>
            <w:tcW w:type="dxa" w:w="2948"/>
            <w:vAlign w:val="center"/>
            <w:shd w:fill="F7F7F7"/>
          </w:tcPr>
          <w:p>
            <w:pPr>
              <w:widowControl/>
              <w:spacing w:before="0" w:after="0" w:line="252" w:lineRule="auto"/>
              <w:jc w:val="left"/>
            </w:pPr>
            <w:r>
              <w:rPr>
                <w:sz w:val="18"/>
              </w:rPr>
              <w:t>İki belgedeki farklı anlatımı görünür kılar ve taslağı yönetmelikte açıkça yazan belirleme/atama usulü üzerine kurar. Gerçek atamaların bu usulle yapılıp yapılmadığı bireysel kararlardan görülebilir.</w:t>
            </w:r>
          </w:p>
        </w:tc>
        <w:tc>
          <w:tcPr>
            <w:tcW w:type="dxa" w:w="2494"/>
            <w:vAlign w:val="center"/>
            <w:shd w:fill="F7F7F7"/>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ve ek m.8 genel çerçevedir. PEK’in özel atama usulünün doğrudan kaynağı TEDÜ Lisansüstü Yönetmeliğidir.</w:t>
            </w:r>
          </w:p>
        </w:tc>
        <w:tc>
          <w:tcPr>
            <w:tcW w:type="dxa" w:w="2494"/>
            <w:vAlign w:val="center"/>
            <w:shd w:fill="F7F7F7"/>
          </w:tcPr>
          <w:p>
            <w:pPr>
              <w:widowControl/>
              <w:spacing w:before="0" w:after="0" w:line="252" w:lineRule="auto"/>
              <w:jc w:val="left"/>
            </w:pPr>
            <w:r>
              <w:rPr>
                <w:sz w:val="18"/>
              </w:rPr>
            </w:r>
            <w:hyperlink r:id="rId12">
              <w:r>
                <w:rPr>
                  <w:color w:val="285D6A"/>
                  <w:sz w:val="18"/>
                </w:rPr>
                <w:t>TEDÜ Lisansüstü Eğitim-Öğretim Yönetmeliği</w:t>
              </w:r>
            </w:hyperlink>
            <w:r>
              <w:rPr>
                <w:sz w:val="18"/>
              </w:rPr>
              <w:t xml:space="preserve"> m.4/1-ğ Senato ve Rektörün ayrı rollerini açıkça belirtir. </w:t>
            </w:r>
            <w:hyperlink r:id="rId13">
              <w:r>
                <w:rPr>
                  <w:color w:val="285D6A"/>
                  <w:sz w:val="18"/>
                </w:rPr>
                <w:t>TEDÜ 2025 Kurum İç Değerlendirme Raporu</w:t>
              </w:r>
            </w:hyperlink>
            <w:r>
              <w:rPr>
                <w:sz w:val="18"/>
              </w:rPr>
              <w:t xml:space="preserve"> B.1.5’teki dekan ataması anlatımı bu hükümle aynı değildir.</w:t>
            </w:r>
          </w:p>
        </w:tc>
        <w:tc>
          <w:tcPr>
            <w:tcW w:type="dxa" w:w="2608"/>
            <w:vAlign w:val="center"/>
            <w:shd w:fill="F7F7F7"/>
          </w:tcPr>
          <w:p>
            <w:pPr>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m.5 Kalite Komisyonu üyelerinin Senato tarafından belirlenmesini düzenler. Bu, benzer bir belirleme aşamasıdır; PEK’in Rektörce atanması TEDÜ’nün kendi yönetmeliğinden gelir.</w:t>
            </w:r>
          </w:p>
        </w:tc>
        <w:tc>
          <w:tcPr>
            <w:tcW w:type="dxa" w:w="2608"/>
            <w:vAlign w:val="center"/>
            <w:shd w:fill="F7F7F7"/>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m.3 Rektörlük önerisi ve Senato onayı öngörür. TEDÜ’deki Senato belirlemesi ve Rektör atamasıyla aynı sıra değildir.</w:t>
            </w:r>
          </w:p>
        </w:tc>
      </w:tr>
      <w:tr>
        <w:trPr>
          <w:cantSplit/>
        </w:trPr>
        <w:tc>
          <w:tcPr>
            <w:tcW w:type="dxa" w:w="1361"/>
            <w:vAlign w:val="center"/>
            <w:shd w:fill="FFFFFF"/>
          </w:tcPr>
          <w:p>
            <w:pPr>
              <w:widowControl/>
              <w:spacing w:before="0" w:after="0" w:line="252" w:lineRule="auto"/>
              <w:jc w:val="center"/>
            </w:pPr>
            <w:r>
              <w:rPr>
                <w:sz w:val="18"/>
              </w:rPr>
              <w:t>Madde 4/3</w:t>
            </w:r>
          </w:p>
        </w:tc>
        <w:tc>
          <w:tcPr>
            <w:tcW w:type="dxa" w:w="2494"/>
            <w:vAlign w:val="center"/>
            <w:shd w:fill="FFFFFF"/>
          </w:tcPr>
          <w:p>
            <w:pPr>
              <w:widowControl/>
              <w:spacing w:before="0" w:after="0" w:line="252" w:lineRule="auto"/>
              <w:jc w:val="left"/>
            </w:pPr>
            <w:r>
              <w:rPr>
                <w:sz w:val="18"/>
              </w:rPr>
              <w:t>2025 Kurum İç Değerlendirme Raporu PEK üyelerinin süresiz atandığını anlatıyor. İncelenen Lisansüstü Yönetmeliği, PEK temsilcileri için iki yıllık süre koymuyor.</w:t>
            </w:r>
          </w:p>
        </w:tc>
        <w:tc>
          <w:tcPr>
            <w:tcW w:type="dxa" w:w="5216"/>
            <w:vAlign w:val="center"/>
            <w:shd w:fill="FFFFFF"/>
          </w:tcPr>
          <w:p>
            <w:pPr>
              <w:widowControl/>
              <w:spacing w:before="0" w:after="0" w:line="252" w:lineRule="auto"/>
              <w:jc w:val="left"/>
            </w:pPr>
            <w:r>
              <w:rPr>
                <w:sz w:val="18"/>
              </w:rPr>
              <w:t>Fakülte ve Enstitü temsilcilerinin görev süresi, atamalarının yürürlüğe girdiği tarihten itibaren iki yıldır. Görev süresi sona eren üyeler aynı usulle yeniden atanabilir. Yeniden atanabilecekleri dönem sayısına sınır uygulanmaz. Görev süresinin dolması, üyeliğin kendiliğinden yenilenmesi sonucunu doğurmaz.</w:t>
            </w:r>
          </w:p>
        </w:tc>
        <w:tc>
          <w:tcPr>
            <w:tcW w:type="dxa" w:w="2948"/>
            <w:vAlign w:val="center"/>
            <w:shd w:fill="FFFFFF"/>
          </w:tcPr>
          <w:p>
            <w:pPr>
              <w:widowControl/>
              <w:spacing w:before="0" w:after="0" w:line="252" w:lineRule="auto"/>
              <w:jc w:val="left"/>
            </w:pPr>
            <w:r>
              <w:rPr>
                <w:sz w:val="18"/>
              </w:rPr>
              <w:t>Temsilcilikleri iki yılda bir yeniden değerlendirmeyi sağlar. Yeniden atanma mümkündür; dönem sayısı sınırlanmaz ve süre sonunda otomatik yenilenme olmaz.</w:t>
            </w:r>
          </w:p>
        </w:tc>
        <w:tc>
          <w:tcPr>
            <w:tcW w:type="dxa" w:w="2494"/>
            <w:vAlign w:val="center"/>
            <w:shd w:fill="FFFFFF"/>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PEK temsilcileri için iki yıllık süre belirlemez. Süre ve yeniden atama düzeni bu yönergeyle getirilen yeni öneridir.</w:t>
            </w:r>
          </w:p>
        </w:tc>
        <w:tc>
          <w:tcPr>
            <w:tcW w:type="dxa" w:w="2494"/>
            <w:vAlign w:val="center"/>
            <w:shd w:fill="FFFFFF"/>
          </w:tcPr>
          <w:p>
            <w:pPr>
              <w:widowControl/>
              <w:spacing w:before="0" w:after="0" w:line="252" w:lineRule="auto"/>
              <w:jc w:val="left"/>
            </w:pPr>
            <w:r>
              <w:rPr>
                <w:sz w:val="18"/>
              </w:rPr>
            </w:r>
            <w:hyperlink r:id="rId13">
              <w:r>
                <w:rPr>
                  <w:color w:val="285D6A"/>
                  <w:sz w:val="18"/>
                </w:rPr>
                <w:t>TEDÜ 2025 Kurum İç Değerlendirme Raporu</w:t>
              </w:r>
            </w:hyperlink>
            <w:r>
              <w:rPr>
                <w:sz w:val="18"/>
              </w:rPr>
              <w:t xml:space="preserve"> B.1.5 önceki süresiz uygulamayı anlatır. </w:t>
            </w:r>
            <w:hyperlink r:id="rId18">
              <w:r>
                <w:rPr>
                  <w:color w:val="285D6A"/>
                  <w:sz w:val="18"/>
                </w:rPr>
                <w:t>TEDÜ Kalite Komisyonu Çalışma Yönergesi</w:t>
              </w:r>
            </w:hyperlink>
            <w:r>
              <w:rPr>
                <w:sz w:val="18"/>
              </w:rPr>
              <w:t xml:space="preserve"> m.5, TEDÜ’de başka bir komisyonda iki yıllık üyelik ve yeniden atama örneği sunar.</w:t>
            </w:r>
          </w:p>
        </w:tc>
        <w:tc>
          <w:tcPr>
            <w:tcW w:type="dxa" w:w="2608"/>
            <w:vAlign w:val="center"/>
            <w:shd w:fill="FFFFFF"/>
          </w:tcPr>
          <w:p>
            <w:pPr>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m.7 Kalite Komisyonu üyeleri için iki yıl ve yeniden görevlendirme öngörür. Süre benzerdir; bu kural doğrudan PEK’e uygulanmaz.</w:t>
            </w:r>
          </w:p>
        </w:tc>
        <w:tc>
          <w:tcPr>
            <w:tcW w:type="dxa" w:w="2608"/>
            <w:vAlign w:val="center"/>
            <w:shd w:fill="FFFFFF"/>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m.3 akademik uzmanlarda üç yıl, öğrenci temsilcisinde bir yıl öngörür. Üyelik türüne göre süre ayrımı vardır.</w:t>
            </w:r>
          </w:p>
        </w:tc>
      </w:tr>
      <w:tr>
        <w:trPr>
          <w:cantSplit/>
        </w:trPr>
        <w:tc>
          <w:tcPr>
            <w:tcW w:type="dxa" w:w="1361"/>
            <w:vAlign w:val="center"/>
            <w:shd w:fill="F7F7F7"/>
          </w:tcPr>
          <w:p>
            <w:pPr>
              <w:widowControl/>
              <w:spacing w:before="0" w:after="0" w:line="252" w:lineRule="auto"/>
              <w:jc w:val="center"/>
            </w:pPr>
            <w:r>
              <w:rPr>
                <w:sz w:val="18"/>
              </w:rPr>
              <w:t>Madde 4/4</w:t>
            </w:r>
          </w:p>
        </w:tc>
        <w:tc>
          <w:tcPr>
            <w:tcW w:type="dxa" w:w="2494"/>
            <w:vAlign w:val="center"/>
            <w:shd w:fill="F7F7F7"/>
          </w:tcPr>
          <w:p>
            <w:pPr>
              <w:widowControl/>
              <w:spacing w:before="0" w:after="0" w:line="252" w:lineRule="auto"/>
              <w:jc w:val="left"/>
            </w:pPr>
            <w:r>
              <w:rPr>
                <w:sz w:val="18"/>
              </w:rPr>
              <w:t>Mevcut kamuya açık PEK belgelerinde dönem ortasında ayrılan temsilcinin yerine gelen kişinin görev süresine ilişkin açık bir hüküm bulunamadı.</w:t>
            </w:r>
          </w:p>
        </w:tc>
        <w:tc>
          <w:tcPr>
            <w:tcW w:type="dxa" w:w="5216"/>
            <w:vAlign w:val="center"/>
            <w:shd w:fill="F7F7F7"/>
          </w:tcPr>
          <w:p>
            <w:pPr>
              <w:widowControl/>
              <w:spacing w:before="0" w:after="0" w:line="252" w:lineRule="auto"/>
              <w:jc w:val="left"/>
            </w:pPr>
            <w:r>
              <w:rPr>
                <w:sz w:val="18"/>
              </w:rPr>
              <w:t>Görev süresi dolmadan boşalan temsilci üyeliğine aynı belirleme ve atama usulüyle yeni üye atanır. Yeni üye, yerine atandığı üyenin kalan görev süresini tamamlar.</w:t>
            </w:r>
          </w:p>
        </w:tc>
        <w:tc>
          <w:tcPr>
            <w:tcW w:type="dxa" w:w="2948"/>
            <w:vAlign w:val="center"/>
            <w:shd w:fill="F7F7F7"/>
          </w:tcPr>
          <w:p>
            <w:pPr>
              <w:widowControl/>
              <w:spacing w:before="0" w:after="0" w:line="252" w:lineRule="auto"/>
              <w:jc w:val="left"/>
            </w:pPr>
            <w:r>
              <w:rPr>
                <w:sz w:val="18"/>
              </w:rPr>
              <w:t>Boşalan üyeliğin doldurulmasını ve komisyon döneminin parçalanmamasını sağlar. Yeni üye, ayrı bir iki yıl başlatmak yerine kalan süreyi tamamlar.</w:t>
            </w:r>
          </w:p>
        </w:tc>
        <w:tc>
          <w:tcPr>
            <w:tcW w:type="dxa" w:w="2494"/>
            <w:vAlign w:val="center"/>
            <w:shd w:fill="F7F7F7"/>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7F7F7"/>
          </w:tcPr>
          <w:p>
            <w:pPr>
              <w:widowControl/>
              <w:spacing w:before="0" w:after="0" w:line="252" w:lineRule="auto"/>
              <w:jc w:val="left"/>
            </w:pPr>
            <w:r>
              <w:rPr>
                <w:sz w:val="18"/>
              </w:rPr>
            </w:r>
            <w:hyperlink r:id="rId18">
              <w:r>
                <w:rPr>
                  <w:color w:val="285D6A"/>
                  <w:sz w:val="18"/>
                </w:rPr>
                <w:t>TEDÜ Kalite Komisyonu Çalışma Yönergesi</w:t>
              </w:r>
            </w:hyperlink>
            <w:r>
              <w:rPr>
                <w:sz w:val="18"/>
              </w:rPr>
              <w:t xml:space="preserve"> m.5/3 başka bir komisyonda boşalan üyeliğe aynı usulle görevlendirme yapılmasını düzenler. Kalan süreyi tamamlama, PEK için açıkça eklenen kuraldır.</w:t>
            </w:r>
          </w:p>
        </w:tc>
        <w:tc>
          <w:tcPr>
            <w:tcW w:type="dxa" w:w="2608"/>
            <w:vAlign w:val="center"/>
            <w:shd w:fill="F7F7F7"/>
          </w:tcPr>
          <w:p>
            <w:pPr>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m.5 ve 7 boşalan üyeliğe en geç bir ayda görevlendirme öngörür. Taslak PEK’e böyle bir bir aylık süre koymaz.</w:t>
            </w:r>
          </w:p>
        </w:tc>
        <w:tc>
          <w:tcPr>
            <w:tcW w:type="dxa" w:w="2608"/>
            <w:vAlign w:val="center"/>
            <w:shd w:fill="F7F7F7"/>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m.3 akademik uzman yerine gelen üyenin kalan süreyi tamamlamasını öngörür. Bu bakımdan benzerdir.</w:t>
            </w:r>
          </w:p>
        </w:tc>
      </w:tr>
      <w:tr>
        <w:trPr>
          <w:cantSplit/>
        </w:trPr>
        <w:tc>
          <w:tcPr>
            <w:tcW w:type="dxa" w:w="1361"/>
            <w:vAlign w:val="center"/>
            <w:shd w:fill="FFFFFF"/>
          </w:tcPr>
          <w:p>
            <w:pPr>
              <w:widowControl/>
              <w:spacing w:before="0" w:after="0" w:line="252" w:lineRule="auto"/>
              <w:jc w:val="center"/>
            </w:pPr>
            <w:r>
              <w:rPr>
                <w:sz w:val="18"/>
              </w:rPr>
              <w:t>Madde 4/5</w:t>
            </w:r>
          </w:p>
        </w:tc>
        <w:tc>
          <w:tcPr>
            <w:tcW w:type="dxa" w:w="2494"/>
            <w:vAlign w:val="center"/>
            <w:shd w:fill="FFFFFF"/>
          </w:tcPr>
          <w:p>
            <w:pPr>
              <w:widowControl/>
              <w:spacing w:before="0" w:after="0" w:line="252" w:lineRule="auto"/>
              <w:jc w:val="left"/>
            </w:pPr>
            <w:r>
              <w:rPr>
                <w:sz w:val="18"/>
              </w:rPr>
              <w:t>Mevcut PEK listesinde başkan Rektör Yardımcılığı sıfatıyla yer alıyor; temsilcilik süresi ile başkanlığın ilişkisi ayrıca açıklanmıyor.</w:t>
            </w:r>
          </w:p>
        </w:tc>
        <w:tc>
          <w:tcPr>
            <w:tcW w:type="dxa" w:w="5216"/>
            <w:vAlign w:val="center"/>
            <w:shd w:fill="FFFFFF"/>
          </w:tcPr>
          <w:p>
            <w:pPr>
              <w:widowControl/>
              <w:spacing w:before="0" w:after="0" w:line="252" w:lineRule="auto"/>
              <w:jc w:val="left"/>
            </w:pPr>
            <w:r>
              <w:rPr>
                <w:sz w:val="18"/>
              </w:rPr>
              <w:t>Başkanlık, eğitimden sorumlu Rektör Yardımcılığı görevinin devamına bağlıdır. Temsilciler için belirlenen iki yıllık süre Başkana uygulanmaz.</w:t>
            </w:r>
          </w:p>
        </w:tc>
        <w:tc>
          <w:tcPr>
            <w:tcW w:type="dxa" w:w="2948"/>
            <w:vAlign w:val="center"/>
            <w:shd w:fill="FFFFFF"/>
          </w:tcPr>
          <w:p>
            <w:pPr>
              <w:widowControl/>
              <w:spacing w:before="0" w:after="0" w:line="252" w:lineRule="auto"/>
              <w:jc w:val="left"/>
            </w:pPr>
            <w:r>
              <w:rPr>
                <w:sz w:val="18"/>
              </w:rPr>
              <w:t>İki yıllık temsilcilik süresinin başkana uygulanmasını önler. Başkanlık, eğitimden sorumlu Rektör Yardımcılığı görevi sürdüğü müddetçe devam eder.</w:t>
            </w:r>
          </w:p>
        </w:tc>
        <w:tc>
          <w:tcPr>
            <w:tcW w:type="dxa" w:w="2494"/>
            <w:vAlign w:val="center"/>
            <w:shd w:fill="FFFFFF"/>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m.13 üniversite yönetimini düzenler; PEK başkanlığı için ayrıca iki yıllık süre öngörmez. Fıkra, görevden kaynaklanan başkanlığı açıklığa kavuşturur.</w:t>
            </w:r>
          </w:p>
        </w:tc>
        <w:tc>
          <w:tcPr>
            <w:tcW w:type="dxa" w:w="2494"/>
            <w:vAlign w:val="center"/>
            <w:shd w:fill="FFFFFF"/>
          </w:tcPr>
          <w:p>
            <w:pPr>
              <w:widowControl/>
              <w:spacing w:before="0" w:after="0" w:line="252" w:lineRule="auto"/>
              <w:jc w:val="left"/>
            </w:pPr>
            <w:r>
              <w:rPr>
                <w:sz w:val="18"/>
              </w:rPr>
            </w:r>
            <w:hyperlink r:id="rId14">
              <w:r>
                <w:rPr>
                  <w:color w:val="285D6A"/>
                  <w:sz w:val="18"/>
                </w:rPr>
                <w:t>TEDÜ Komisyonlar listesi, 24.09.2026</w:t>
              </w:r>
            </w:hyperlink>
            <w:r>
              <w:rPr>
                <w:sz w:val="18"/>
              </w:rPr>
              <w:t xml:space="preserve"> PDF s.12 başkanın Rektör Yardımcısı olduğunu gösterir. Taslak, başkanlığı kişiye değil ilgili göreve bağlar.</w:t>
            </w:r>
          </w:p>
        </w:tc>
        <w:tc>
          <w:tcPr>
            <w:tcW w:type="dxa" w:w="2608"/>
            <w:vAlign w:val="center"/>
            <w:shd w:fill="FFFFFF"/>
          </w:tcPr>
          <w:p>
            <w:pPr>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m.5 Kalite Komisyonu başkanlığını Rektörlük görevine bağlar. Görev nedeniyle başkan olma mantığı benzerdir.</w:t>
            </w:r>
          </w:p>
        </w:tc>
        <w:tc>
          <w:tcPr>
            <w:tcW w:type="dxa" w:w="2608"/>
            <w:vAlign w:val="center"/>
            <w:shd w:fill="FFFFFF"/>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m.3 yöneticilik görevi nedeniyle bulunan üyelerin görevden ayrıldıklarında üyeliklerinin bitmesini düzenler. Benzer bir görev bağı vardır.</w:t>
            </w:r>
          </w:p>
        </w:tc>
      </w:tr>
      <w:tr>
        <w:trPr>
          <w:cantSplit/>
        </w:trPr>
        <w:tc>
          <w:tcPr>
            <w:tcW w:type="dxa" w:w="1361"/>
            <w:vAlign w:val="center"/>
            <w:shd w:fill="F7F7F7"/>
          </w:tcPr>
          <w:p>
            <w:pPr>
              <w:widowControl/>
              <w:spacing w:before="0" w:after="0" w:line="252" w:lineRule="auto"/>
              <w:jc w:val="center"/>
            </w:pPr>
            <w:r>
              <w:rPr>
                <w:sz w:val="18"/>
              </w:rPr>
              <w:t>Madde 5/1</w:t>
            </w:r>
          </w:p>
        </w:tc>
        <w:tc>
          <w:tcPr>
            <w:tcW w:type="dxa" w:w="2494"/>
            <w:vAlign w:val="center"/>
            <w:shd w:fill="F7F7F7"/>
          </w:tcPr>
          <w:p>
            <w:pPr>
              <w:widowControl/>
              <w:spacing w:before="0" w:after="0" w:line="252" w:lineRule="auto"/>
              <w:jc w:val="left"/>
            </w:pPr>
            <w:r>
              <w:rPr>
                <w:sz w:val="18"/>
              </w:rPr>
              <w:t>TEDÜ’nün güncel komisyon listesinde bir başkan yardımcısı var; nasıl seçileceği ve görevinin ne zaman biteceği aynı listede açıklanmıyor.</w:t>
            </w:r>
          </w:p>
        </w:tc>
        <w:tc>
          <w:tcPr>
            <w:tcW w:type="dxa" w:w="5216"/>
            <w:vAlign w:val="center"/>
            <w:shd w:fill="F7F7F7"/>
          </w:tcPr>
          <w:p>
            <w:pPr>
              <w:widowControl/>
              <w:spacing w:before="0" w:after="0" w:line="252" w:lineRule="auto"/>
              <w:jc w:val="left"/>
            </w:pPr>
            <w:r>
              <w:rPr>
                <w:sz w:val="18"/>
              </w:rPr>
              <w:t>Komisyon, fakülte ve Enstitü temsilcileri arasından bir başkan yardımcısı seçer. Başkan yardımcısının görev süresi, mevcut temsilci üyeliğinin görev süresinin sonuna kadar devam eder.</w:t>
            </w:r>
          </w:p>
        </w:tc>
        <w:tc>
          <w:tcPr>
            <w:tcW w:type="dxa" w:w="2948"/>
            <w:vAlign w:val="center"/>
            <w:shd w:fill="F7F7F7"/>
          </w:tcPr>
          <w:p>
            <w:pPr>
              <w:widowControl/>
              <w:spacing w:before="0" w:after="0" w:line="252" w:lineRule="auto"/>
              <w:jc w:val="left"/>
            </w:pPr>
            <w:r>
              <w:rPr>
                <w:sz w:val="18"/>
              </w:rPr>
              <w:t>Başkan yardımcısını komisyonun kendi temsilcileri arasından seçmesini sağlar. Başkan yardımcılığı, seçilen kişinin temsilcilik süresini aşamaz.</w:t>
            </w:r>
          </w:p>
        </w:tc>
        <w:tc>
          <w:tcPr>
            <w:tcW w:type="dxa" w:w="2494"/>
            <w:vAlign w:val="center"/>
            <w:shd w:fill="F7F7F7"/>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7F7F7"/>
          </w:tcPr>
          <w:p>
            <w:pPr>
              <w:widowControl/>
              <w:spacing w:before="0" w:after="0" w:line="252" w:lineRule="auto"/>
              <w:jc w:val="left"/>
            </w:pPr>
            <w:r>
              <w:rPr>
                <w:sz w:val="18"/>
              </w:rPr>
            </w:r>
            <w:hyperlink r:id="rId14">
              <w:r>
                <w:rPr>
                  <w:color w:val="285D6A"/>
                  <w:sz w:val="18"/>
                </w:rPr>
                <w:t>TEDÜ Komisyonlar listesi, 24.09.2026</w:t>
              </w:r>
            </w:hyperlink>
            <w:r>
              <w:rPr>
                <w:sz w:val="18"/>
              </w:rPr>
              <w:t xml:space="preserve"> PDF s.12 mevcut başkan yardımcılığını gösterir. Seçim usulü ve süre sınırı bu taslakta açıklığa kavuşturulur.</w:t>
            </w:r>
          </w:p>
        </w:tc>
        <w:tc>
          <w:tcPr>
            <w:tcW w:type="dxa" w:w="2608"/>
            <w:vAlign w:val="center"/>
            <w:shd w:fill="F7F7F7"/>
          </w:tcPr>
          <w:p>
            <w:pPr>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başkan bulunmadığında Rektörün görevlendireceği yardımcının başkanlık etmesini düzenler. Komisyonun kendi içinden başkan yardımcısı seçmesiyle aynı yöntem değildir.</w:t>
            </w:r>
          </w:p>
        </w:tc>
        <w:tc>
          <w:tcPr>
            <w:tcW w:type="dxa" w:w="2608"/>
            <w:vAlign w:val="center"/>
            <w:shd w:fill="F7F7F7"/>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m.3 Rektör yokluğunda ilgili Rektör Yardımcısına başkanlık verir. PEK’teki seçim yöntemi farklıdır.</w:t>
            </w:r>
          </w:p>
        </w:tc>
      </w:tr>
      <w:tr>
        <w:trPr>
          <w:cantSplit/>
        </w:trPr>
        <w:tc>
          <w:tcPr>
            <w:tcW w:type="dxa" w:w="1361"/>
            <w:vAlign w:val="center"/>
            <w:shd w:fill="FFFFFF"/>
          </w:tcPr>
          <w:p>
            <w:pPr>
              <w:widowControl/>
              <w:spacing w:before="0" w:after="0" w:line="252" w:lineRule="auto"/>
              <w:jc w:val="center"/>
            </w:pPr>
            <w:r>
              <w:rPr>
                <w:sz w:val="18"/>
              </w:rPr>
              <w:t>Madde 5/2</w:t>
            </w:r>
          </w:p>
        </w:tc>
        <w:tc>
          <w:tcPr>
            <w:tcW w:type="dxa" w:w="2494"/>
            <w:vAlign w:val="center"/>
            <w:shd w:fill="FFFFFF"/>
          </w:tcPr>
          <w:p>
            <w:pPr>
              <w:widowControl/>
              <w:spacing w:before="0" w:after="0" w:line="252" w:lineRule="auto"/>
              <w:jc w:val="left"/>
            </w:pPr>
            <w:r>
              <w:rPr>
                <w:sz w:val="18"/>
              </w:rPr>
              <w:t>Başkan yardımcılığı mevcut listede görülüyor; başkanın katılamadığı toplantıda kimin başkanlık edeceği bağımsız bir PEK hükmünde açıklanmıyor.</w:t>
            </w:r>
          </w:p>
        </w:tc>
        <w:tc>
          <w:tcPr>
            <w:tcW w:type="dxa" w:w="5216"/>
            <w:vAlign w:val="center"/>
            <w:shd w:fill="FFFFFF"/>
          </w:tcPr>
          <w:p>
            <w:pPr>
              <w:widowControl/>
              <w:spacing w:before="0" w:after="0" w:line="252" w:lineRule="auto"/>
              <w:jc w:val="left"/>
            </w:pPr>
            <w:r>
              <w:rPr>
                <w:sz w:val="18"/>
              </w:rPr>
              <w:t>Başkanın katılamadığı Komisyon toplantılarına başkan yardımcısı başkanlık eder.</w:t>
            </w:r>
          </w:p>
        </w:tc>
        <w:tc>
          <w:tcPr>
            <w:tcW w:type="dxa" w:w="2948"/>
            <w:vAlign w:val="center"/>
            <w:shd w:fill="FFFFFF"/>
          </w:tcPr>
          <w:p>
            <w:pPr>
              <w:widowControl/>
              <w:spacing w:before="0" w:after="0" w:line="252" w:lineRule="auto"/>
              <w:jc w:val="left"/>
            </w:pPr>
            <w:r>
              <w:rPr>
                <w:sz w:val="18"/>
              </w:rPr>
              <w:t>Başkanın katılamadığı toplantının mevcut başkan yardımcısıyla yürütülebilmesini sağlar.</w:t>
            </w:r>
          </w:p>
        </w:tc>
        <w:tc>
          <w:tcPr>
            <w:tcW w:type="dxa" w:w="2494"/>
            <w:vAlign w:val="center"/>
            <w:shd w:fill="FFFFFF"/>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FFFFF"/>
          </w:tcPr>
          <w:p>
            <w:pPr>
              <w:widowControl/>
              <w:spacing w:before="0" w:after="0" w:line="252" w:lineRule="auto"/>
              <w:jc w:val="left"/>
            </w:pPr>
            <w:r>
              <w:rPr>
                <w:sz w:val="18"/>
              </w:rPr>
            </w:r>
            <w:hyperlink r:id="rId14">
              <w:r>
                <w:rPr>
                  <w:color w:val="285D6A"/>
                  <w:sz w:val="18"/>
                </w:rPr>
                <w:t>TEDÜ Komisyonlar listesi, 24.09.2026</w:t>
              </w:r>
            </w:hyperlink>
            <w:r>
              <w:rPr>
                <w:sz w:val="18"/>
              </w:rPr>
              <w:t xml:space="preserve"> PDF s.12’deki başkan yardımcılığı işlevli hâle getirilir. Fıkra başkanlık görevini bu toplantı için düzenler.</w:t>
            </w:r>
          </w:p>
        </w:tc>
        <w:tc>
          <w:tcPr>
            <w:tcW w:type="dxa" w:w="2608"/>
            <w:vAlign w:val="center"/>
            <w:shd w:fill="FFFFFF"/>
          </w:tcPr>
          <w:p>
            <w:pPr>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m.5 başkanın yokluğunda başka kişinin başkanlık etmesini öngörür; görevlendirme yöntemi farklıdır.</w:t>
            </w:r>
          </w:p>
        </w:tc>
        <w:tc>
          <w:tcPr>
            <w:tcW w:type="dxa" w:w="2608"/>
            <w:vAlign w:val="center"/>
            <w:shd w:fill="FFFFFF"/>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m.3 başkanın yokluğunda Rektör Yardımcısının başkanlık etmesini öngörür; işlev benzer, görevli farklıdır.</w:t>
            </w:r>
          </w:p>
        </w:tc>
      </w:tr>
      <w:tr>
        <w:trPr>
          <w:cantSplit/>
        </w:trPr>
        <w:tc>
          <w:tcPr>
            <w:tcW w:type="dxa" w:w="1361"/>
            <w:vAlign w:val="center"/>
            <w:shd w:fill="F7F7F7"/>
          </w:tcPr>
          <w:p>
            <w:pPr>
              <w:widowControl/>
              <w:spacing w:before="0" w:after="0" w:line="252" w:lineRule="auto"/>
              <w:jc w:val="center"/>
            </w:pPr>
            <w:r>
              <w:rPr>
                <w:sz w:val="18"/>
              </w:rPr>
              <w:t>Madde 6/1</w:t>
            </w:r>
          </w:p>
        </w:tc>
        <w:tc>
          <w:tcPr>
            <w:tcW w:type="dxa" w:w="2494"/>
            <w:vAlign w:val="center"/>
            <w:shd w:fill="F7F7F7"/>
          </w:tcPr>
          <w:p>
            <w:pPr>
              <w:widowControl/>
              <w:spacing w:before="0" w:after="0" w:line="252" w:lineRule="auto"/>
              <w:jc w:val="left"/>
            </w:pPr>
            <w:r>
              <w:rPr>
                <w:sz w:val="18"/>
              </w:rPr>
              <w:t>Lisans ve lisansüstü yönetmelikleri ders ve program önerilerinin PEK’ten geçmesini düzenliyor. Kurum İç Değerlendirme Raporu incelemenin içeriğini açıklıyor.</w:t>
            </w:r>
          </w:p>
        </w:tc>
        <w:tc>
          <w:tcPr>
            <w:tcW w:type="dxa" w:w="5216"/>
            <w:vAlign w:val="center"/>
            <w:shd w:fill="F7F7F7"/>
          </w:tcPr>
          <w:p>
            <w:pPr>
              <w:widowControl/>
              <w:spacing w:before="0" w:after="0" w:line="252" w:lineRule="auto"/>
              <w:jc w:val="left"/>
            </w:pPr>
            <w:r>
              <w:rPr>
                <w:sz w:val="18"/>
              </w:rPr>
              <w:t>Komisyon, ilgili akademik birimlerden gelen ders, program ve müfredat önerilerini Üniversitenin ilgili eğitim-öğretim düzenlemeleri çerçevesinde inceler ve değerlendirir.</w:t>
            </w:r>
          </w:p>
        </w:tc>
        <w:tc>
          <w:tcPr>
            <w:tcW w:type="dxa" w:w="2948"/>
            <w:vAlign w:val="center"/>
            <w:shd w:fill="F7F7F7"/>
          </w:tcPr>
          <w:p>
            <w:pPr>
              <w:widowControl/>
              <w:spacing w:before="0" w:after="0" w:line="252" w:lineRule="auto"/>
              <w:jc w:val="left"/>
            </w:pPr>
            <w:r>
              <w:rPr>
                <w:sz w:val="18"/>
              </w:rPr>
              <w:t>PEK’in temel işinin önerileri akademik açıdan incelemek olduğunu belirtir. Ders içeriği, program bütünlüğü ve mevzuata uygunluk bu değerlendirmede birlikte ele alınır.</w:t>
            </w:r>
          </w:p>
        </w:tc>
        <w:tc>
          <w:tcPr>
            <w:tcW w:type="dxa" w:w="2494"/>
            <w:vAlign w:val="center"/>
            <w:shd w:fill="F7F7F7"/>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ve 44 eğitim-öğretime ilişkin görev alanını belirler. PEK’in belirli işlemlerdeki rolü TEDÜ yönetmeliklerinden gelir.</w:t>
            </w:r>
          </w:p>
        </w:tc>
        <w:tc>
          <w:tcPr>
            <w:tcW w:type="dxa" w:w="2494"/>
            <w:vAlign w:val="center"/>
            <w:shd w:fill="F7F7F7"/>
          </w:tcPr>
          <w:p>
            <w:pPr>
              <w:widowControl/>
              <w:spacing w:before="0" w:after="0" w:line="252" w:lineRule="auto"/>
              <w:jc w:val="left"/>
            </w:pPr>
            <w:r>
              <w:rPr>
                <w:sz w:val="18"/>
              </w:rPr>
            </w:r>
            <w:hyperlink r:id="rId11">
              <w:r>
                <w:rPr>
                  <w:color w:val="285D6A"/>
                  <w:sz w:val="18"/>
                </w:rPr>
                <w:t>TEDÜ Lisans Eğitim-Öğretim Yönetmeliği</w:t>
              </w:r>
            </w:hyperlink>
            <w:r>
              <w:rPr>
                <w:sz w:val="18"/>
              </w:rPr>
              <w:t xml:space="preserve"> m.8 ve 15; </w:t>
            </w:r>
            <w:hyperlink r:id="rId12">
              <w:r>
                <w:rPr>
                  <w:color w:val="285D6A"/>
                  <w:sz w:val="18"/>
                </w:rPr>
                <w:t>TEDÜ Lisansüstü Eğitim-Öğretim Yönetmeliği</w:t>
              </w:r>
            </w:hyperlink>
            <w:r>
              <w:rPr>
                <w:sz w:val="18"/>
              </w:rPr>
              <w:t xml:space="preserve"> m.15 PEK’in ders ve program değerlendirmesindeki yerini düzenler.</w:t>
            </w:r>
          </w:p>
        </w:tc>
        <w:tc>
          <w:tcPr>
            <w:tcW w:type="dxa" w:w="2608"/>
            <w:vAlign w:val="center"/>
            <w:shd w:fill="F7F7F7"/>
          </w:tcPr>
          <w:p>
            <w:pPr>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üniversite komitesine yeni programları ve müfredatları inceleme, görüş ve iyileştirme önerisi verme görevi tanımlar. İşlev bakımından benzerdir.</w:t>
            </w:r>
          </w:p>
        </w:tc>
        <w:tc>
          <w:tcPr>
            <w:tcW w:type="dxa" w:w="2608"/>
            <w:vAlign w:val="center"/>
            <w:shd w:fill="F7F7F7"/>
          </w:tcPr>
          <w:p>
            <w:pPr>
              <w:widowControl/>
              <w:spacing w:before="0" w:after="0" w:line="252" w:lineRule="auto"/>
              <w:jc w:val="left"/>
            </w:pPr>
            <w:r>
              <w:rPr>
                <w:sz w:val="18"/>
              </w:rPr>
            </w:r>
            <w:hyperlink r:id="rId23">
              <w:r>
                <w:rPr>
                  <w:color w:val="285D6A"/>
                  <w:sz w:val="18"/>
                </w:rPr>
                <w:t>ODTÜ Fen Bilimleri Enstitüsü Yeni Ders Önerisi Akışı</w:t>
              </w:r>
            </w:hyperlink>
            <w:r>
              <w:rPr>
                <w:sz w:val="18"/>
              </w:rPr>
              <w:t xml:space="preserve"> yeni dersin içeriğini inceleme ve ilgili birimlerden görüş alma adımları içerir. Bu inceleme Enstitü üzerinden yürür.</w:t>
            </w:r>
          </w:p>
        </w:tc>
      </w:tr>
      <w:tr>
        <w:trPr>
          <w:cantSplit/>
        </w:trPr>
        <w:tc>
          <w:tcPr>
            <w:tcW w:type="dxa" w:w="1361"/>
            <w:vAlign w:val="center"/>
            <w:shd w:fill="FFFFFF"/>
          </w:tcPr>
          <w:p>
            <w:pPr>
              <w:widowControl/>
              <w:spacing w:before="0" w:after="0" w:line="252" w:lineRule="auto"/>
              <w:jc w:val="center"/>
            </w:pPr>
            <w:r>
              <w:rPr>
                <w:sz w:val="18"/>
              </w:rPr>
              <w:t>Madde 6/2</w:t>
            </w:r>
          </w:p>
        </w:tc>
        <w:tc>
          <w:tcPr>
            <w:tcW w:type="dxa" w:w="2494"/>
            <w:vAlign w:val="center"/>
            <w:shd w:fill="FFFFFF"/>
          </w:tcPr>
          <w:p>
            <w:pPr>
              <w:widowControl/>
              <w:spacing w:before="0" w:after="0" w:line="252" w:lineRule="auto"/>
              <w:jc w:val="left"/>
            </w:pPr>
            <w:r>
              <w:rPr>
                <w:sz w:val="18"/>
              </w:rPr>
              <w:t>TEDÜ’de ders değerlendirme raporları, öğrenci anketleri ve program değerlendirme verileri zaten kullanılıyor.</w:t>
            </w:r>
          </w:p>
        </w:tc>
        <w:tc>
          <w:tcPr>
            <w:tcW w:type="dxa" w:w="5216"/>
            <w:vAlign w:val="center"/>
            <w:shd w:fill="FFFFFF"/>
          </w:tcPr>
          <w:p>
            <w:pPr>
              <w:widowControl/>
              <w:spacing w:before="0" w:after="0" w:line="252" w:lineRule="auto"/>
              <w:jc w:val="left"/>
            </w:pPr>
            <w:r>
              <w:rPr>
                <w:sz w:val="18"/>
              </w:rPr>
              <w:t>Komisyon, mevcut program değerlendirme ve geribildirim sonuçlarından yararlanarak müfredat bütünlüğü, öğrenme çıktıları ve öğrenci iş yükü bakımından iyileştirme önerileri geliştirir.</w:t>
            </w:r>
          </w:p>
        </w:tc>
        <w:tc>
          <w:tcPr>
            <w:tcW w:type="dxa" w:w="2948"/>
            <w:vAlign w:val="center"/>
            <w:shd w:fill="FFFFFF"/>
          </w:tcPr>
          <w:p>
            <w:pPr>
              <w:widowControl/>
              <w:spacing w:before="0" w:after="0" w:line="252" w:lineRule="auto"/>
              <w:jc w:val="left"/>
            </w:pPr>
            <w:r>
              <w:rPr>
                <w:sz w:val="18"/>
              </w:rPr>
              <w:t>PEK’in mevcut verilerden hareketle dersler arasındaki uyumu, öğrenme çıktılarını ve öğrenci iş yükünü iyileştirmeye katkı vermesini sağlar. Ayrı bir dönemlik rapor yükü kurmaz.</w:t>
            </w:r>
          </w:p>
        </w:tc>
        <w:tc>
          <w:tcPr>
            <w:tcW w:type="dxa" w:w="2494"/>
            <w:vAlign w:val="center"/>
            <w:shd w:fill="FFFFFF"/>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m.13/b-5 eğitim faaliyetlerinin gözetimini, m.14 akademik düzenlemeyi, m.44 eğitim-öğretim usullerini kapsar. Bu fıkra için kanunda ayrı bir PEK rapor takvimi yoktur.</w:t>
            </w:r>
          </w:p>
        </w:tc>
        <w:tc>
          <w:tcPr>
            <w:tcW w:type="dxa" w:w="2494"/>
            <w:vAlign w:val="center"/>
            <w:shd w:fill="FFFFFF"/>
          </w:tcPr>
          <w:p>
            <w:pPr>
              <w:widowControl/>
              <w:spacing w:before="0" w:after="0" w:line="252" w:lineRule="auto"/>
              <w:jc w:val="left"/>
            </w:pPr>
            <w:r>
              <w:rPr>
                <w:sz w:val="18"/>
              </w:rPr>
            </w:r>
            <w:hyperlink r:id="rId16">
              <w:r>
                <w:rPr>
                  <w:color w:val="285D6A"/>
                  <w:sz w:val="18"/>
                </w:rPr>
                <w:t>TEDÜ Kalite El Kitabı</w:t>
              </w:r>
            </w:hyperlink>
            <w:r>
              <w:rPr>
                <w:sz w:val="18"/>
              </w:rPr>
              <w:t xml:space="preserve"> 4.1.1–4.1.4; ders raporları, öğrenci geri bildirimleri ve program geliştirme arasındaki bağı açıklar.</w:t>
            </w:r>
          </w:p>
        </w:tc>
        <w:tc>
          <w:tcPr>
            <w:tcW w:type="dxa" w:w="2608"/>
            <w:vAlign w:val="center"/>
            <w:shd w:fill="FFFFFF"/>
          </w:tcPr>
          <w:p>
            <w:pPr>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müfredat bütünlüğünü, mezun yeterliliklerini ve programların düzenli değerlendirilmesini vurgular. Eski metindeki rapor sıklığı taslağa aktarılmamıştır.</w:t>
            </w:r>
          </w:p>
        </w:tc>
        <w:tc>
          <w:tcPr>
            <w:tcW w:type="dxa" w:w="2608"/>
            <w:vAlign w:val="center"/>
            <w:shd w:fill="FFFFFF"/>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m.4 izleme ve iyileştirme çalışmaları içerir. Kalite Komisyonunun yıllık rapor görevi PEK’e eklenmemiştir.</w:t>
            </w:r>
          </w:p>
        </w:tc>
      </w:tr>
      <w:tr>
        <w:trPr>
          <w:cantSplit/>
        </w:trPr>
        <w:tc>
          <w:tcPr>
            <w:tcW w:type="dxa" w:w="1361"/>
            <w:vAlign w:val="center"/>
            <w:shd w:fill="F7F7F7"/>
          </w:tcPr>
          <w:p>
            <w:pPr>
              <w:widowControl/>
              <w:spacing w:before="0" w:after="0" w:line="252" w:lineRule="auto"/>
              <w:jc w:val="center"/>
            </w:pPr>
            <w:r>
              <w:rPr>
                <w:sz w:val="18"/>
              </w:rPr>
              <w:t>Madde 6/3</w:t>
            </w:r>
          </w:p>
        </w:tc>
        <w:tc>
          <w:tcPr>
            <w:tcW w:type="dxa" w:w="2494"/>
            <w:vAlign w:val="center"/>
            <w:shd w:fill="F7F7F7"/>
          </w:tcPr>
          <w:p>
            <w:pPr>
              <w:widowControl/>
              <w:spacing w:before="0" w:after="0" w:line="252" w:lineRule="auto"/>
              <w:jc w:val="left"/>
            </w:pPr>
            <w:r>
              <w:rPr>
                <w:sz w:val="18"/>
              </w:rPr>
              <w:t>TEDÜ yönetmeliklerinde PEK’in görüşünü Senatoya ilettiği, bazı program işlemlerinde ayrıca Mütevelli Heyeti ve YÖK aşamalarının bulunduğu yazıyor.</w:t>
            </w:r>
          </w:p>
        </w:tc>
        <w:tc>
          <w:tcPr>
            <w:tcW w:type="dxa" w:w="5216"/>
            <w:vAlign w:val="center"/>
            <w:shd w:fill="F7F7F7"/>
          </w:tcPr>
          <w:p>
            <w:pPr>
              <w:widowControl/>
              <w:spacing w:before="0" w:after="0" w:line="252" w:lineRule="auto"/>
              <w:jc w:val="left"/>
            </w:pPr>
            <w:r>
              <w:rPr>
                <w:sz w:val="18"/>
              </w:rPr>
              <w:t>Komisyon, değerlendirme görüş ve önerilerini Üniversitenin ilgili eğitim-öğretim düzenlemelerinde belirtilen yetkili organlara sunar.</w:t>
            </w:r>
          </w:p>
        </w:tc>
        <w:tc>
          <w:tcPr>
            <w:tcW w:type="dxa" w:w="2948"/>
            <w:vAlign w:val="center"/>
            <w:shd w:fill="F7F7F7"/>
          </w:tcPr>
          <w:p>
            <w:pPr>
              <w:widowControl/>
              <w:spacing w:before="0" w:after="0" w:line="252" w:lineRule="auto"/>
              <w:jc w:val="left"/>
            </w:pPr>
            <w:r>
              <w:rPr>
                <w:sz w:val="18"/>
              </w:rPr>
              <w:t>PEK’in akademik görüşü ile nihai kararın farklı işlemler olduğunu belirtir. Komisyon, başka organa ait kararı kendisi veremez.</w:t>
            </w:r>
          </w:p>
        </w:tc>
        <w:tc>
          <w:tcPr>
            <w:tcW w:type="dxa" w:w="2494"/>
            <w:vAlign w:val="center"/>
            <w:shd w:fill="F7F7F7"/>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17–19 ve 44 organların akademik görev alanlarını düzenler. Her dosyanın son karar makamı ilgili özel düzenlemeden belirlenir.</w:t>
            </w:r>
          </w:p>
        </w:tc>
        <w:tc>
          <w:tcPr>
            <w:tcW w:type="dxa" w:w="2494"/>
            <w:vAlign w:val="center"/>
            <w:shd w:fill="F7F7F7"/>
          </w:tcPr>
          <w:p>
            <w:pPr>
              <w:widowControl/>
              <w:spacing w:before="0" w:after="0" w:line="252" w:lineRule="auto"/>
              <w:jc w:val="left"/>
            </w:pPr>
            <w:r>
              <w:rPr>
                <w:sz w:val="18"/>
              </w:rPr>
            </w:r>
            <w:hyperlink r:id="rId11">
              <w:r>
                <w:rPr>
                  <w:color w:val="285D6A"/>
                  <w:sz w:val="18"/>
                </w:rPr>
                <w:t>TEDÜ Lisans Eğitim-Öğretim Yönetmeliği</w:t>
              </w:r>
            </w:hyperlink>
            <w:r>
              <w:rPr>
                <w:sz w:val="18"/>
              </w:rPr>
              <w:t xml:space="preserve"> m.8 ve 15; </w:t>
            </w:r>
            <w:hyperlink r:id="rId12">
              <w:r>
                <w:rPr>
                  <w:color w:val="285D6A"/>
                  <w:sz w:val="18"/>
                </w:rPr>
                <w:t>TEDÜ Lisansüstü Eğitim-Öğretim Yönetmeliği</w:t>
              </w:r>
            </w:hyperlink>
            <w:r>
              <w:rPr>
                <w:sz w:val="18"/>
              </w:rPr>
              <w:t xml:space="preserve"> m.15 program ve ders işlemleri için farklı karar zincirleri kurar.</w:t>
            </w:r>
          </w:p>
        </w:tc>
        <w:tc>
          <w:tcPr>
            <w:tcW w:type="dxa" w:w="2608"/>
            <w:vAlign w:val="center"/>
            <w:shd w:fill="F7F7F7"/>
          </w:tcPr>
          <w:p>
            <w:pPr>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üniversite müfredat komitesinin yönetime öneri sunmasını düzenler. Görüş oluşturma yönünden benzerdir.</w:t>
            </w:r>
          </w:p>
        </w:tc>
        <w:tc>
          <w:tcPr>
            <w:tcW w:type="dxa" w:w="2608"/>
            <w:vAlign w:val="center"/>
            <w:shd w:fill="F7F7F7"/>
          </w:tcPr>
          <w:p>
            <w:pPr>
              <w:widowControl/>
              <w:spacing w:before="0" w:after="0" w:line="252" w:lineRule="auto"/>
              <w:jc w:val="left"/>
            </w:pPr>
            <w:r>
              <w:rPr>
                <w:sz w:val="18"/>
              </w:rPr>
            </w:r>
            <w:hyperlink r:id="rId23">
              <w:r>
                <w:rPr>
                  <w:color w:val="285D6A"/>
                  <w:sz w:val="18"/>
                </w:rPr>
                <w:t>ODTÜ Fen Bilimleri Enstitüsü Yeni Ders Önerisi Akışı</w:t>
              </w:r>
            </w:hyperlink>
            <w:r>
              <w:rPr>
                <w:sz w:val="18"/>
              </w:rPr>
              <w:t xml:space="preserve"> son kararı Enstitü Kurulu veya Enstitü Yönetim Kuruluna bağlar. Hangi kurulun karar verdiği ders türüne göre değişir.</w:t>
            </w:r>
          </w:p>
        </w:tc>
      </w:tr>
      <w:tr>
        <w:trPr>
          <w:cantSplit/>
        </w:trPr>
        <w:tc>
          <w:tcPr>
            <w:tcW w:type="dxa" w:w="1361"/>
            <w:vAlign w:val="center"/>
            <w:shd w:fill="FFFFFF"/>
          </w:tcPr>
          <w:p>
            <w:pPr>
              <w:widowControl/>
              <w:spacing w:before="0" w:after="0" w:line="252" w:lineRule="auto"/>
              <w:jc w:val="center"/>
            </w:pPr>
            <w:r>
              <w:rPr>
                <w:sz w:val="18"/>
              </w:rPr>
              <w:t>Madde 7/1</w:t>
            </w:r>
          </w:p>
        </w:tc>
        <w:tc>
          <w:tcPr>
            <w:tcW w:type="dxa" w:w="2494"/>
            <w:vAlign w:val="center"/>
            <w:shd w:fill="FFFFFF"/>
          </w:tcPr>
          <w:p>
            <w:pPr>
              <w:widowControl/>
              <w:spacing w:before="0" w:after="0" w:line="252" w:lineRule="auto"/>
              <w:jc w:val="left"/>
            </w:pPr>
            <w:r>
              <w:rPr>
                <w:sz w:val="18"/>
              </w:rPr>
              <w:t>Ofis, mevcut belgelerde PEK koordinasyonunu yapıyor ve komisyon listesinde Ofisten raportör bulunuyor.</w:t>
            </w:r>
          </w:p>
        </w:tc>
        <w:tc>
          <w:tcPr>
            <w:tcW w:type="dxa" w:w="5216"/>
            <w:vAlign w:val="center"/>
            <w:shd w:fill="FFFFFF"/>
          </w:tcPr>
          <w:p>
            <w:pPr>
              <w:widowControl/>
              <w:spacing w:before="0" w:after="0" w:line="252" w:lineRule="auto"/>
              <w:jc w:val="left"/>
            </w:pPr>
            <w:r>
              <w:rPr>
                <w:sz w:val="18"/>
              </w:rPr>
              <w:t>Komisyonun sekretarya ve raportörlük hizmetleri Ofis tarafından yürütülür.</w:t>
            </w:r>
          </w:p>
        </w:tc>
        <w:tc>
          <w:tcPr>
            <w:tcW w:type="dxa" w:w="2948"/>
            <w:vAlign w:val="center"/>
            <w:shd w:fill="FFFFFF"/>
          </w:tcPr>
          <w:p>
            <w:pPr>
              <w:widowControl/>
              <w:spacing w:before="0" w:after="0" w:line="252" w:lineRule="auto"/>
              <w:jc w:val="left"/>
            </w:pPr>
            <w:r>
              <w:rPr>
                <w:sz w:val="18"/>
              </w:rPr>
              <w:t>Sekretarya ve raportörlük görevini belirli bir kişiye değil Ofise bağlayarak kurumsal devamlılık sağlar.</w:t>
            </w:r>
          </w:p>
        </w:tc>
        <w:tc>
          <w:tcPr>
            <w:tcW w:type="dxa" w:w="2494"/>
            <w:vAlign w:val="center"/>
            <w:shd w:fill="FFFFFF"/>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FFFFF"/>
          </w:tcPr>
          <w:p>
            <w:pPr>
              <w:widowControl/>
              <w:spacing w:before="0" w:after="0" w:line="252" w:lineRule="auto"/>
              <w:jc w:val="left"/>
            </w:pPr>
            <w:r>
              <w:rPr>
                <w:sz w:val="18"/>
              </w:rPr>
            </w:r>
            <w:hyperlink r:id="rId15">
              <w:r>
                <w:rPr>
                  <w:color w:val="285D6A"/>
                  <w:sz w:val="18"/>
                </w:rPr>
                <w:t>TEDÜ Çalışan El Kitabı</w:t>
              </w:r>
            </w:hyperlink>
            <w:r>
              <w:rPr>
                <w:sz w:val="18"/>
              </w:rPr>
              <w:t xml:space="preserve"> PDF s.25, Ofisin PEK koordinasyonunu yürüttüğünü açıkça belirtir. </w:t>
            </w:r>
            <w:hyperlink r:id="rId14">
              <w:r>
                <w:rPr>
                  <w:color w:val="285D6A"/>
                  <w:sz w:val="18"/>
                </w:rPr>
                <w:t>TEDÜ Komisyonlar listesi, 24.09.2026</w:t>
              </w:r>
            </w:hyperlink>
            <w:r>
              <w:rPr>
                <w:sz w:val="18"/>
              </w:rPr>
              <w:t xml:space="preserve"> PDF s.12 raportörü Ofis personeli olarak listeler.</w:t>
            </w:r>
          </w:p>
        </w:tc>
        <w:tc>
          <w:tcPr>
            <w:tcW w:type="dxa" w:w="2608"/>
            <w:vAlign w:val="center"/>
            <w:shd w:fill="FFFFFF"/>
          </w:tcPr>
          <w:p>
            <w:pPr>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kalite süreçlerini yürüten birim ve görevlileri farklı biçimde düzenler. Aynı PEK raportörlüğü veya oy hakkı kuralı bu belgede gösterilmemiştir.</w:t>
            </w:r>
          </w:p>
        </w:tc>
        <w:tc>
          <w:tcPr>
            <w:tcW w:type="dxa" w:w="2608"/>
            <w:vAlign w:val="center"/>
            <w:shd w:fill="FFFFFF"/>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m.5/d destek hizmetlerini Strateji Geliştirme Daire Başkanlığına ve/veya Kurumsal Gelişim ve Planlama Ofisine verir. İdari destek sağlama mantığı benzerdir.</w:t>
            </w:r>
          </w:p>
        </w:tc>
      </w:tr>
      <w:tr>
        <w:trPr>
          <w:cantSplit/>
        </w:trPr>
        <w:tc>
          <w:tcPr>
            <w:tcW w:type="dxa" w:w="1361"/>
            <w:vAlign w:val="center"/>
            <w:shd w:fill="F7F7F7"/>
          </w:tcPr>
          <w:p>
            <w:pPr>
              <w:widowControl/>
              <w:spacing w:before="0" w:after="0" w:line="252" w:lineRule="auto"/>
              <w:jc w:val="center"/>
            </w:pPr>
            <w:r>
              <w:rPr>
                <w:sz w:val="18"/>
              </w:rPr>
              <w:t>Madde 7/2</w:t>
            </w:r>
          </w:p>
        </w:tc>
        <w:tc>
          <w:tcPr>
            <w:tcW w:type="dxa" w:w="2494"/>
            <w:vAlign w:val="center"/>
            <w:shd w:fill="F7F7F7"/>
          </w:tcPr>
          <w:p>
            <w:pPr>
              <w:widowControl/>
              <w:spacing w:before="0" w:after="0" w:line="252" w:lineRule="auto"/>
              <w:jc w:val="left"/>
            </w:pPr>
            <w:r>
              <w:rPr>
                <w:sz w:val="18"/>
              </w:rPr>
              <w:t>Ofisin koordinasyon rolü belgelerde var; başvuru kaydı, gündem dağıtımı ve arşiv gibi işler aynı PEK hükmünde tek tek sayılmıyor.</w:t>
            </w:r>
          </w:p>
        </w:tc>
        <w:tc>
          <w:tcPr>
            <w:tcW w:type="dxa" w:w="5216"/>
            <w:vAlign w:val="center"/>
            <w:shd w:fill="F7F7F7"/>
          </w:tcPr>
          <w:p>
            <w:pPr>
              <w:widowControl/>
              <w:spacing w:before="0" w:after="0" w:line="252" w:lineRule="auto"/>
              <w:jc w:val="left"/>
            </w:pPr>
            <w:r>
              <w:rPr>
                <w:sz w:val="18"/>
              </w:rPr>
              <w:t>Sekretarya, başvuruların kayıtlarını tutar; Başkanın belirlediği gündemi ve toplantı belgelerini iletir; tutanak taslaklarını ve arşivi hazırlar.</w:t>
            </w:r>
          </w:p>
        </w:tc>
        <w:tc>
          <w:tcPr>
            <w:tcW w:type="dxa" w:w="2948"/>
            <w:vAlign w:val="center"/>
            <w:shd w:fill="F7F7F7"/>
          </w:tcPr>
          <w:p>
            <w:pPr>
              <w:widowControl/>
              <w:spacing w:before="0" w:after="0" w:line="252" w:lineRule="auto"/>
              <w:jc w:val="left"/>
            </w:pPr>
            <w:r>
              <w:rPr>
                <w:sz w:val="18"/>
              </w:rPr>
              <w:t>Dosyaların ve toplantı belgelerinin kim tarafından hazırlanıp saklanacağını açıkça belirler.</w:t>
            </w:r>
          </w:p>
        </w:tc>
        <w:tc>
          <w:tcPr>
            <w:tcW w:type="dxa" w:w="2494"/>
            <w:vAlign w:val="center"/>
            <w:shd w:fill="F7F7F7"/>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7F7F7"/>
          </w:tcPr>
          <w:p>
            <w:pPr>
              <w:widowControl/>
              <w:spacing w:before="0" w:after="0" w:line="252" w:lineRule="auto"/>
              <w:jc w:val="left"/>
            </w:pPr>
            <w:r>
              <w:rPr>
                <w:sz w:val="18"/>
              </w:rPr>
            </w:r>
            <w:hyperlink r:id="rId15">
              <w:r>
                <w:rPr>
                  <w:color w:val="285D6A"/>
                  <w:sz w:val="18"/>
                </w:rPr>
                <w:t>TEDÜ Çalışan El Kitabı</w:t>
              </w:r>
            </w:hyperlink>
            <w:r>
              <w:rPr>
                <w:sz w:val="18"/>
              </w:rPr>
              <w:t xml:space="preserve"> PDF s.25, Ofisin PEK koordinasyonunu yürüttüğünü açıkça belirtir. </w:t>
            </w:r>
            <w:hyperlink r:id="rId14">
              <w:r>
                <w:rPr>
                  <w:color w:val="285D6A"/>
                  <w:sz w:val="18"/>
                </w:rPr>
                <w:t>TEDÜ Komisyonlar listesi, 24.09.2026</w:t>
              </w:r>
            </w:hyperlink>
            <w:r>
              <w:rPr>
                <w:sz w:val="18"/>
              </w:rPr>
              <w:t xml:space="preserve"> PDF s.12 raportörü Ofis personeli olarak listeler.</w:t>
            </w:r>
          </w:p>
        </w:tc>
        <w:tc>
          <w:tcPr>
            <w:tcW w:type="dxa" w:w="2608"/>
            <w:vAlign w:val="center"/>
            <w:shd w:fill="F7F7F7"/>
          </w:tcPr>
          <w:p>
            <w:pPr>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kalite süreçlerini yürüten birim ve görevlileri farklı biçimde düzenler. Aynı PEK raportörlüğü veya oy hakkı kuralı bu belgede gösterilmemiştir.</w:t>
            </w:r>
          </w:p>
        </w:tc>
        <w:tc>
          <w:tcPr>
            <w:tcW w:type="dxa" w:w="2608"/>
            <w:vAlign w:val="center"/>
            <w:shd w:fill="F7F7F7"/>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m.5/d destek hizmetlerini Strateji Geliştirme Daire Başkanlığına ve/veya Kurumsal Gelişim ve Planlama Ofisine verir. İdari destek sağlama mantığı benzerdir.</w:t>
            </w:r>
          </w:p>
        </w:tc>
      </w:tr>
      <w:tr>
        <w:trPr>
          <w:cantSplit/>
        </w:trPr>
        <w:tc>
          <w:tcPr>
            <w:tcW w:type="dxa" w:w="1361"/>
            <w:vAlign w:val="center"/>
            <w:shd w:fill="FFFFFF"/>
          </w:tcPr>
          <w:p>
            <w:pPr>
              <w:widowControl/>
              <w:spacing w:before="0" w:after="0" w:line="252" w:lineRule="auto"/>
              <w:jc w:val="center"/>
            </w:pPr>
            <w:r>
              <w:rPr>
                <w:sz w:val="18"/>
              </w:rPr>
              <w:t>Madde 7/3</w:t>
            </w:r>
          </w:p>
        </w:tc>
        <w:tc>
          <w:tcPr>
            <w:tcW w:type="dxa" w:w="2494"/>
            <w:vAlign w:val="center"/>
            <w:shd w:fill="FFFFFF"/>
          </w:tcPr>
          <w:p>
            <w:pPr>
              <w:widowControl/>
              <w:spacing w:before="0" w:after="0" w:line="252" w:lineRule="auto"/>
              <w:jc w:val="left"/>
            </w:pPr>
            <w:r>
              <w:rPr>
                <w:sz w:val="18"/>
              </w:rPr>
              <w:t>Mevcut komisyon listesi raportörü ayrı gösteriyor; yalnız bu listeye bakarak oy ve çoğunluk hesabı anlaşılamıyor.</w:t>
            </w:r>
          </w:p>
        </w:tc>
        <w:tc>
          <w:tcPr>
            <w:tcW w:type="dxa" w:w="5216"/>
            <w:vAlign w:val="center"/>
            <w:shd w:fill="FFFFFF"/>
          </w:tcPr>
          <w:p>
            <w:pPr>
              <w:widowControl/>
              <w:spacing w:before="0" w:after="0" w:line="252" w:lineRule="auto"/>
              <w:jc w:val="left"/>
            </w:pPr>
            <w:r>
              <w:rPr>
                <w:sz w:val="18"/>
              </w:rPr>
              <w:t>Raportör, bu görevi nedeniyle Komisyon üyesi sayılmaz; oy kullanmaz ve toplantı ve karar yeter sayılarının hesabına dahil edilmez.</w:t>
            </w:r>
          </w:p>
        </w:tc>
        <w:tc>
          <w:tcPr>
            <w:tcW w:type="dxa" w:w="2948"/>
            <w:vAlign w:val="center"/>
            <w:shd w:fill="FFFFFF"/>
          </w:tcPr>
          <w:p>
            <w:pPr>
              <w:widowControl/>
              <w:spacing w:before="0" w:after="0" w:line="252" w:lineRule="auto"/>
              <w:jc w:val="left"/>
            </w:pPr>
            <w:r>
              <w:rPr>
                <w:sz w:val="18"/>
              </w:rPr>
              <w:t>Belge hazırlayan raportörün sırf bu görev nedeniyle oy sahibi üye sayılmasını önler.</w:t>
            </w:r>
          </w:p>
        </w:tc>
        <w:tc>
          <w:tcPr>
            <w:tcW w:type="dxa" w:w="2494"/>
            <w:vAlign w:val="center"/>
            <w:shd w:fill="FFFFFF"/>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FFFFF"/>
          </w:tcPr>
          <w:p>
            <w:pPr>
              <w:widowControl/>
              <w:spacing w:before="0" w:after="0" w:line="252" w:lineRule="auto"/>
              <w:jc w:val="left"/>
            </w:pPr>
            <w:r>
              <w:rPr>
                <w:sz w:val="18"/>
              </w:rPr>
            </w:r>
            <w:hyperlink r:id="rId15">
              <w:r>
                <w:rPr>
                  <w:color w:val="285D6A"/>
                  <w:sz w:val="18"/>
                </w:rPr>
                <w:t>TEDÜ Çalışan El Kitabı</w:t>
              </w:r>
            </w:hyperlink>
            <w:r>
              <w:rPr>
                <w:sz w:val="18"/>
              </w:rPr>
              <w:t xml:space="preserve"> PDF s.25, Ofisin PEK koordinasyonunu yürüttüğünü açıkça belirtir. </w:t>
            </w:r>
            <w:hyperlink r:id="rId14">
              <w:r>
                <w:rPr>
                  <w:color w:val="285D6A"/>
                  <w:sz w:val="18"/>
                </w:rPr>
                <w:t>TEDÜ Komisyonlar listesi, 24.09.2026</w:t>
              </w:r>
            </w:hyperlink>
            <w:r>
              <w:rPr>
                <w:sz w:val="18"/>
              </w:rPr>
              <w:t xml:space="preserve"> PDF s.12 raportörü Ofis personeli olarak listeler.</w:t>
            </w:r>
          </w:p>
        </w:tc>
        <w:tc>
          <w:tcPr>
            <w:tcW w:type="dxa" w:w="2608"/>
            <w:vAlign w:val="center"/>
            <w:shd w:fill="FFFFFF"/>
          </w:tcPr>
          <w:p>
            <w:pPr>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kalite süreçlerini yürüten birim ve görevlileri farklı biçimde düzenler. Aynı PEK raportörlüğü veya oy hakkı kuralı bu belgede gösterilmemiştir.</w:t>
            </w:r>
          </w:p>
        </w:tc>
        <w:tc>
          <w:tcPr>
            <w:tcW w:type="dxa" w:w="2608"/>
            <w:vAlign w:val="center"/>
            <w:shd w:fill="FFFFFF"/>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m.5/d destek hizmetlerini Strateji Geliştirme Daire Başkanlığına ve/veya Kurumsal Gelişim ve Planlama Ofisine verir. İdari destek sağlama mantığı benzerdir.</w:t>
            </w:r>
          </w:p>
        </w:tc>
      </w:tr>
      <w:tr>
        <w:trPr>
          <w:cantSplit/>
        </w:trPr>
        <w:tc>
          <w:tcPr>
            <w:tcW w:type="dxa" w:w="1361"/>
            <w:vAlign w:val="center"/>
            <w:shd w:fill="F7F7F7"/>
          </w:tcPr>
          <w:p>
            <w:pPr>
              <w:widowControl/>
              <w:spacing w:before="0" w:after="0" w:line="252" w:lineRule="auto"/>
              <w:jc w:val="center"/>
            </w:pPr>
            <w:r>
              <w:rPr>
                <w:sz w:val="18"/>
              </w:rPr>
              <w:t>Madde 7/4</w:t>
            </w:r>
          </w:p>
        </w:tc>
        <w:tc>
          <w:tcPr>
            <w:tcW w:type="dxa" w:w="2494"/>
            <w:vAlign w:val="center"/>
            <w:shd w:fill="F7F7F7"/>
          </w:tcPr>
          <w:p>
            <w:pPr>
              <w:widowControl/>
              <w:spacing w:before="0" w:after="0" w:line="252" w:lineRule="auto"/>
              <w:jc w:val="left"/>
            </w:pPr>
            <w:r>
              <w:rPr>
                <w:sz w:val="18"/>
              </w:rPr>
              <w:t>Mevcut listede raportör Ofis göreviyle yer alıyor; temsilci üyelerin süresiyle ilişkisi açıkça kurulmamış.</w:t>
            </w:r>
          </w:p>
        </w:tc>
        <w:tc>
          <w:tcPr>
            <w:tcW w:type="dxa" w:w="5216"/>
            <w:vAlign w:val="center"/>
            <w:shd w:fill="F7F7F7"/>
          </w:tcPr>
          <w:p>
            <w:pPr>
              <w:widowControl/>
              <w:spacing w:before="0" w:after="0" w:line="252" w:lineRule="auto"/>
              <w:jc w:val="left"/>
            </w:pPr>
            <w:r>
              <w:rPr>
                <w:sz w:val="18"/>
              </w:rPr>
              <w:t>Fakülte ve Enstitü temsilcileri için belirlenen iki yıllık görev süresi raportörlüğe uygulanmaz. Raportörlük, Ofisin personel görevlendirmesi kapsamında yürütülür.</w:t>
            </w:r>
          </w:p>
        </w:tc>
        <w:tc>
          <w:tcPr>
            <w:tcW w:type="dxa" w:w="2948"/>
            <w:vAlign w:val="center"/>
            <w:shd w:fill="F7F7F7"/>
          </w:tcPr>
          <w:p>
            <w:pPr>
              <w:widowControl/>
              <w:spacing w:before="0" w:after="0" w:line="252" w:lineRule="auto"/>
              <w:jc w:val="left"/>
            </w:pPr>
            <w:r>
              <w:rPr>
                <w:sz w:val="18"/>
              </w:rPr>
              <w:t>İki yıllık temsilcilik süresinin bir personel görevlendirmesi olan raportörlüğe uygulanmasını önler.</w:t>
            </w:r>
          </w:p>
        </w:tc>
        <w:tc>
          <w:tcPr>
            <w:tcW w:type="dxa" w:w="2494"/>
            <w:vAlign w:val="center"/>
            <w:shd w:fill="F7F7F7"/>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7F7F7"/>
          </w:tcPr>
          <w:p>
            <w:pPr>
              <w:widowControl/>
              <w:spacing w:before="0" w:after="0" w:line="252" w:lineRule="auto"/>
              <w:jc w:val="left"/>
            </w:pPr>
            <w:r>
              <w:rPr>
                <w:sz w:val="18"/>
              </w:rPr>
            </w:r>
            <w:hyperlink r:id="rId15">
              <w:r>
                <w:rPr>
                  <w:color w:val="285D6A"/>
                  <w:sz w:val="18"/>
                </w:rPr>
                <w:t>TEDÜ Çalışan El Kitabı</w:t>
              </w:r>
            </w:hyperlink>
            <w:r>
              <w:rPr>
                <w:sz w:val="18"/>
              </w:rPr>
              <w:t xml:space="preserve"> PDF s.25, Ofisin PEK koordinasyonunu yürüttüğünü açıkça belirtir. </w:t>
            </w:r>
            <w:hyperlink r:id="rId14">
              <w:r>
                <w:rPr>
                  <w:color w:val="285D6A"/>
                  <w:sz w:val="18"/>
                </w:rPr>
                <w:t>TEDÜ Komisyonlar listesi, 24.09.2026</w:t>
              </w:r>
            </w:hyperlink>
            <w:r>
              <w:rPr>
                <w:sz w:val="18"/>
              </w:rPr>
              <w:t xml:space="preserve"> PDF s.12 raportörü Ofis personeli olarak listeler.</w:t>
            </w:r>
          </w:p>
        </w:tc>
        <w:tc>
          <w:tcPr>
            <w:tcW w:type="dxa" w:w="2608"/>
            <w:vAlign w:val="center"/>
            <w:shd w:fill="F7F7F7"/>
          </w:tcPr>
          <w:p>
            <w:pPr>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kalite süreçlerini yürüten birim ve görevlileri farklı biçimde düzenler. Aynı PEK raportörlüğü veya oy hakkı kuralı bu belgede gösterilmemiştir.</w:t>
            </w:r>
          </w:p>
        </w:tc>
        <w:tc>
          <w:tcPr>
            <w:tcW w:type="dxa" w:w="2608"/>
            <w:vAlign w:val="center"/>
            <w:shd w:fill="F7F7F7"/>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m.5/d destek hizmetlerini Strateji Geliştirme Daire Başkanlığına ve/veya Kurumsal Gelişim ve Planlama Ofisine verir. İdari destek sağlama mantığı benzerdir.</w:t>
            </w:r>
          </w:p>
        </w:tc>
      </w:tr>
      <w:tr>
        <w:trPr>
          <w:cantSplit/>
        </w:trPr>
        <w:tc>
          <w:tcPr>
            <w:tcW w:type="dxa" w:w="1361"/>
            <w:vAlign w:val="center"/>
            <w:shd w:fill="FFFFFF"/>
          </w:tcPr>
          <w:p>
            <w:pPr>
              <w:widowControl/>
              <w:spacing w:before="0" w:after="0" w:line="252" w:lineRule="auto"/>
              <w:jc w:val="center"/>
            </w:pPr>
            <w:r>
              <w:rPr>
                <w:sz w:val="18"/>
              </w:rPr>
              <w:t>Madde 8/1</w:t>
            </w:r>
          </w:p>
        </w:tc>
        <w:tc>
          <w:tcPr>
            <w:tcW w:type="dxa" w:w="2494"/>
            <w:vAlign w:val="center"/>
            <w:shd w:fill="FFFFFF"/>
          </w:tcPr>
          <w:p>
            <w:pPr>
              <w:widowControl/>
              <w:spacing w:before="0" w:after="0" w:line="252" w:lineRule="auto"/>
              <w:jc w:val="left"/>
            </w:pPr>
            <w:r>
              <w:rPr>
                <w:sz w:val="18"/>
              </w:rPr>
              <w:t>TEDÜ’de öğrenci anketleri, dönem ortası geri bildirim ve öğrenci temsilciliği kanalları var; mevcut PEK listesinde sürekli bir öğrenci üye yer almıyor.</w:t>
            </w:r>
          </w:p>
        </w:tc>
        <w:tc>
          <w:tcPr>
            <w:tcW w:type="dxa" w:w="5216"/>
            <w:vAlign w:val="center"/>
            <w:shd w:fill="FFFFFF"/>
          </w:tcPr>
          <w:p>
            <w:pPr>
              <w:widowControl/>
              <w:spacing w:before="0" w:after="0" w:line="252" w:lineRule="auto"/>
              <w:jc w:val="left"/>
            </w:pPr>
            <w:r>
              <w:rPr>
                <w:sz w:val="18"/>
              </w:rPr>
              <w:t>Başkan, ilgili gündem için öğrenci temsilcilerini toplantıya davet eder. Öğrenci görüşlerinin alınmasında mevcut yazılı geribildirim kanallarından da yararlanılır.</w:t>
            </w:r>
          </w:p>
        </w:tc>
        <w:tc>
          <w:tcPr>
            <w:tcW w:type="dxa" w:w="2948"/>
            <w:vAlign w:val="center"/>
            <w:shd w:fill="FFFFFF"/>
          </w:tcPr>
          <w:p>
            <w:pPr>
              <w:widowControl/>
              <w:spacing w:before="0" w:after="0" w:line="252" w:lineRule="auto"/>
              <w:jc w:val="left"/>
            </w:pPr>
            <w:r>
              <w:rPr>
                <w:sz w:val="18"/>
              </w:rPr>
              <w:t>Öğrencilerin ilgili konudaki deneyimini toplantıya taşır; yazılı geri bildirimlerin kullanılmasına da imkân verir.</w:t>
            </w:r>
          </w:p>
        </w:tc>
        <w:tc>
          <w:tcPr>
            <w:tcW w:type="dxa" w:w="2494"/>
            <w:vAlign w:val="center"/>
            <w:shd w:fill="FFFFFF"/>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bu fıkradaki gündeme bağlı davet modelini özel olarak düzenlemez. TEDÜ Kalite Komisyonundaki öğrenci üyeliği ile PEK’e davet farklı düzenlemelerdir.</w:t>
            </w:r>
          </w:p>
        </w:tc>
        <w:tc>
          <w:tcPr>
            <w:tcW w:type="dxa" w:w="2494"/>
            <w:vAlign w:val="center"/>
            <w:shd w:fill="FFFFFF"/>
          </w:tcPr>
          <w:p>
            <w:pPr>
              <w:widowControl/>
              <w:spacing w:before="0" w:after="0" w:line="252" w:lineRule="auto"/>
              <w:jc w:val="left"/>
            </w:pPr>
            <w:r>
              <w:rPr>
                <w:sz w:val="18"/>
              </w:rPr>
            </w:r>
            <w:hyperlink r:id="rId16">
              <w:r>
                <w:rPr>
                  <w:color w:val="285D6A"/>
                  <w:sz w:val="18"/>
                </w:rPr>
                <w:t>TEDÜ Kalite El Kitabı</w:t>
              </w:r>
            </w:hyperlink>
            <w:r>
              <w:rPr>
                <w:sz w:val="18"/>
              </w:rPr>
              <w:t xml:space="preserve"> 4.1.3 öğrenci geri bildirim kanallarını açıklar. </w:t>
            </w:r>
            <w:hyperlink r:id="rId18">
              <w:r>
                <w:rPr>
                  <w:color w:val="285D6A"/>
                  <w:sz w:val="18"/>
                </w:rPr>
                <w:t>TEDÜ Kalite Komisyonu Çalışma Yönergesi</w:t>
              </w:r>
            </w:hyperlink>
            <w:r>
              <w:rPr>
                <w:sz w:val="18"/>
              </w:rPr>
              <w:t xml:space="preserve"> m.5’teki sürekli öğrenci üyeliği ise PEK’e değil Kalite Komisyonuna aittir.</w:t>
            </w:r>
          </w:p>
        </w:tc>
        <w:tc>
          <w:tcPr>
            <w:tcW w:type="dxa" w:w="2608"/>
            <w:vAlign w:val="center"/>
            <w:shd w:fill="FFFFFF"/>
          </w:tcPr>
          <w:p>
            <w:pPr>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bölüm danışma kurulunda öğrenci temsilcisine yer verir. </w:t>
            </w:r>
            <w:hyperlink r:id="rId20">
              <w:r>
                <w:rPr>
                  <w:color w:val="285D6A"/>
                  <w:sz w:val="18"/>
                </w:rPr>
                <w:t>Bilkent Kalite Komisyonu Çalışma Usul ve Esasları</w:t>
              </w:r>
            </w:hyperlink>
            <w:r>
              <w:rPr>
                <w:sz w:val="18"/>
              </w:rPr>
              <w:t xml:space="preserve"> Kalite Komisyonunda bir yıllık öğrenci üyeliği öngörür. İkisi de taslaktaki gündeme bağlı, oysuz PEK davetiyle aynı model değildir.</w:t>
            </w:r>
          </w:p>
        </w:tc>
        <w:tc>
          <w:tcPr>
            <w:tcW w:type="dxa" w:w="2608"/>
            <w:vAlign w:val="center"/>
            <w:shd w:fill="FFFFFF"/>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m.3 Kalite Komisyonunda bir yıllık öğrenci üyeliği öngörür. Taslakta sürekli PEK üyeliği yerine ilgili gündeme katılım vardır.</w:t>
            </w:r>
          </w:p>
        </w:tc>
      </w:tr>
      <w:tr>
        <w:trPr>
          <w:cantSplit/>
        </w:trPr>
        <w:tc>
          <w:tcPr>
            <w:tcW w:type="dxa" w:w="1361"/>
            <w:vAlign w:val="center"/>
            <w:shd w:fill="F7F7F7"/>
          </w:tcPr>
          <w:p>
            <w:pPr>
              <w:widowControl/>
              <w:spacing w:before="0" w:after="0" w:line="252" w:lineRule="auto"/>
              <w:jc w:val="center"/>
            </w:pPr>
            <w:r>
              <w:rPr>
                <w:sz w:val="18"/>
              </w:rPr>
              <w:t>Madde 8/2</w:t>
            </w:r>
          </w:p>
        </w:tc>
        <w:tc>
          <w:tcPr>
            <w:tcW w:type="dxa" w:w="2494"/>
            <w:vAlign w:val="center"/>
            <w:shd w:fill="F7F7F7"/>
          </w:tcPr>
          <w:p>
            <w:pPr>
              <w:widowControl/>
              <w:spacing w:before="0" w:after="0" w:line="252" w:lineRule="auto"/>
              <w:jc w:val="left"/>
            </w:pPr>
            <w:r>
              <w:rPr>
                <w:sz w:val="18"/>
              </w:rPr>
              <w:t>Mevcut listede öğrenci üyeliği yok. Öğrenci görüşüne başvurulmasının üyelik veya oy hakkı yaratıp yaratmadığı ayrıca yazılmamış.</w:t>
            </w:r>
          </w:p>
        </w:tc>
        <w:tc>
          <w:tcPr>
            <w:tcW w:type="dxa" w:w="5216"/>
            <w:vAlign w:val="center"/>
            <w:shd w:fill="F7F7F7"/>
          </w:tcPr>
          <w:p>
            <w:pPr>
              <w:widowControl/>
              <w:spacing w:before="0" w:after="0" w:line="252" w:lineRule="auto"/>
              <w:jc w:val="left"/>
            </w:pPr>
            <w:r>
              <w:rPr>
                <w:sz w:val="18"/>
              </w:rPr>
              <w:t>Bu madde kapsamındaki davet, sürekli öğrenci üyeliği veya düzenli danışman katılımcılığı oluşturmaz. Katılım ilgili gündemle sınırlıdır. Davetliler oy kullanmaz ve toplantı ve karar yeter sayılarının hesabına dahil edilmez.</w:t>
            </w:r>
          </w:p>
        </w:tc>
        <w:tc>
          <w:tcPr>
            <w:tcW w:type="dxa" w:w="2948"/>
            <w:vAlign w:val="center"/>
            <w:shd w:fill="F7F7F7"/>
          </w:tcPr>
          <w:p>
            <w:pPr>
              <w:widowControl/>
              <w:spacing w:before="0" w:after="0" w:line="252" w:lineRule="auto"/>
              <w:jc w:val="left"/>
            </w:pPr>
            <w:r>
              <w:rPr>
                <w:sz w:val="18"/>
              </w:rPr>
              <w:t>Gündeme özgü öğrenci katılımını sürekli üyelikten ayırır. Davet edilen öğrencilerin oy ve çoğunluk hesabındaki durumu açık olur.</w:t>
            </w:r>
          </w:p>
        </w:tc>
        <w:tc>
          <w:tcPr>
            <w:tcW w:type="dxa" w:w="2494"/>
            <w:vAlign w:val="center"/>
            <w:shd w:fill="F7F7F7"/>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bu fıkradaki gündeme bağlı davet modelini özel olarak düzenlemez. TEDÜ Kalite Komisyonundaki öğrenci üyeliği ile PEK’e davet farklı düzenlemelerdir.</w:t>
            </w:r>
          </w:p>
        </w:tc>
        <w:tc>
          <w:tcPr>
            <w:tcW w:type="dxa" w:w="2494"/>
            <w:vAlign w:val="center"/>
            <w:shd w:fill="F7F7F7"/>
          </w:tcPr>
          <w:p>
            <w:pPr>
              <w:widowControl/>
              <w:spacing w:before="0" w:after="0" w:line="252" w:lineRule="auto"/>
              <w:jc w:val="left"/>
            </w:pPr>
            <w:r>
              <w:rPr>
                <w:sz w:val="18"/>
              </w:rPr>
            </w:r>
            <w:hyperlink r:id="rId16">
              <w:r>
                <w:rPr>
                  <w:color w:val="285D6A"/>
                  <w:sz w:val="18"/>
                </w:rPr>
                <w:t>TEDÜ Kalite El Kitabı</w:t>
              </w:r>
            </w:hyperlink>
            <w:r>
              <w:rPr>
                <w:sz w:val="18"/>
              </w:rPr>
              <w:t xml:space="preserve"> 4.1.3 öğrenci geri bildirim kanallarını açıklar. </w:t>
            </w:r>
            <w:hyperlink r:id="rId18">
              <w:r>
                <w:rPr>
                  <w:color w:val="285D6A"/>
                  <w:sz w:val="18"/>
                </w:rPr>
                <w:t>TEDÜ Kalite Komisyonu Çalışma Yönergesi</w:t>
              </w:r>
            </w:hyperlink>
            <w:r>
              <w:rPr>
                <w:sz w:val="18"/>
              </w:rPr>
              <w:t xml:space="preserve"> m.5’teki sürekli öğrenci üyeliği ise PEK’e değil Kalite Komisyonuna aittir.</w:t>
            </w:r>
          </w:p>
        </w:tc>
        <w:tc>
          <w:tcPr>
            <w:tcW w:type="dxa" w:w="2608"/>
            <w:vAlign w:val="center"/>
            <w:shd w:fill="F7F7F7"/>
          </w:tcPr>
          <w:p>
            <w:pPr>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bölüm danışma kurulunda öğrenci temsilcisine yer verir. </w:t>
            </w:r>
            <w:hyperlink r:id="rId20">
              <w:r>
                <w:rPr>
                  <w:color w:val="285D6A"/>
                  <w:sz w:val="18"/>
                </w:rPr>
                <w:t>Bilkent Kalite Komisyonu Çalışma Usul ve Esasları</w:t>
              </w:r>
            </w:hyperlink>
            <w:r>
              <w:rPr>
                <w:sz w:val="18"/>
              </w:rPr>
              <w:t xml:space="preserve"> Kalite Komisyonunda bir yıllık öğrenci üyeliği öngörür. İkisi de taslaktaki gündeme bağlı, oysuz PEK davetiyle aynı model değildir.</w:t>
            </w:r>
          </w:p>
        </w:tc>
        <w:tc>
          <w:tcPr>
            <w:tcW w:type="dxa" w:w="2608"/>
            <w:vAlign w:val="center"/>
            <w:shd w:fill="F7F7F7"/>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m.3 Kalite Komisyonunda bir yıllık öğrenci üyeliği öngörür. Taslakta sürekli PEK üyeliği yerine ilgili gündeme katılım vardır.</w:t>
            </w:r>
          </w:p>
        </w:tc>
      </w:tr>
      <w:tr>
        <w:trPr>
          <w:cantSplit/>
        </w:trPr>
        <w:tc>
          <w:tcPr>
            <w:tcW w:type="dxa" w:w="1361"/>
            <w:vAlign w:val="center"/>
            <w:shd w:fill="FFFFFF"/>
          </w:tcPr>
          <w:p>
            <w:pPr>
              <w:widowControl/>
              <w:spacing w:before="0" w:after="0" w:line="252" w:lineRule="auto"/>
              <w:jc w:val="center"/>
            </w:pPr>
            <w:r>
              <w:rPr>
                <w:sz w:val="18"/>
              </w:rPr>
              <w:t>Madde 8/3</w:t>
            </w:r>
          </w:p>
        </w:tc>
        <w:tc>
          <w:tcPr>
            <w:tcW w:type="dxa" w:w="2494"/>
            <w:vAlign w:val="center"/>
            <w:shd w:fill="FFFFFF"/>
          </w:tcPr>
          <w:p>
            <w:pPr>
              <w:widowControl/>
              <w:spacing w:before="0" w:after="0" w:line="252" w:lineRule="auto"/>
              <w:jc w:val="left"/>
            </w:pPr>
            <w:r>
              <w:rPr>
                <w:sz w:val="18"/>
              </w:rPr>
              <w:t>Öğrenci geri bildirimleri kurumsal değerlendirmelerde kullanılıyor; PEK’te alınan görüşlerin tutanağa aktarılması ayrıca düzenlenmemiş.</w:t>
            </w:r>
          </w:p>
        </w:tc>
        <w:tc>
          <w:tcPr>
            <w:tcW w:type="dxa" w:w="5216"/>
            <w:vAlign w:val="center"/>
            <w:shd w:fill="FFFFFF"/>
          </w:tcPr>
          <w:p>
            <w:pPr>
              <w:widowControl/>
              <w:spacing w:before="0" w:after="0" w:line="252" w:lineRule="auto"/>
              <w:jc w:val="left"/>
            </w:pPr>
            <w:r>
              <w:rPr>
                <w:sz w:val="18"/>
              </w:rPr>
              <w:t>Toplantıda sunulan veya değerlendirmeye alınan yazılı öğrenci görüş ve önerileri tutanağa kaydedilir.</w:t>
            </w:r>
          </w:p>
        </w:tc>
        <w:tc>
          <w:tcPr>
            <w:tcW w:type="dxa" w:w="2948"/>
            <w:vAlign w:val="center"/>
            <w:shd w:fill="FFFFFF"/>
          </w:tcPr>
          <w:p>
            <w:pPr>
              <w:widowControl/>
              <w:spacing w:before="0" w:after="0" w:line="252" w:lineRule="auto"/>
              <w:jc w:val="left"/>
            </w:pPr>
            <w:r>
              <w:rPr>
                <w:sz w:val="18"/>
              </w:rPr>
              <w:t>Öğrenci görüşünün dinlenip unutulmasını önler; hangi önerilerin değerlendirmeye girdiği kayıttan izlenebilir.</w:t>
            </w:r>
          </w:p>
        </w:tc>
        <w:tc>
          <w:tcPr>
            <w:tcW w:type="dxa" w:w="2494"/>
            <w:vAlign w:val="center"/>
            <w:shd w:fill="FFFFFF"/>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bu fıkradaki gündeme bağlı davet modelini özel olarak düzenlemez. TEDÜ Kalite Komisyonundaki öğrenci üyeliği ile PEK’e davet farklı düzenlemelerdir.</w:t>
            </w:r>
          </w:p>
        </w:tc>
        <w:tc>
          <w:tcPr>
            <w:tcW w:type="dxa" w:w="2494"/>
            <w:vAlign w:val="center"/>
            <w:shd w:fill="FFFFFF"/>
          </w:tcPr>
          <w:p>
            <w:pPr>
              <w:widowControl/>
              <w:spacing w:before="0" w:after="0" w:line="252" w:lineRule="auto"/>
              <w:jc w:val="left"/>
            </w:pPr>
            <w:r>
              <w:rPr>
                <w:sz w:val="18"/>
              </w:rPr>
            </w:r>
            <w:hyperlink r:id="rId16">
              <w:r>
                <w:rPr>
                  <w:color w:val="285D6A"/>
                  <w:sz w:val="18"/>
                </w:rPr>
                <w:t>TEDÜ Kalite El Kitabı</w:t>
              </w:r>
            </w:hyperlink>
            <w:r>
              <w:rPr>
                <w:sz w:val="18"/>
              </w:rPr>
              <w:t xml:space="preserve"> 4.1.3 öğrenci geri bildirim kanallarını açıklar. </w:t>
            </w:r>
            <w:hyperlink r:id="rId18">
              <w:r>
                <w:rPr>
                  <w:color w:val="285D6A"/>
                  <w:sz w:val="18"/>
                </w:rPr>
                <w:t>TEDÜ Kalite Komisyonu Çalışma Yönergesi</w:t>
              </w:r>
            </w:hyperlink>
            <w:r>
              <w:rPr>
                <w:sz w:val="18"/>
              </w:rPr>
              <w:t xml:space="preserve"> m.5’teki sürekli öğrenci üyeliği ise PEK’e değil Kalite Komisyonuna aittir.</w:t>
            </w:r>
          </w:p>
        </w:tc>
        <w:tc>
          <w:tcPr>
            <w:tcW w:type="dxa" w:w="2608"/>
            <w:vAlign w:val="center"/>
            <w:shd w:fill="FFFFFF"/>
          </w:tcPr>
          <w:p>
            <w:pPr>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bölüm danışma kurulunda öğrenci temsilcisine yer verir. </w:t>
            </w:r>
            <w:hyperlink r:id="rId20">
              <w:r>
                <w:rPr>
                  <w:color w:val="285D6A"/>
                  <w:sz w:val="18"/>
                </w:rPr>
                <w:t>Bilkent Kalite Komisyonu Çalışma Usul ve Esasları</w:t>
              </w:r>
            </w:hyperlink>
            <w:r>
              <w:rPr>
                <w:sz w:val="18"/>
              </w:rPr>
              <w:t xml:space="preserve"> Kalite Komisyonunda bir yıllık öğrenci üyeliği öngörür. İkisi de taslaktaki gündeme bağlı, oysuz PEK davetiyle aynı model değildir.</w:t>
            </w:r>
          </w:p>
        </w:tc>
        <w:tc>
          <w:tcPr>
            <w:tcW w:type="dxa" w:w="2608"/>
            <w:vAlign w:val="center"/>
            <w:shd w:fill="FFFFFF"/>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m.3 Kalite Komisyonunda bir yıllık öğrenci üyeliği öngörür. Taslakta sürekli PEK üyeliği yerine ilgili gündeme katılım vardır.</w:t>
            </w:r>
          </w:p>
        </w:tc>
      </w:tr>
      <w:tr>
        <w:trPr>
          <w:cantSplit/>
        </w:trPr>
        <w:tc>
          <w:tcPr>
            <w:tcW w:type="dxa" w:w="1361"/>
            <w:vAlign w:val="center"/>
            <w:shd w:fill="F7F7F7"/>
          </w:tcPr>
          <w:p>
            <w:pPr>
              <w:widowControl/>
              <w:spacing w:before="0" w:after="0" w:line="252" w:lineRule="auto"/>
              <w:jc w:val="center"/>
            </w:pPr>
            <w:r>
              <w:rPr>
                <w:sz w:val="18"/>
              </w:rPr>
              <w:t>Madde 9/1</w:t>
            </w:r>
          </w:p>
        </w:tc>
        <w:tc>
          <w:tcPr>
            <w:tcW w:type="dxa" w:w="2494"/>
            <w:vAlign w:val="center"/>
            <w:shd w:fill="F7F7F7"/>
          </w:tcPr>
          <w:p>
            <w:pPr>
              <w:widowControl/>
              <w:spacing w:before="0" w:after="0" w:line="252" w:lineRule="auto"/>
              <w:jc w:val="left"/>
            </w:pPr>
            <w:r>
              <w:rPr>
                <w:sz w:val="18"/>
              </w:rPr>
              <w:t>Öğretme ve Öğrenme Merkezi ile öğrenci işlerinden sorumlu birimlerin görevleri el kitabında var; PEK listesinde bu birimler için ayrı birer üyelik yok.</w:t>
            </w:r>
          </w:p>
        </w:tc>
        <w:tc>
          <w:tcPr>
            <w:tcW w:type="dxa" w:w="5216"/>
            <w:vAlign w:val="center"/>
            <w:shd w:fill="F7F7F7"/>
          </w:tcPr>
          <w:p>
            <w:pPr>
              <w:widowControl/>
              <w:spacing w:before="0" w:after="0" w:line="252" w:lineRule="auto"/>
              <w:jc w:val="left"/>
            </w:pPr>
            <w:r>
              <w:rPr>
                <w:sz w:val="18"/>
              </w:rPr>
              <w:t>Başkan, ilgili gündem için Öğretme ve Öğrenme Merkezi, Öğrenci İşleri Müdürlüğü, gerektiğinde Öğrenci İşleri Koordinatörlüğü ve diğer ilgili birim veya konu uzmanlarını görüş vermek üzere toplantıya davet eder.</w:t>
            </w:r>
          </w:p>
        </w:tc>
        <w:tc>
          <w:tcPr>
            <w:tcW w:type="dxa" w:w="2948"/>
            <w:vAlign w:val="center"/>
            <w:shd w:fill="F7F7F7"/>
          </w:tcPr>
          <w:p>
            <w:pPr>
              <w:widowControl/>
              <w:spacing w:before="0" w:after="0" w:line="252" w:lineRule="auto"/>
              <w:jc w:val="left"/>
            </w:pPr>
            <w:r>
              <w:rPr>
                <w:sz w:val="18"/>
              </w:rPr>
              <w:t>Gündemin gerektirdiği öğretim, öğrenci kaydı veya teknik uzmanlığın toplantıya çağrılmasını sağlar.</w:t>
            </w:r>
          </w:p>
        </w:tc>
        <w:tc>
          <w:tcPr>
            <w:tcW w:type="dxa" w:w="2494"/>
            <w:vAlign w:val="center"/>
            <w:shd w:fill="F7F7F7"/>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7F7F7"/>
          </w:tcPr>
          <w:p>
            <w:pPr>
              <w:widowControl/>
              <w:spacing w:before="0" w:after="0" w:line="252" w:lineRule="auto"/>
              <w:jc w:val="left"/>
            </w:pPr>
            <w:r>
              <w:rPr>
                <w:sz w:val="18"/>
              </w:rPr>
            </w:r>
            <w:hyperlink r:id="rId15">
              <w:r>
                <w:rPr>
                  <w:color w:val="285D6A"/>
                  <w:sz w:val="18"/>
                </w:rPr>
                <w:t>TEDÜ Çalışan El Kitabı</w:t>
              </w:r>
            </w:hyperlink>
            <w:r>
              <w:rPr>
                <w:sz w:val="18"/>
              </w:rPr>
              <w:t xml:space="preserve"> PDF s.25–28 Ofis, Öğretme ve Öğrenme Merkezi, Öğrenci İşleri Müdürlüğü ve Öğrenci İşleri Koordinatörlüğünün farklı görevlerini açıklar.</w:t>
            </w:r>
          </w:p>
        </w:tc>
        <w:tc>
          <w:tcPr>
            <w:tcW w:type="dxa" w:w="2608"/>
            <w:vAlign w:val="center"/>
            <w:shd w:fill="F7F7F7"/>
          </w:tcPr>
          <w:p>
            <w:pPr>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ortak dersler ve müfredat geliştirmede ilgili bölümlerle çalışmayı öngörür. </w:t>
            </w:r>
            <w:hyperlink r:id="rId20">
              <w:r>
                <w:rPr>
                  <w:color w:val="285D6A"/>
                  <w:sz w:val="18"/>
                </w:rPr>
                <w:t>Bilkent Kalite Komisyonu Çalışma Usul ve Esasları</w:t>
              </w:r>
            </w:hyperlink>
            <w:r>
              <w:rPr>
                <w:sz w:val="18"/>
              </w:rPr>
              <w:t xml:space="preserve"> içindeki süreç temsilciliği ise taslaktaki oysuz uzman davetiyle aynı statü değildir.</w:t>
            </w:r>
          </w:p>
        </w:tc>
        <w:tc>
          <w:tcPr>
            <w:tcW w:type="dxa" w:w="2608"/>
            <w:vAlign w:val="center"/>
            <w:shd w:fill="F7F7F7"/>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idari üyeler ve destek birimleri öngörür. Bu, gerektiğinde uzman davetinden daha sürekli bir yapıdır.</w:t>
            </w:r>
          </w:p>
        </w:tc>
      </w:tr>
      <w:tr>
        <w:trPr>
          <w:cantSplit/>
        </w:trPr>
        <w:tc>
          <w:tcPr>
            <w:tcW w:type="dxa" w:w="1361"/>
            <w:vAlign w:val="center"/>
            <w:shd w:fill="FFFFFF"/>
          </w:tcPr>
          <w:p>
            <w:pPr>
              <w:widowControl/>
              <w:spacing w:before="0" w:after="0" w:line="252" w:lineRule="auto"/>
              <w:jc w:val="center"/>
            </w:pPr>
            <w:r>
              <w:rPr>
                <w:sz w:val="18"/>
              </w:rPr>
              <w:t>Madde 9/2</w:t>
            </w:r>
          </w:p>
        </w:tc>
        <w:tc>
          <w:tcPr>
            <w:tcW w:type="dxa" w:w="2494"/>
            <w:vAlign w:val="center"/>
            <w:shd w:fill="FFFFFF"/>
          </w:tcPr>
          <w:p>
            <w:pPr>
              <w:widowControl/>
              <w:spacing w:before="0" w:after="0" w:line="252" w:lineRule="auto"/>
              <w:jc w:val="left"/>
            </w:pPr>
            <w:r>
              <w:rPr>
                <w:sz w:val="18"/>
              </w:rPr>
              <w:t>İlgili birimlerin görüşüne başvurulması ile komisyona üye olması mevcut belgelerde aynı şey olarak düzenlenmiyor.</w:t>
            </w:r>
          </w:p>
        </w:tc>
        <w:tc>
          <w:tcPr>
            <w:tcW w:type="dxa" w:w="5216"/>
            <w:vAlign w:val="center"/>
            <w:shd w:fill="FFFFFF"/>
          </w:tcPr>
          <w:p>
            <w:pPr>
              <w:widowControl/>
              <w:spacing w:before="0" w:after="0" w:line="252" w:lineRule="auto"/>
              <w:jc w:val="left"/>
            </w:pPr>
            <w:r>
              <w:rPr>
                <w:sz w:val="18"/>
              </w:rPr>
              <w:t>Bu madde kapsamında davet edilenler Komisyon üyesi sayılmaz; oy kullanmaz ve toplantı ve karar yeter sayılarının hesabına dahil edilmez. Davet, ilgili gündemle sınırlıdır.</w:t>
            </w:r>
          </w:p>
        </w:tc>
        <w:tc>
          <w:tcPr>
            <w:tcW w:type="dxa" w:w="2948"/>
            <w:vAlign w:val="center"/>
            <w:shd w:fill="FFFFFF"/>
          </w:tcPr>
          <w:p>
            <w:pPr>
              <w:widowControl/>
              <w:spacing w:before="0" w:after="0" w:line="252" w:lineRule="auto"/>
              <w:jc w:val="left"/>
            </w:pPr>
            <w:r>
              <w:rPr>
                <w:sz w:val="18"/>
              </w:rPr>
              <w:t>Görüş vermek için davet edilen kişinin oy hakkı edinmesini veya toplantı çoğunluğunu değiştirmesini önler.</w:t>
            </w:r>
          </w:p>
        </w:tc>
        <w:tc>
          <w:tcPr>
            <w:tcW w:type="dxa" w:w="2494"/>
            <w:vAlign w:val="center"/>
            <w:shd w:fill="FFFFFF"/>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FFFFF"/>
          </w:tcPr>
          <w:p>
            <w:pPr>
              <w:widowControl/>
              <w:spacing w:before="0" w:after="0" w:line="252" w:lineRule="auto"/>
              <w:jc w:val="left"/>
            </w:pPr>
            <w:r>
              <w:rPr>
                <w:sz w:val="18"/>
              </w:rPr>
            </w:r>
            <w:hyperlink r:id="rId15">
              <w:r>
                <w:rPr>
                  <w:color w:val="285D6A"/>
                  <w:sz w:val="18"/>
                </w:rPr>
                <w:t>TEDÜ Çalışan El Kitabı</w:t>
              </w:r>
            </w:hyperlink>
            <w:r>
              <w:rPr>
                <w:sz w:val="18"/>
              </w:rPr>
              <w:t xml:space="preserve"> PDF s.25–28 Ofis, Öğretme ve Öğrenme Merkezi, Öğrenci İşleri Müdürlüğü ve Öğrenci İşleri Koordinatörlüğünün farklı görevlerini açıklar.</w:t>
            </w:r>
          </w:p>
        </w:tc>
        <w:tc>
          <w:tcPr>
            <w:tcW w:type="dxa" w:w="2608"/>
            <w:vAlign w:val="center"/>
            <w:shd w:fill="FFFFFF"/>
          </w:tcPr>
          <w:p>
            <w:pPr>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ortak dersler ve müfredat geliştirmede ilgili bölümlerle çalışmayı öngörür. </w:t>
            </w:r>
            <w:hyperlink r:id="rId20">
              <w:r>
                <w:rPr>
                  <w:color w:val="285D6A"/>
                  <w:sz w:val="18"/>
                </w:rPr>
                <w:t>Bilkent Kalite Komisyonu Çalışma Usul ve Esasları</w:t>
              </w:r>
            </w:hyperlink>
            <w:r>
              <w:rPr>
                <w:sz w:val="18"/>
              </w:rPr>
              <w:t xml:space="preserve"> içindeki süreç temsilciliği ise taslaktaki oysuz uzman davetiyle aynı statü değildir.</w:t>
            </w:r>
          </w:p>
        </w:tc>
        <w:tc>
          <w:tcPr>
            <w:tcW w:type="dxa" w:w="2608"/>
            <w:vAlign w:val="center"/>
            <w:shd w:fill="FFFFFF"/>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idari üyeler ve destek birimleri öngörür. Bu, gerektiğinde uzman davetinden daha sürekli bir yapıdır.</w:t>
            </w:r>
          </w:p>
        </w:tc>
      </w:tr>
      <w:tr>
        <w:trPr>
          <w:cantSplit/>
        </w:trPr>
        <w:tc>
          <w:tcPr>
            <w:tcW w:type="dxa" w:w="1361"/>
            <w:vAlign w:val="center"/>
            <w:shd w:fill="F7F7F7"/>
          </w:tcPr>
          <w:p>
            <w:pPr>
              <w:widowControl/>
              <w:spacing w:before="0" w:after="0" w:line="252" w:lineRule="auto"/>
              <w:jc w:val="center"/>
            </w:pPr>
            <w:r>
              <w:rPr>
                <w:sz w:val="18"/>
              </w:rPr>
              <w:t>Madde 9/3</w:t>
            </w:r>
          </w:p>
        </w:tc>
        <w:tc>
          <w:tcPr>
            <w:tcW w:type="dxa" w:w="2494"/>
            <w:vAlign w:val="center"/>
            <w:shd w:fill="F7F7F7"/>
          </w:tcPr>
          <w:p>
            <w:pPr>
              <w:widowControl/>
              <w:spacing w:before="0" w:after="0" w:line="252" w:lineRule="auto"/>
              <w:jc w:val="left"/>
            </w:pPr>
            <w:r>
              <w:rPr>
                <w:sz w:val="18"/>
              </w:rPr>
              <w:t>Birimler arası görüş alışverişi mevcut süreçlerde var; PEK tutanağına nasıl yansıyacağı ayrıca açıklanmamış.</w:t>
            </w:r>
          </w:p>
        </w:tc>
        <w:tc>
          <w:tcPr>
            <w:tcW w:type="dxa" w:w="5216"/>
            <w:vAlign w:val="center"/>
            <w:shd w:fill="F7F7F7"/>
          </w:tcPr>
          <w:p>
            <w:pPr>
              <w:widowControl/>
              <w:spacing w:before="0" w:after="0" w:line="252" w:lineRule="auto"/>
              <w:jc w:val="left"/>
            </w:pPr>
            <w:r>
              <w:rPr>
                <w:sz w:val="18"/>
              </w:rPr>
              <w:t>Davetlilerin görüşleri tutanağa kaydedilir. Başkan, ilgili gündem hakkında yazılı görüş de isteyebilir.</w:t>
            </w:r>
          </w:p>
        </w:tc>
        <w:tc>
          <w:tcPr>
            <w:tcW w:type="dxa" w:w="2948"/>
            <w:vAlign w:val="center"/>
            <w:shd w:fill="F7F7F7"/>
          </w:tcPr>
          <w:p>
            <w:pPr>
              <w:widowControl/>
              <w:spacing w:before="0" w:after="0" w:line="252" w:lineRule="auto"/>
              <w:jc w:val="left"/>
            </w:pPr>
            <w:r>
              <w:rPr>
                <w:sz w:val="18"/>
              </w:rPr>
              <w:t>Uzman görüşünün kayda alınmasını sağlar ve toplantıya katılım yerine yazılı görüş istenebilmesine imkân verir.</w:t>
            </w:r>
          </w:p>
        </w:tc>
        <w:tc>
          <w:tcPr>
            <w:tcW w:type="dxa" w:w="2494"/>
            <w:vAlign w:val="center"/>
            <w:shd w:fill="F7F7F7"/>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7F7F7"/>
          </w:tcPr>
          <w:p>
            <w:pPr>
              <w:widowControl/>
              <w:spacing w:before="0" w:after="0" w:line="252" w:lineRule="auto"/>
              <w:jc w:val="left"/>
            </w:pPr>
            <w:r>
              <w:rPr>
                <w:sz w:val="18"/>
              </w:rPr>
            </w:r>
            <w:hyperlink r:id="rId15">
              <w:r>
                <w:rPr>
                  <w:color w:val="285D6A"/>
                  <w:sz w:val="18"/>
                </w:rPr>
                <w:t>TEDÜ Çalışan El Kitabı</w:t>
              </w:r>
            </w:hyperlink>
            <w:r>
              <w:rPr>
                <w:sz w:val="18"/>
              </w:rPr>
              <w:t xml:space="preserve"> PDF s.25–28 Ofis, Öğretme ve Öğrenme Merkezi, Öğrenci İşleri Müdürlüğü ve Öğrenci İşleri Koordinatörlüğünün farklı görevlerini açıklar.</w:t>
            </w:r>
          </w:p>
        </w:tc>
        <w:tc>
          <w:tcPr>
            <w:tcW w:type="dxa" w:w="2608"/>
            <w:vAlign w:val="center"/>
            <w:shd w:fill="F7F7F7"/>
          </w:tcPr>
          <w:p>
            <w:pPr>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ortak dersler ve müfredat geliştirmede ilgili bölümlerle çalışmayı öngörür. </w:t>
            </w:r>
            <w:hyperlink r:id="rId20">
              <w:r>
                <w:rPr>
                  <w:color w:val="285D6A"/>
                  <w:sz w:val="18"/>
                </w:rPr>
                <w:t>Bilkent Kalite Komisyonu Çalışma Usul ve Esasları</w:t>
              </w:r>
            </w:hyperlink>
            <w:r>
              <w:rPr>
                <w:sz w:val="18"/>
              </w:rPr>
              <w:t xml:space="preserve"> içindeki süreç temsilciliği ise taslaktaki oysuz uzman davetiyle aynı statü değildir.</w:t>
            </w:r>
          </w:p>
        </w:tc>
        <w:tc>
          <w:tcPr>
            <w:tcW w:type="dxa" w:w="2608"/>
            <w:vAlign w:val="center"/>
            <w:shd w:fill="F7F7F7"/>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idari üyeler ve destek birimleri öngörür. Bu, gerektiğinde uzman davetinden daha sürekli bir yapıdır.</w:t>
            </w:r>
          </w:p>
        </w:tc>
      </w:tr>
      <w:tr>
        <w:trPr>
          <w:cantSplit/>
        </w:trPr>
        <w:tc>
          <w:tcPr>
            <w:tcW w:type="dxa" w:w="1361"/>
            <w:vAlign w:val="center"/>
            <w:shd w:fill="FFFFFF"/>
          </w:tcPr>
          <w:p>
            <w:pPr>
              <w:widowControl/>
              <w:spacing w:before="0" w:after="0" w:line="252" w:lineRule="auto"/>
              <w:jc w:val="center"/>
            </w:pPr>
            <w:r>
              <w:rPr>
                <w:sz w:val="18"/>
              </w:rPr>
              <w:t>Madde 9/4</w:t>
            </w:r>
          </w:p>
        </w:tc>
        <w:tc>
          <w:tcPr>
            <w:tcW w:type="dxa" w:w="2494"/>
            <w:vAlign w:val="center"/>
            <w:shd w:fill="FFFFFF"/>
          </w:tcPr>
          <w:p>
            <w:pPr>
              <w:widowControl/>
              <w:spacing w:before="0" w:after="0" w:line="252" w:lineRule="auto"/>
              <w:jc w:val="left"/>
            </w:pPr>
            <w:r>
              <w:rPr>
                <w:sz w:val="18"/>
              </w:rPr>
              <w:t>Temsilci üyelikleri ile gerektiğinde katılan uzmanların durumu ayrı bir süre kuralında açıklanmamış.</w:t>
            </w:r>
          </w:p>
        </w:tc>
        <w:tc>
          <w:tcPr>
            <w:tcW w:type="dxa" w:w="5216"/>
            <w:vAlign w:val="center"/>
            <w:shd w:fill="FFFFFF"/>
          </w:tcPr>
          <w:p>
            <w:pPr>
              <w:widowControl/>
              <w:spacing w:before="0" w:after="0" w:line="252" w:lineRule="auto"/>
              <w:jc w:val="left"/>
            </w:pPr>
            <w:r>
              <w:rPr>
                <w:sz w:val="18"/>
              </w:rPr>
              <w:t>Fakülte ve Enstitü temsilcileri için belirlenen iki yıllık görev süresi, bu madde kapsamında davet edilenlere uygulanmaz.</w:t>
            </w:r>
          </w:p>
        </w:tc>
        <w:tc>
          <w:tcPr>
            <w:tcW w:type="dxa" w:w="2948"/>
            <w:vAlign w:val="center"/>
            <w:shd w:fill="FFFFFF"/>
          </w:tcPr>
          <w:p>
            <w:pPr>
              <w:widowControl/>
              <w:spacing w:before="0" w:after="0" w:line="252" w:lineRule="auto"/>
              <w:jc w:val="left"/>
            </w:pPr>
            <w:r>
              <w:rPr>
                <w:sz w:val="18"/>
              </w:rPr>
              <w:t>İki yıllık temsilcilik süresinin, bir gündem için davet edilen kişilere uygulanmasını önler.</w:t>
            </w:r>
          </w:p>
        </w:tc>
        <w:tc>
          <w:tcPr>
            <w:tcW w:type="dxa" w:w="2494"/>
            <w:vAlign w:val="center"/>
            <w:shd w:fill="FFFFFF"/>
          </w:tcPr>
          <w:p>
            <w:pPr>
              <w:widowControl/>
              <w:spacing w:before="0" w:after="0" w:line="252" w:lineRule="auto"/>
              <w:jc w:val="left"/>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FFFFF"/>
          </w:tcPr>
          <w:p>
            <w:pPr>
              <w:widowControl/>
              <w:spacing w:before="0" w:after="0" w:line="252" w:lineRule="auto"/>
              <w:jc w:val="left"/>
            </w:pPr>
            <w:r>
              <w:rPr>
                <w:sz w:val="18"/>
              </w:rPr>
            </w:r>
            <w:hyperlink r:id="rId15">
              <w:r>
                <w:rPr>
                  <w:color w:val="285D6A"/>
                  <w:sz w:val="18"/>
                </w:rPr>
                <w:t>TEDÜ Çalışan El Kitabı</w:t>
              </w:r>
            </w:hyperlink>
            <w:r>
              <w:rPr>
                <w:sz w:val="18"/>
              </w:rPr>
              <w:t xml:space="preserve"> PDF s.25–28 Ofis, Öğretme ve Öğrenme Merkezi, Öğrenci İşleri Müdürlüğü ve Öğrenci İşleri Koordinatörlüğünün farklı görevlerini açıklar.</w:t>
            </w:r>
          </w:p>
        </w:tc>
        <w:tc>
          <w:tcPr>
            <w:tcW w:type="dxa" w:w="2608"/>
            <w:vAlign w:val="center"/>
            <w:shd w:fill="FFFFFF"/>
          </w:tcPr>
          <w:p>
            <w:pPr>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ortak dersler ve müfredat geliştirmede ilgili bölümlerle çalışmayı öngörür. </w:t>
            </w:r>
            <w:hyperlink r:id="rId20">
              <w:r>
                <w:rPr>
                  <w:color w:val="285D6A"/>
                  <w:sz w:val="18"/>
                </w:rPr>
                <w:t>Bilkent Kalite Komisyonu Çalışma Usul ve Esasları</w:t>
              </w:r>
            </w:hyperlink>
            <w:r>
              <w:rPr>
                <w:sz w:val="18"/>
              </w:rPr>
              <w:t xml:space="preserve"> içindeki süreç temsilciliği ise taslaktaki oysuz uzman davetiyle aynı statü değildir.</w:t>
            </w:r>
          </w:p>
        </w:tc>
        <w:tc>
          <w:tcPr>
            <w:tcW w:type="dxa" w:w="2608"/>
            <w:vAlign w:val="center"/>
            <w:shd w:fill="FFFFFF"/>
          </w:tcPr>
          <w:p>
            <w:pPr>
              <w:widowControl/>
              <w:spacing w:before="0" w:after="0" w:line="252" w:lineRule="auto"/>
              <w:jc w:val="left"/>
            </w:pPr>
            <w:r>
              <w:rPr>
                <w:sz w:val="18"/>
              </w:rPr>
            </w:r>
            <w:hyperlink r:id="rId24">
              <w:r>
                <w:rPr>
                  <w:color w:val="285D6A"/>
                  <w:sz w:val="18"/>
                </w:rPr>
                <w:t>ODTÜ Kalite Komisyonu Yönergesi</w:t>
              </w:r>
            </w:hyperlink>
            <w:r>
              <w:rPr>
                <w:sz w:val="18"/>
              </w:rPr>
              <w:t xml:space="preserve"> idari üyeler ve destek birimleri öngörür. Bu, gerektiğinde uzman davetinden daha sürekli bir yapıdır.</w:t>
            </w:r>
          </w:p>
        </w:tc>
      </w:tr>
      <w:tr>
        <w:trPr>
          <w:cantSplit/>
        </w:trPr>
        <w:tc>
          <w:tcPr>
            <w:tcW w:type="dxa" w:w="1361"/>
            <w:vAlign w:val="center"/>
            <w:shd w:fill="F7F7F7"/>
          </w:tcPr>
          <w:p>
            <w:pPr>
              <w:keepNext w:val="0"/>
              <w:widowControl/>
              <w:spacing w:before="0" w:after="0" w:line="252" w:lineRule="auto"/>
              <w:jc w:val="center"/>
            </w:pPr>
            <w:r>
              <w:rPr>
                <w:sz w:val="18"/>
              </w:rPr>
              <w:t>Madde 10/1</w:t>
            </w:r>
          </w:p>
        </w:tc>
        <w:tc>
          <w:tcPr>
            <w:tcW w:type="dxa" w:w="2494"/>
            <w:vAlign w:val="center"/>
            <w:shd w:fill="F7F7F7"/>
          </w:tcPr>
          <w:p>
            <w:pPr>
              <w:keepNext w:val="0"/>
              <w:widowControl/>
              <w:spacing w:before="0" w:after="0" w:line="252" w:lineRule="auto"/>
              <w:jc w:val="left"/>
            </w:pPr>
            <w:r>
              <w:rPr>
                <w:sz w:val="18"/>
              </w:rPr>
              <w:t>PEK’in ihtiyaç üzerine toplanan mevcut yapısı komisyon listesi ve süreç anlatımlarından görülüyor; bu çalışmada sabit toplantı sayısı belirlenmedi.</w:t>
            </w:r>
          </w:p>
        </w:tc>
        <w:tc>
          <w:tcPr>
            <w:tcW w:type="dxa" w:w="5216"/>
            <w:vAlign w:val="center"/>
            <w:shd w:fill="F7F7F7"/>
          </w:tcPr>
          <w:p>
            <w:pPr>
              <w:keepNext w:val="0"/>
              <w:widowControl/>
              <w:spacing w:before="0" w:after="0" w:line="252" w:lineRule="auto"/>
              <w:jc w:val="left"/>
            </w:pPr>
            <w:r>
              <w:rPr>
                <w:sz w:val="18"/>
              </w:rPr>
              <w:t>Komisyon, eğitimden sorumlu Rektör Yardımcısının gerekli gördüğü hâllerde yapacağı çağrı üzerine toplanır.</w:t>
            </w:r>
          </w:p>
        </w:tc>
        <w:tc>
          <w:tcPr>
            <w:tcW w:type="dxa" w:w="2948"/>
            <w:vAlign w:val="center"/>
            <w:shd w:fill="F7F7F7"/>
          </w:tcPr>
          <w:p>
            <w:pPr>
              <w:keepNext w:val="0"/>
              <w:widowControl/>
              <w:spacing w:before="0" w:after="0" w:line="252" w:lineRule="auto"/>
              <w:jc w:val="left"/>
            </w:pPr>
            <w:r>
              <w:rPr>
                <w:sz w:val="18"/>
              </w:rPr>
              <w:t>Komisyonu ihtiyaç doğduğunda başkanın çağırmasını sağlar. Takvim yılı veya dönem başına asgari toplantı zorunluluğu koymaz.</w:t>
            </w:r>
          </w:p>
        </w:tc>
        <w:tc>
          <w:tcPr>
            <w:tcW w:type="dxa" w:w="2494"/>
            <w:vAlign w:val="center"/>
            <w:shd w:fill="F7F7F7"/>
          </w:tcPr>
          <w:p>
            <w:pPr>
              <w:keepNext w:val="0"/>
              <w:widowControl/>
              <w:spacing w:before="0" w:after="0" w:line="252" w:lineRule="auto"/>
              <w:jc w:val="left"/>
            </w:pPr>
            <w:r>
              <w:rPr>
                <w:sz w:val="18"/>
              </w:rPr>
            </w:r>
            <w:hyperlink r:id="rId10">
              <w:r>
                <w:rPr>
                  <w:color w:val="285D6A"/>
                  <w:sz w:val="18"/>
                </w:rPr>
                <w:t>2547 sayılı Yükseköğretim Kanunu</w:t>
              </w:r>
            </w:hyperlink>
            <w:r>
              <w:rPr>
                <w:sz w:val="18"/>
              </w:rPr>
              <w:t xml:space="preserve"> m.14’teki Senato toplantı sıklığı PEK’e otomatik uygulanmaz. Bu fıkra PEK’in toplantıya çağrılma usulünü düzenler.</w:t>
            </w:r>
          </w:p>
        </w:tc>
        <w:tc>
          <w:tcPr>
            <w:tcW w:type="dxa" w:w="2494"/>
            <w:vAlign w:val="center"/>
            <w:shd w:fill="F7F7F7"/>
          </w:tcPr>
          <w:p>
            <w:pPr>
              <w:keepNext w:val="0"/>
              <w:widowControl/>
              <w:spacing w:before="0" w:after="0" w:line="252" w:lineRule="auto"/>
              <w:jc w:val="left"/>
            </w:pPr>
            <w:r>
              <w:rPr>
                <w:sz w:val="18"/>
              </w:rPr>
            </w:r>
            <w:hyperlink r:id="rId14">
              <w:r>
                <w:rPr>
                  <w:color w:val="285D6A"/>
                  <w:sz w:val="18"/>
                </w:rPr>
                <w:t>TEDÜ Komisyonlar listesi, 24.09.2026</w:t>
              </w:r>
            </w:hyperlink>
            <w:r>
              <w:rPr>
                <w:sz w:val="18"/>
              </w:rPr>
              <w:t xml:space="preserve"> PDF s.12 PEK başkanını gösterir. </w:t>
            </w:r>
            <w:hyperlink r:id="rId18">
              <w:r>
                <w:rPr>
                  <w:color w:val="285D6A"/>
                  <w:sz w:val="18"/>
                </w:rPr>
                <w:t>TEDÜ Kalite Komisyonu Çalışma Yönergesi</w:t>
              </w:r>
            </w:hyperlink>
            <w:r>
              <w:rPr>
                <w:sz w:val="18"/>
              </w:rPr>
              <w:t xml:space="preserve"> m.7 başka bir komisyon için yılda en az iki toplantı öngörür; bu sayı PEK’e alınmamıştır.</w:t>
            </w:r>
          </w:p>
        </w:tc>
        <w:tc>
          <w:tcPr>
            <w:tcW w:type="dxa" w:w="2608"/>
            <w:vAlign w:val="center"/>
            <w:shd w:fill="F7F7F7"/>
          </w:tcPr>
          <w:p>
            <w:pPr>
              <w:keepNext w:val="0"/>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m.6 Kalite Komisyonunda yılda en az iki toplantı ister. Taslak PEK için sabit sayı öngörmediğinden bu noktada farklıdır.</w:t>
            </w:r>
          </w:p>
        </w:tc>
        <w:tc>
          <w:tcPr>
            <w:tcW w:type="dxa" w:w="2608"/>
            <w:vAlign w:val="center"/>
            <w:shd w:fill="F7F7F7"/>
          </w:tcPr>
          <w:p>
            <w:pPr>
              <w:keepNext w:val="0"/>
              <w:widowControl/>
              <w:spacing w:before="0" w:after="0" w:line="252" w:lineRule="auto"/>
              <w:jc w:val="left"/>
            </w:pPr>
            <w:r>
              <w:rPr>
                <w:sz w:val="18"/>
              </w:rPr>
            </w:r>
            <w:hyperlink r:id="rId24">
              <w:r>
                <w:rPr>
                  <w:color w:val="285D6A"/>
                  <w:sz w:val="18"/>
                </w:rPr>
                <w:t>ODTÜ Kalite Komisyonu Yönergesi</w:t>
              </w:r>
            </w:hyperlink>
            <w:r>
              <w:rPr>
                <w:sz w:val="18"/>
              </w:rPr>
              <w:t xml:space="preserve"> m.5 başkanın çağrısını veya üyelerin salt çoğunluğunun yazılı isteğini öngörür. Taslakta çağrı ilgili Rektör Yardımcısındadır.</w:t>
            </w:r>
          </w:p>
        </w:tc>
      </w:tr>
      <w:tr>
        <w:trPr>
          <w:cantSplit/>
        </w:trPr>
        <w:tc>
          <w:tcPr>
            <w:tcW w:type="dxa" w:w="1361"/>
            <w:vAlign w:val="center"/>
            <w:shd w:fill="FFFFFF"/>
          </w:tcPr>
          <w:p>
            <w:pPr>
              <w:keepNext w:val="0"/>
              <w:widowControl/>
              <w:spacing w:before="0" w:after="0" w:line="252" w:lineRule="auto"/>
              <w:jc w:val="center"/>
            </w:pPr>
            <w:r>
              <w:rPr>
                <w:sz w:val="18"/>
              </w:rPr>
              <w:t>Madde 11/1</w:t>
            </w:r>
          </w:p>
        </w:tc>
        <w:tc>
          <w:tcPr>
            <w:tcW w:type="dxa" w:w="2494"/>
            <w:vAlign w:val="center"/>
            <w:shd w:fill="FFFFFF"/>
          </w:tcPr>
          <w:p>
            <w:pPr>
              <w:keepNext w:val="0"/>
              <w:widowControl/>
              <w:spacing w:before="0" w:after="0" w:line="252" w:lineRule="auto"/>
              <w:jc w:val="left"/>
            </w:pPr>
            <w:r>
              <w:rPr>
                <w:sz w:val="18"/>
              </w:rPr>
              <w:t>PEK’in gündem hazırlama ve üye önerilerini alma usulü incelenen kamuya açık belgelerde ayrıntılı biçimde açıklanmıyor.</w:t>
            </w:r>
          </w:p>
        </w:tc>
        <w:tc>
          <w:tcPr>
            <w:tcW w:type="dxa" w:w="5216"/>
            <w:vAlign w:val="center"/>
            <w:shd w:fill="FFFFFF"/>
          </w:tcPr>
          <w:p>
            <w:pPr>
              <w:keepNext w:val="0"/>
              <w:widowControl/>
              <w:spacing w:before="0" w:after="0" w:line="252" w:lineRule="auto"/>
              <w:jc w:val="left"/>
            </w:pPr>
            <w:r>
              <w:rPr>
                <w:sz w:val="18"/>
              </w:rPr>
              <w:t>Toplantı gündemi Başkan tarafından belirlenir. Üyeler, gündeme alınmasını istedikleri konuları sekretarya aracılığıyla Başkana iletebilir.</w:t>
            </w:r>
          </w:p>
        </w:tc>
        <w:tc>
          <w:tcPr>
            <w:tcW w:type="dxa" w:w="2948"/>
            <w:vAlign w:val="center"/>
            <w:shd w:fill="FFFFFF"/>
          </w:tcPr>
          <w:p>
            <w:pPr>
              <w:keepNext w:val="0"/>
              <w:widowControl/>
              <w:spacing w:before="0" w:after="0" w:line="252" w:lineRule="auto"/>
              <w:jc w:val="left"/>
            </w:pPr>
            <w:r>
              <w:rPr>
                <w:sz w:val="18"/>
              </w:rPr>
              <w:t>Gündemi belirleme sorumlusunu gösterir; üyelerin de sekretarya üzerinden konu önerebilmesini sağlar.</w:t>
            </w:r>
          </w:p>
        </w:tc>
        <w:tc>
          <w:tcPr>
            <w:tcW w:type="dxa" w:w="2494"/>
            <w:vAlign w:val="center"/>
            <w:shd w:fill="FFFFFF"/>
          </w:tcPr>
          <w:p>
            <w:pPr>
              <w:keepNext w:val="0"/>
              <w:widowControl/>
              <w:spacing w:before="0" w:after="0" w:line="252" w:lineRule="auto"/>
              <w:jc w:val="left"/>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FFFFF"/>
          </w:tcPr>
          <w:p>
            <w:pPr>
              <w:keepNext w:val="0"/>
              <w:widowControl/>
              <w:spacing w:before="0" w:after="0" w:line="252" w:lineRule="auto"/>
              <w:jc w:val="left"/>
            </w:pPr>
            <w:r>
              <w:rPr>
                <w:sz w:val="18"/>
              </w:rPr>
            </w:r>
            <w:hyperlink r:id="rId15">
              <w:r>
                <w:rPr>
                  <w:color w:val="285D6A"/>
                  <w:sz w:val="18"/>
                </w:rPr>
                <w:t>TEDÜ Çalışan El Kitabı</w:t>
              </w:r>
            </w:hyperlink>
            <w:r>
              <w:rPr>
                <w:sz w:val="18"/>
              </w:rPr>
              <w:t xml:space="preserve"> Ofise PEK koordinasyonu görevi verir. </w:t>
            </w:r>
            <w:hyperlink r:id="rId18">
              <w:r>
                <w:rPr>
                  <w:color w:val="285D6A"/>
                  <w:sz w:val="18"/>
                </w:rPr>
                <w:t>TEDÜ Kalite Komisyonu Çalışma Yönergesi</w:t>
              </w:r>
            </w:hyperlink>
            <w:r>
              <w:rPr>
                <w:sz w:val="18"/>
              </w:rPr>
              <w:t xml:space="preserve"> m.7 gündemin başka bir komisyonda başkan tarafından belirlenmesine örnektir.</w:t>
            </w:r>
          </w:p>
        </w:tc>
        <w:tc>
          <w:tcPr>
            <w:tcW w:type="dxa" w:w="2608"/>
            <w:vAlign w:val="center"/>
            <w:shd w:fill="FFFFFF"/>
          </w:tcPr>
          <w:p>
            <w:pPr>
              <w:keepNext w:val="0"/>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m.6 toplantı çağrısını düzenler; taslaktaki sekretarya üzerinden gündem önerme yolu aynı ayrıntıyla gösterilmemiştir.</w:t>
            </w:r>
          </w:p>
        </w:tc>
        <w:tc>
          <w:tcPr>
            <w:tcW w:type="dxa" w:w="2608"/>
            <w:vAlign w:val="center"/>
            <w:shd w:fill="FFFFFF"/>
          </w:tcPr>
          <w:p>
            <w:pPr>
              <w:keepNext w:val="0"/>
              <w:widowControl/>
              <w:spacing w:before="0" w:after="0" w:line="252" w:lineRule="auto"/>
              <w:jc w:val="left"/>
            </w:pPr>
            <w:r>
              <w:rPr>
                <w:sz w:val="18"/>
              </w:rPr>
            </w:r>
            <w:hyperlink r:id="rId24">
              <w:r>
                <w:rPr>
                  <w:color w:val="285D6A"/>
                  <w:sz w:val="18"/>
                </w:rPr>
                <w:t>ODTÜ Kalite Komisyonu Yönergesi</w:t>
              </w:r>
            </w:hyperlink>
            <w:r>
              <w:rPr>
                <w:sz w:val="18"/>
              </w:rPr>
              <w:t xml:space="preserve"> m.5 toplantı tarihinin başkanca belirlenmesini düzenler. PEK için üyelerin gündem önerme kanalı ayrıca yazılmıştır.</w:t>
            </w:r>
          </w:p>
        </w:tc>
      </w:tr>
      <w:tr>
        <w:trPr>
          <w:cantSplit/>
        </w:trPr>
        <w:tc>
          <w:tcPr>
            <w:tcW w:type="dxa" w:w="1361"/>
            <w:vAlign w:val="center"/>
            <w:shd w:fill="F7F7F7"/>
          </w:tcPr>
          <w:p>
            <w:pPr>
              <w:keepNext w:val="0"/>
              <w:widowControl/>
              <w:spacing w:before="0" w:after="0" w:line="252" w:lineRule="auto"/>
              <w:jc w:val="center"/>
            </w:pPr>
            <w:r>
              <w:rPr>
                <w:sz w:val="18"/>
              </w:rPr>
              <w:t>Madde 11/2</w:t>
            </w:r>
          </w:p>
        </w:tc>
        <w:tc>
          <w:tcPr>
            <w:tcW w:type="dxa" w:w="2494"/>
            <w:vAlign w:val="center"/>
            <w:shd w:fill="F7F7F7"/>
          </w:tcPr>
          <w:p>
            <w:pPr>
              <w:keepNext w:val="0"/>
              <w:widowControl/>
              <w:spacing w:before="0" w:after="0" w:line="252" w:lineRule="auto"/>
              <w:jc w:val="left"/>
            </w:pPr>
            <w:r>
              <w:rPr>
                <w:sz w:val="18"/>
              </w:rPr>
              <w:t>Ofis PEK koordinasyonunu yürütüyor; tüm toplantı belgelerinin kaç gün önce ve hangi kanalla paylaşılacağı için bağımsız bir PEK hükmü bulunamadı.</w:t>
            </w:r>
          </w:p>
        </w:tc>
        <w:tc>
          <w:tcPr>
            <w:tcW w:type="dxa" w:w="5216"/>
            <w:vAlign w:val="center"/>
            <w:shd w:fill="F7F7F7"/>
          </w:tcPr>
          <w:p>
            <w:pPr>
              <w:keepNext w:val="0"/>
              <w:widowControl/>
              <w:spacing w:before="0" w:after="0" w:line="252" w:lineRule="auto"/>
              <w:jc w:val="left"/>
            </w:pPr>
            <w:r>
              <w:rPr>
                <w:sz w:val="18"/>
              </w:rPr>
              <w:t>Sekretarya, toplantı tarihini, yerini, gündemini ve ilgili belgeleri, üyelerin hazırlık yapmasına olanak verecek şekilde toplantıdan önce kurumsal e-posta yoluyla üyelere iletir.</w:t>
            </w:r>
          </w:p>
        </w:tc>
        <w:tc>
          <w:tcPr>
            <w:tcW w:type="dxa" w:w="2948"/>
            <w:vAlign w:val="center"/>
            <w:shd w:fill="F7F7F7"/>
          </w:tcPr>
          <w:p>
            <w:pPr>
              <w:keepNext w:val="0"/>
              <w:widowControl/>
              <w:spacing w:before="0" w:after="0" w:line="252" w:lineRule="auto"/>
              <w:jc w:val="left"/>
            </w:pPr>
            <w:r>
              <w:rPr>
                <w:sz w:val="18"/>
              </w:rPr>
              <w:t>Üyelerin dosyaları toplantıdan önce okuyabilmesini sağlar. Kurumsal e-posta kullanılır; sabit bir gün sayısı getirilmez.</w:t>
            </w:r>
          </w:p>
        </w:tc>
        <w:tc>
          <w:tcPr>
            <w:tcW w:type="dxa" w:w="2494"/>
            <w:vAlign w:val="center"/>
            <w:shd w:fill="F7F7F7"/>
          </w:tcPr>
          <w:p>
            <w:pPr>
              <w:keepNext w:val="0"/>
              <w:widowControl/>
              <w:spacing w:before="0" w:after="0" w:line="252" w:lineRule="auto"/>
              <w:jc w:val="left"/>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7F7F7"/>
          </w:tcPr>
          <w:p>
            <w:pPr>
              <w:keepNext w:val="0"/>
              <w:widowControl/>
              <w:spacing w:before="0" w:after="0" w:line="252" w:lineRule="auto"/>
              <w:jc w:val="left"/>
            </w:pPr>
            <w:r>
              <w:rPr>
                <w:sz w:val="18"/>
              </w:rPr>
            </w:r>
            <w:hyperlink r:id="rId15">
              <w:r>
                <w:rPr>
                  <w:color w:val="285D6A"/>
                  <w:sz w:val="18"/>
                </w:rPr>
                <w:t>TEDÜ Çalışan El Kitabı</w:t>
              </w:r>
            </w:hyperlink>
            <w:r>
              <w:rPr>
                <w:sz w:val="18"/>
              </w:rPr>
              <w:t xml:space="preserve"> PDF s.25 Ofisin koordinasyon rolünü doğrular. Toplantı öncesi kurumsal e-posta bildirimi bu taslağın çalışma usulüdür.</w:t>
            </w:r>
          </w:p>
        </w:tc>
        <w:tc>
          <w:tcPr>
            <w:tcW w:type="dxa" w:w="2608"/>
            <w:vAlign w:val="center"/>
            <w:shd w:fill="F7F7F7"/>
          </w:tcPr>
          <w:p>
            <w:pPr>
              <w:keepNext w:val="0"/>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toplantı usulünü düzenler, ancak bu taslaktaki e-posta ve hazırlık süresi ifadesinin aynısı doğrulanmamıştır.</w:t>
            </w:r>
          </w:p>
        </w:tc>
        <w:tc>
          <w:tcPr>
            <w:tcW w:type="dxa" w:w="2608"/>
            <w:vAlign w:val="center"/>
            <w:shd w:fill="F7F7F7"/>
          </w:tcPr>
          <w:p>
            <w:pPr>
              <w:keepNext w:val="0"/>
              <w:widowControl/>
              <w:spacing w:before="0" w:after="0" w:line="252" w:lineRule="auto"/>
              <w:jc w:val="left"/>
            </w:pPr>
            <w:r>
              <w:rPr>
                <w:sz w:val="18"/>
              </w:rPr>
            </w:r>
            <w:hyperlink r:id="rId24">
              <w:r>
                <w:rPr>
                  <w:color w:val="285D6A"/>
                  <w:sz w:val="18"/>
                </w:rPr>
                <w:t>ODTÜ Kalite Komisyonu Yönergesi</w:t>
              </w:r>
            </w:hyperlink>
            <w:r>
              <w:rPr>
                <w:sz w:val="18"/>
              </w:rPr>
              <w:t xml:space="preserve"> toplantı çağrısı içerir; bütün dosyaların önceden kurumsal e-postayla iletilmesini aynı biçimde tarif etmez.</w:t>
            </w:r>
          </w:p>
        </w:tc>
      </w:tr>
      <w:tr>
        <w:trPr>
          <w:cantSplit/>
        </w:trPr>
        <w:tc>
          <w:tcPr>
            <w:tcW w:type="dxa" w:w="1361"/>
            <w:vAlign w:val="center"/>
            <w:shd w:fill="FFFFFF"/>
          </w:tcPr>
          <w:p>
            <w:pPr>
              <w:keepNext w:val="0"/>
              <w:widowControl/>
              <w:spacing w:before="0" w:after="0" w:line="252" w:lineRule="auto"/>
              <w:jc w:val="center"/>
            </w:pPr>
            <w:r>
              <w:rPr>
                <w:sz w:val="18"/>
              </w:rPr>
              <w:t>Madde 12/1</w:t>
            </w:r>
          </w:p>
        </w:tc>
        <w:tc>
          <w:tcPr>
            <w:tcW w:type="dxa" w:w="2494"/>
            <w:vAlign w:val="center"/>
            <w:shd w:fill="FFFFFF"/>
          </w:tcPr>
          <w:p>
            <w:pPr>
              <w:keepNext w:val="0"/>
              <w:widowControl/>
              <w:spacing w:before="0" w:after="0" w:line="252" w:lineRule="auto"/>
              <w:jc w:val="left"/>
            </w:pPr>
            <w:r>
              <w:rPr>
                <w:sz w:val="18"/>
              </w:rPr>
              <w:t>İncelenen bağımsız PEK belgelerinde toplantı çoğunluğu yazılı değil. Kanunda adı geçen kurullar için genel çoğunluk hükümleri var.</w:t>
            </w:r>
          </w:p>
        </w:tc>
        <w:tc>
          <w:tcPr>
            <w:tcW w:type="dxa" w:w="5216"/>
            <w:vAlign w:val="center"/>
            <w:shd w:fill="FFFFFF"/>
          </w:tcPr>
          <w:p>
            <w:pPr>
              <w:keepNext w:val="0"/>
              <w:widowControl/>
              <w:spacing w:before="0" w:after="0" w:line="252" w:lineRule="auto"/>
              <w:jc w:val="left"/>
            </w:pPr>
            <w:r>
              <w:rPr>
                <w:sz w:val="18"/>
              </w:rPr>
              <w:t>Komisyon, üye tam sayısının salt çoğunluğu ile toplanır.</w:t>
            </w:r>
          </w:p>
        </w:tc>
        <w:tc>
          <w:tcPr>
            <w:tcW w:type="dxa" w:w="2948"/>
            <w:vAlign w:val="center"/>
            <w:shd w:fill="FFFFFF"/>
          </w:tcPr>
          <w:p>
            <w:pPr>
              <w:keepNext w:val="0"/>
              <w:widowControl/>
              <w:spacing w:before="0" w:after="0" w:line="252" w:lineRule="auto"/>
              <w:jc w:val="left"/>
            </w:pPr>
            <w:r>
              <w:rPr>
                <w:sz w:val="18"/>
              </w:rPr>
              <w:t>Komisyonun kaç üye ile toplanabileceğini belirler. Üye tam sayısının yarısından fazlası hazır bulunmalıdır; örneğin yedi üye varsa en az dört üye gerekir.</w:t>
            </w:r>
          </w:p>
        </w:tc>
        <w:tc>
          <w:tcPr>
            <w:tcW w:type="dxa" w:w="2494"/>
            <w:vAlign w:val="center"/>
            <w:shd w:fill="FFFFFF"/>
          </w:tcPr>
          <w:p>
            <w:pPr>
              <w:keepNext w:val="0"/>
              <w:widowControl/>
              <w:spacing w:before="0" w:after="0" w:line="252" w:lineRule="auto"/>
              <w:jc w:val="left"/>
            </w:pPr>
            <w:r>
              <w:rPr>
                <w:sz w:val="18"/>
              </w:rPr>
            </w:r>
            <w:hyperlink r:id="rId10">
              <w:r>
                <w:rPr>
                  <w:color w:val="285D6A"/>
                  <w:sz w:val="18"/>
                </w:rPr>
                <w:t>2547 sayılı Yükseköğretim Kanunu</w:t>
              </w:r>
            </w:hyperlink>
            <w:r>
              <w:rPr>
                <w:sz w:val="18"/>
              </w:rPr>
              <w:t xml:space="preserve"> m.61 kanunda sözü geçen jüri ve kurullar için üye tam sayısının yarısından fazla katılımı düzenler. PEK’in hukuki statüsü bakımından uygulanabilirlik ayrıca değerlendirilmelidir.</w:t>
            </w:r>
          </w:p>
        </w:tc>
        <w:tc>
          <w:tcPr>
            <w:tcW w:type="dxa" w:w="2494"/>
            <w:vAlign w:val="center"/>
            <w:shd w:fill="FFFFFF"/>
          </w:tcPr>
          <w:p>
            <w:pPr>
              <w:keepNext w:val="0"/>
              <w:widowControl/>
              <w:spacing w:before="0" w:after="0" w:line="252" w:lineRule="auto"/>
              <w:jc w:val="left"/>
            </w:pPr>
            <w:r>
              <w:rPr>
                <w:sz w:val="18"/>
              </w:rPr>
            </w:r>
            <w:hyperlink r:id="rId18">
              <w:r>
                <w:rPr>
                  <w:color w:val="285D6A"/>
                  <w:sz w:val="18"/>
                </w:rPr>
                <w:t>TEDÜ Kalite Komisyonu Çalışma Yönergesi</w:t>
              </w:r>
            </w:hyperlink>
            <w:r>
              <w:rPr>
                <w:sz w:val="18"/>
              </w:rPr>
              <w:t xml:space="preserve"> m.7/b TEDÜ Kalite Komisyonunda aynı toplantı çoğunluğunu kullanır. Bu, PEK için kurum içi bir benzerliktir.</w:t>
            </w:r>
          </w:p>
        </w:tc>
        <w:tc>
          <w:tcPr>
            <w:tcW w:type="dxa" w:w="2608"/>
            <w:vAlign w:val="center"/>
            <w:shd w:fill="FFFFFF"/>
          </w:tcPr>
          <w:p>
            <w:pPr>
              <w:keepNext w:val="0"/>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m.5 üye tam sayısının salt çoğunluğu ile toplantı öngörür. Sayısal yöntem benzerdir.</w:t>
            </w:r>
          </w:p>
        </w:tc>
        <w:tc>
          <w:tcPr>
            <w:tcW w:type="dxa" w:w="2608"/>
            <w:vAlign w:val="center"/>
            <w:shd w:fill="FFFFFF"/>
          </w:tcPr>
          <w:p>
            <w:pPr>
              <w:keepNext w:val="0"/>
              <w:widowControl/>
              <w:spacing w:before="0" w:after="0" w:line="252" w:lineRule="auto"/>
              <w:jc w:val="left"/>
            </w:pPr>
            <w:r>
              <w:rPr>
                <w:sz w:val="18"/>
              </w:rPr>
            </w:r>
            <w:hyperlink r:id="rId24">
              <w:r>
                <w:rPr>
                  <w:color w:val="285D6A"/>
                  <w:sz w:val="18"/>
                </w:rPr>
                <w:t>ODTÜ Kalite Komisyonu Yönergesi</w:t>
              </w:r>
            </w:hyperlink>
            <w:r>
              <w:rPr>
                <w:sz w:val="18"/>
              </w:rPr>
              <w:t xml:space="preserve"> m.5/b üye tam sayısının salt çoğunluğu ile toplantı öngörür. Sayısal yöntem benzerdir.</w:t>
            </w:r>
          </w:p>
        </w:tc>
      </w:tr>
      <w:tr>
        <w:trPr>
          <w:cantSplit/>
        </w:trPr>
        <w:tc>
          <w:tcPr>
            <w:tcW w:type="dxa" w:w="1361"/>
            <w:vAlign w:val="center"/>
            <w:shd w:fill="F7F7F7"/>
          </w:tcPr>
          <w:p>
            <w:pPr>
              <w:keepNext w:val="0"/>
              <w:widowControl/>
              <w:spacing w:before="0" w:after="0" w:line="252" w:lineRule="auto"/>
              <w:jc w:val="center"/>
            </w:pPr>
            <w:r>
              <w:rPr>
                <w:sz w:val="18"/>
              </w:rPr>
              <w:t>Madde 12/2</w:t>
            </w:r>
          </w:p>
        </w:tc>
        <w:tc>
          <w:tcPr>
            <w:tcW w:type="dxa" w:w="2494"/>
            <w:vAlign w:val="center"/>
            <w:shd w:fill="F7F7F7"/>
          </w:tcPr>
          <w:p>
            <w:pPr>
              <w:keepNext w:val="0"/>
              <w:widowControl/>
              <w:spacing w:before="0" w:after="0" w:line="252" w:lineRule="auto"/>
              <w:jc w:val="left"/>
            </w:pPr>
            <w:r>
              <w:rPr>
                <w:sz w:val="18"/>
              </w:rPr>
              <w:t>Kamuya açık PEK belgelerinde karar çoğunluğu ayrıntılı yazılmamış. Benzer komisyonların yönergeleri çoğunluğu ayrıca düzenliyor.</w:t>
            </w:r>
          </w:p>
        </w:tc>
        <w:tc>
          <w:tcPr>
            <w:tcW w:type="dxa" w:w="5216"/>
            <w:vAlign w:val="center"/>
            <w:shd w:fill="F7F7F7"/>
          </w:tcPr>
          <w:p>
            <w:pPr>
              <w:keepNext w:val="0"/>
              <w:widowControl/>
              <w:spacing w:before="0" w:after="0" w:line="252" w:lineRule="auto"/>
              <w:jc w:val="left"/>
            </w:pPr>
            <w:r>
              <w:rPr>
                <w:sz w:val="18"/>
              </w:rPr>
              <w:t>Kararlar, toplantıya katılan üyelerin salt çoğunluğu ile alınır.</w:t>
            </w:r>
          </w:p>
        </w:tc>
        <w:tc>
          <w:tcPr>
            <w:tcW w:type="dxa" w:w="2948"/>
            <w:vAlign w:val="center"/>
            <w:shd w:fill="F7F7F7"/>
          </w:tcPr>
          <w:p>
            <w:pPr>
              <w:keepNext w:val="0"/>
              <w:widowControl/>
              <w:spacing w:before="0" w:after="0" w:line="252" w:lineRule="auto"/>
              <w:jc w:val="left"/>
            </w:pPr>
            <w:r>
              <w:rPr>
                <w:sz w:val="18"/>
              </w:rPr>
              <w:t>Bir görüşün normal olarak toplantıya katılanların yarısından fazlasınca desteklenmesini arar. Oy eşitliğinde uygulanacak istisna üçüncü fıkrada yer alır.</w:t>
            </w:r>
          </w:p>
        </w:tc>
        <w:tc>
          <w:tcPr>
            <w:tcW w:type="dxa" w:w="2494"/>
            <w:vAlign w:val="center"/>
            <w:shd w:fill="F7F7F7"/>
          </w:tcPr>
          <w:p>
            <w:pPr>
              <w:keepNext w:val="0"/>
              <w:widowControl/>
              <w:spacing w:before="0" w:after="0" w:line="252" w:lineRule="auto"/>
              <w:jc w:val="left"/>
            </w:pPr>
            <w:r>
              <w:rPr>
                <w:sz w:val="18"/>
              </w:rPr>
            </w:r>
            <w:hyperlink r:id="rId10">
              <w:r>
                <w:rPr>
                  <w:color w:val="285D6A"/>
                  <w:sz w:val="18"/>
                </w:rPr>
                <w:t>2547 sayılı Yükseköğretim Kanunu</w:t>
              </w:r>
            </w:hyperlink>
            <w:r>
              <w:rPr>
                <w:sz w:val="18"/>
              </w:rPr>
              <w:t xml:space="preserve"> m.61 kanunda sözü geçen kurullarda katılanların salt çoğunluğunu esas alır. Üçüncü fıkradaki eşit oy istisnası bu çoğunluktan ayrı değerlendirilmelidir.</w:t>
            </w:r>
          </w:p>
        </w:tc>
        <w:tc>
          <w:tcPr>
            <w:tcW w:type="dxa" w:w="2494"/>
            <w:vAlign w:val="center"/>
            <w:shd w:fill="F7F7F7"/>
          </w:tcPr>
          <w:p>
            <w:pPr>
              <w:keepNext w:val="0"/>
              <w:widowControl/>
              <w:spacing w:before="0" w:after="0" w:line="252" w:lineRule="auto"/>
              <w:jc w:val="left"/>
            </w:pPr>
            <w:r>
              <w:rPr>
                <w:sz w:val="18"/>
              </w:rPr>
            </w:r>
            <w:hyperlink r:id="rId18">
              <w:r>
                <w:rPr>
                  <w:color w:val="285D6A"/>
                  <w:sz w:val="18"/>
                </w:rPr>
                <w:t>TEDÜ Kalite Komisyonu Çalışma Yönergesi</w:t>
              </w:r>
            </w:hyperlink>
            <w:r>
              <w:rPr>
                <w:sz w:val="18"/>
              </w:rPr>
              <w:t xml:space="preserve"> m.7/b çoğunluk ve eşitlik hâlini birlikte düzenler. Taslak normal çoğunluğu ve istisnayı ayrı fıkralarda gösterir.</w:t>
            </w:r>
          </w:p>
        </w:tc>
        <w:tc>
          <w:tcPr>
            <w:tcW w:type="dxa" w:w="2608"/>
            <w:vAlign w:val="center"/>
            <w:shd w:fill="F7F7F7"/>
          </w:tcPr>
          <w:p>
            <w:pPr>
              <w:keepNext w:val="0"/>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m.5 katılanların salt çoğunluğunu açıkça belirtir. Taslağın normal karar kuralı benzerdir.</w:t>
            </w:r>
          </w:p>
        </w:tc>
        <w:tc>
          <w:tcPr>
            <w:tcW w:type="dxa" w:w="2608"/>
            <w:vAlign w:val="center"/>
            <w:shd w:fill="F7F7F7"/>
          </w:tcPr>
          <w:p>
            <w:pPr>
              <w:keepNext w:val="0"/>
              <w:widowControl/>
              <w:spacing w:before="0" w:after="0" w:line="252" w:lineRule="auto"/>
              <w:jc w:val="left"/>
            </w:pPr>
            <w:r>
              <w:rPr>
                <w:sz w:val="18"/>
              </w:rPr>
            </w:r>
            <w:hyperlink r:id="rId24">
              <w:r>
                <w:rPr>
                  <w:color w:val="285D6A"/>
                  <w:sz w:val="18"/>
                </w:rPr>
                <w:t>ODTÜ Kalite Komisyonu Yönergesi</w:t>
              </w:r>
            </w:hyperlink>
            <w:r>
              <w:rPr>
                <w:sz w:val="18"/>
              </w:rPr>
              <w:t xml:space="preserve"> m.5/b salt çoğunluk ve eşitlikte başkanın oyunu birlikte düzenler. Normal kuralın ifadesi benzerdir.</w:t>
            </w:r>
          </w:p>
        </w:tc>
      </w:tr>
      <w:tr>
        <w:trPr>
          <w:cantSplit/>
        </w:trPr>
        <w:tc>
          <w:tcPr>
            <w:tcW w:type="dxa" w:w="1361"/>
            <w:vAlign w:val="center"/>
            <w:shd w:fill="FFFFFF"/>
          </w:tcPr>
          <w:p>
            <w:pPr>
              <w:keepNext w:val="0"/>
              <w:widowControl/>
              <w:spacing w:before="0" w:after="0" w:line="252" w:lineRule="auto"/>
              <w:jc w:val="center"/>
            </w:pPr>
            <w:r>
              <w:rPr>
                <w:sz w:val="18"/>
              </w:rPr>
              <w:t>Madde 12/3</w:t>
            </w:r>
          </w:p>
        </w:tc>
        <w:tc>
          <w:tcPr>
            <w:tcW w:type="dxa" w:w="2494"/>
            <w:vAlign w:val="center"/>
            <w:shd w:fill="FFFFFF"/>
          </w:tcPr>
          <w:p>
            <w:pPr>
              <w:keepNext w:val="0"/>
              <w:widowControl/>
              <w:spacing w:before="0" w:after="0" w:line="252" w:lineRule="auto"/>
              <w:jc w:val="left"/>
            </w:pPr>
            <w:r>
              <w:rPr>
                <w:sz w:val="18"/>
              </w:rPr>
              <w:t>TEDÜ Kalite Komisyonu yönergesinde eşitlikte başkanın oyu yönünde karar verilmesi örneği var. PEK için aynı usulü açıkça yetkilendiren özel bir belge bulunamadı.</w:t>
            </w:r>
          </w:p>
        </w:tc>
        <w:tc>
          <w:tcPr>
            <w:tcW w:type="dxa" w:w="5216"/>
            <w:vAlign w:val="center"/>
            <w:shd w:fill="FFFFFF"/>
          </w:tcPr>
          <w:p>
            <w:pPr>
              <w:keepNext w:val="0"/>
              <w:widowControl/>
              <w:spacing w:before="0" w:after="0" w:line="252" w:lineRule="auto"/>
              <w:jc w:val="left"/>
            </w:pPr>
            <w:r>
              <w:rPr>
                <w:sz w:val="18"/>
              </w:rPr>
              <w:t>İkinci fıkradaki karar çoğunluğuna istisna olarak, oyların eşitliği hâlinde toplantıya başkanlık edenin kullandığı oy yönünde karar verilmiş sayılır.</w:t>
            </w:r>
          </w:p>
        </w:tc>
        <w:tc>
          <w:tcPr>
            <w:tcW w:type="dxa" w:w="2948"/>
            <w:vAlign w:val="center"/>
            <w:shd w:fill="FFFFFF"/>
          </w:tcPr>
          <w:p>
            <w:pPr>
              <w:keepNext w:val="0"/>
              <w:widowControl/>
              <w:spacing w:before="0" w:after="0" w:line="252" w:lineRule="auto"/>
              <w:jc w:val="left"/>
            </w:pPr>
            <w:r>
              <w:rPr>
                <w:sz w:val="18"/>
              </w:rPr>
              <w:t>Eşit oy çıkınca sonucun ne olacağını belirlemeyi amaçlar. Ancak katılanların yarısı, yarısından fazlası değildir; dolayısıyla bu fıkra normal salt çoğunluğa gerçek bir istisnadır.</w:t>
            </w:r>
          </w:p>
        </w:tc>
        <w:tc>
          <w:tcPr>
            <w:tcW w:type="dxa" w:w="2494"/>
            <w:vAlign w:val="center"/>
            <w:shd w:fill="FFFFFF"/>
          </w:tcPr>
          <w:p>
            <w:pPr>
              <w:keepNext w:val="0"/>
              <w:widowControl/>
              <w:spacing w:before="0" w:after="0" w:line="252" w:lineRule="auto"/>
              <w:jc w:val="left"/>
            </w:pPr>
            <w:r>
              <w:rPr>
                <w:sz w:val="18"/>
              </w:rPr>
            </w:r>
            <w:hyperlink r:id="rId10">
              <w:r>
                <w:rPr>
                  <w:color w:val="285D6A"/>
                  <w:sz w:val="18"/>
                </w:rPr>
                <w:t>2547 sayılı Yükseköğretim Kanunu</w:t>
              </w:r>
            </w:hyperlink>
            <w:r>
              <w:rPr>
                <w:sz w:val="18"/>
              </w:rPr>
              <w:t xml:space="preserve"> m.61 salt çoğunluk ile oylama turlarını düzenler; doğrudan başkanın oyunu üstün kılan bir hüküm içermez. Maddenin PEK’e uygulanıp uygulanmadığı ve bu istisnanın uygunluğu için hukuk görüşü gerekir.</w:t>
            </w:r>
          </w:p>
        </w:tc>
        <w:tc>
          <w:tcPr>
            <w:tcW w:type="dxa" w:w="2494"/>
            <w:vAlign w:val="center"/>
            <w:shd w:fill="FFFFFF"/>
          </w:tcPr>
          <w:p>
            <w:pPr>
              <w:keepNext w:val="0"/>
              <w:widowControl/>
              <w:spacing w:before="0" w:after="0" w:line="252" w:lineRule="auto"/>
              <w:jc w:val="left"/>
            </w:pPr>
            <w:r>
              <w:rPr>
                <w:sz w:val="18"/>
              </w:rPr>
            </w:r>
            <w:hyperlink r:id="rId18">
              <w:r>
                <w:rPr>
                  <w:color w:val="285D6A"/>
                  <w:sz w:val="18"/>
                </w:rPr>
                <w:t>TEDÜ Kalite Komisyonu Çalışma Yönergesi</w:t>
              </w:r>
            </w:hyperlink>
            <w:r>
              <w:rPr>
                <w:sz w:val="18"/>
              </w:rPr>
              <w:t xml:space="preserve"> m.7/b aynı sonucu başka bir komisyonda öngörür. Bu örnek taslağın nereden hareket ettiğini açıklar, fakat PEK yönünden hukuki uygunluğu tek başına kanıtlamaz.</w:t>
            </w:r>
          </w:p>
        </w:tc>
        <w:tc>
          <w:tcPr>
            <w:tcW w:type="dxa" w:w="2608"/>
            <w:vAlign w:val="center"/>
            <w:shd w:fill="FFFFFF"/>
          </w:tcPr>
          <w:p>
            <w:pPr>
              <w:keepNext w:val="0"/>
              <w:widowControl/>
              <w:spacing w:before="0" w:after="0" w:line="252" w:lineRule="auto"/>
              <w:jc w:val="left"/>
            </w:pPr>
            <w:r>
              <w:rPr>
                <w:sz w:val="18"/>
              </w:rPr>
            </w:r>
            <w:hyperlink r:id="rId20">
              <w:r>
                <w:rPr>
                  <w:color w:val="285D6A"/>
                  <w:sz w:val="18"/>
                </w:rPr>
                <w:t>Bilkent Kalite Komisyonu Çalışma Usul ve Esasları</w:t>
              </w:r>
            </w:hyperlink>
            <w:r>
              <w:rPr>
                <w:sz w:val="18"/>
              </w:rPr>
              <w:t xml:space="preserve"> m.5/4 katılanların salt çoğunluğunu söyler. İncelenen bölümde başkanın oyunu belirleyici yapan aynı açık istisna bulunmamaktadır.</w:t>
            </w:r>
          </w:p>
        </w:tc>
        <w:tc>
          <w:tcPr>
            <w:tcW w:type="dxa" w:w="2608"/>
            <w:vAlign w:val="center"/>
            <w:shd w:fill="FFFFFF"/>
          </w:tcPr>
          <w:p>
            <w:pPr>
              <w:keepNext w:val="0"/>
              <w:widowControl/>
              <w:spacing w:before="0" w:after="0" w:line="252" w:lineRule="auto"/>
              <w:jc w:val="left"/>
            </w:pPr>
            <w:r>
              <w:rPr>
                <w:sz w:val="18"/>
              </w:rPr>
            </w:r>
            <w:hyperlink r:id="rId24">
              <w:r>
                <w:rPr>
                  <w:color w:val="285D6A"/>
                  <w:sz w:val="18"/>
                </w:rPr>
                <w:t>ODTÜ Kalite Komisyonu Yönergesi</w:t>
              </w:r>
            </w:hyperlink>
            <w:r>
              <w:rPr>
                <w:sz w:val="18"/>
              </w:rPr>
              <w:t xml:space="preserve"> m.5/b eşitlikte başkanın oyu yönünde karar öngörür. Sonuç benzerdir; ODTÜ Kalite Komisyonu ile TEDÜ PEK’in hukuki statülerinin aynı olduğu varsayılmamıştır.</w:t>
            </w:r>
          </w:p>
        </w:tc>
      </w:tr>
      <w:tr>
        <w:trPr>
          <w:cantSplit/>
        </w:trPr>
        <w:tc>
          <w:tcPr>
            <w:tcW w:type="dxa" w:w="1361"/>
            <w:vAlign w:val="center"/>
            <w:shd w:fill="FFFFFF"/>
          </w:tcPr>
          <w:p>
            <w:pPr>
              <w:keepNext w:val="0"/>
              <w:widowControl/>
              <w:spacing w:before="0" w:after="0" w:line="252" w:lineRule="auto"/>
              <w:jc w:val="center"/>
            </w:pPr>
            <w:r>
              <w:rPr>
                <w:sz w:val="18"/>
              </w:rPr>
              <w:t>Madde 13/1</w:t>
            </w:r>
          </w:p>
        </w:tc>
        <w:tc>
          <w:tcPr>
            <w:tcW w:type="dxa" w:w="2494"/>
            <w:vAlign w:val="center"/>
            <w:shd w:fill="FFFFFF"/>
          </w:tcPr>
          <w:p>
            <w:pPr>
              <w:keepNext w:val="0"/>
              <w:widowControl/>
              <w:spacing w:before="0" w:after="0" w:line="252" w:lineRule="auto"/>
              <w:jc w:val="left"/>
            </w:pPr>
            <w:r>
              <w:rPr>
                <w:sz w:val="18"/>
              </w:rPr>
              <w:t>Önceki çalışma metni, dosyanın kurullara gitmesinden önce PEK temsilcisinin ayrı ön onayını arıyordu. Yeni metin ayrı ön onay yerine bölüm/Enstitü Anabilim Dalı Başkanlığı ile temsilcinin birlikte hazırlamasını esas alır.</w:t>
            </w:r>
          </w:p>
        </w:tc>
        <w:tc>
          <w:tcPr>
            <w:tcW w:type="dxa" w:w="5216"/>
            <w:vAlign w:val="center"/>
            <w:shd w:fill="FFFFFF"/>
          </w:tcPr>
          <w:p>
            <w:pPr>
              <w:keepNext w:val="0"/>
              <w:widowControl/>
              <w:spacing w:before="0" w:after="0" w:line="252" w:lineRule="auto"/>
              <w:jc w:val="left"/>
            </w:pPr>
            <w:r>
              <w:rPr>
                <w:sz w:val="18"/>
              </w:rPr>
              <w:t>Komisyonun görev alanına giren ÇAP/YAP programı açılması, yeni ders açılması, ders, program ve müfredat değişiklikleri ile diğer işlemlere ilişkin dosyalar, ilgili bölüm veya Enstitü Anabilim Dalı Başkanlığı ve fakülte veya enstitünün PEK temsilcisi ile beraber hazırlanır. Hazırlanan dosyalar önce bölüm kurulunun, takiben fakülte veya enstitü yönetim kurulunun onayına sunulur. Onayların ardından dosyalar, PEK’e sunulmak üzere sekretaryaya iletilir. Her işlem türünün ayrıntılı iş akışı ayrıca düzenlenir.</w:t>
            </w:r>
          </w:p>
        </w:tc>
        <w:tc>
          <w:tcPr>
            <w:tcW w:type="dxa" w:w="2948"/>
            <w:vAlign w:val="center"/>
            <w:shd w:fill="FFFFFF"/>
          </w:tcPr>
          <w:p>
            <w:pPr>
              <w:keepNext w:val="0"/>
              <w:widowControl/>
              <w:spacing w:before="0" w:after="0" w:line="252" w:lineRule="auto"/>
              <w:jc w:val="left"/>
            </w:pPr>
            <w:r>
              <w:rPr>
                <w:sz w:val="18"/>
              </w:rPr>
              <w:t>Birim ile PEK temsilcisini dosyanın başından itibaren birlikte çalıştırır. Bölüm kurulu ve fakülte/enstitü yönetim kurulu onaylarını bütün dosyalar için ortak aşama yapar. Mevcut yönetmeliklerin ayrıca istediği fakülte veya enstitü kurulu kararları da alınmalıdır.</w:t>
            </w:r>
          </w:p>
        </w:tc>
        <w:tc>
          <w:tcPr>
            <w:tcW w:type="dxa" w:w="2494"/>
            <w:vAlign w:val="center"/>
            <w:shd w:fill="FFFFFF"/>
          </w:tcPr>
          <w:p>
            <w:pPr>
              <w:keepNext w:val="0"/>
              <w:widowControl/>
              <w:spacing w:before="0" w:after="0" w:line="252" w:lineRule="auto"/>
              <w:jc w:val="left"/>
            </w:pPr>
            <w:r>
              <w:rPr>
                <w:sz w:val="18"/>
              </w:rPr>
            </w:r>
            <w:hyperlink r:id="rId10">
              <w:r>
                <w:rPr>
                  <w:color w:val="285D6A"/>
                  <w:sz w:val="18"/>
                </w:rPr>
                <w:t>2547 sayılı Yükseköğretim Kanunu</w:t>
              </w:r>
            </w:hyperlink>
            <w:r>
              <w:rPr>
                <w:sz w:val="18"/>
              </w:rPr>
              <w:t xml:space="preserve"> m.17–19 fakülte ve enstitü kurulları ile yönetim kurullarını farklı organlar olarak düzenler. Ortak yönetim kurulu aşaması, diğer akademik kurulların yetkisini ortadan kaldırmaz.</w:t>
            </w:r>
          </w:p>
        </w:tc>
        <w:tc>
          <w:tcPr>
            <w:tcW w:type="dxa" w:w="2494"/>
            <w:vAlign w:val="center"/>
            <w:shd w:fill="FFFFFF"/>
          </w:tcPr>
          <w:p>
            <w:pPr>
              <w:keepNext w:val="0"/>
              <w:widowControl/>
              <w:spacing w:before="0" w:after="0" w:line="252" w:lineRule="auto"/>
              <w:jc w:val="left"/>
            </w:pPr>
            <w:r>
              <w:rPr>
                <w:sz w:val="18"/>
              </w:rPr>
            </w:r>
            <w:hyperlink r:id="rId11">
              <w:r>
                <w:rPr>
                  <w:color w:val="285D6A"/>
                  <w:sz w:val="18"/>
                </w:rPr>
                <w:t>TEDÜ Lisans Eğitim-Öğretim Yönetmeliği</w:t>
              </w:r>
            </w:hyperlink>
            <w:r>
              <w:rPr>
                <w:sz w:val="18"/>
              </w:rPr>
              <w:t xml:space="preserve"> m.8/3 müfredat ve intibakta fakülte kurulunu, m.15/3 ders özelliklerinde yönetim kurulunu işaret eder. </w:t>
            </w:r>
            <w:hyperlink r:id="rId12">
              <w:r>
                <w:rPr>
                  <w:color w:val="285D6A"/>
                  <w:sz w:val="18"/>
                </w:rPr>
                <w:t>TEDÜ Lisansüstü Eğitim-Öğretim Yönetmeliği</w:t>
              </w:r>
            </w:hyperlink>
            <w:r>
              <w:rPr>
                <w:sz w:val="18"/>
              </w:rPr>
              <w:t xml:space="preserve"> m.15/2,4,5 Enstitü Kurulu kararını arar. </w:t>
            </w:r>
            <w:hyperlink r:id="rId28">
              <w:r>
                <w:rPr>
                  <w:color w:val="285D6A"/>
                  <w:sz w:val="18"/>
                </w:rPr>
                <w:t>TEDÜ Çift Anadal Programı Yönergesi</w:t>
              </w:r>
            </w:hyperlink>
            <w:r>
              <w:rPr>
                <w:sz w:val="18"/>
              </w:rPr>
              <w:t xml:space="preserve"> ve </w:t>
            </w:r>
            <w:hyperlink r:id="rId29">
              <w:r>
                <w:rPr>
                  <w:color w:val="285D6A"/>
                  <w:sz w:val="18"/>
                </w:rPr>
                <w:t>TEDÜ Yandal Programı Yönergesi</w:t>
              </w:r>
            </w:hyperlink>
            <w:r>
              <w:rPr>
                <w:sz w:val="18"/>
              </w:rPr>
              <w:t xml:space="preserve"> m.5/1 program açılışında ilgili fakültelerin kurul kararını ister.</w:t>
            </w:r>
          </w:p>
        </w:tc>
        <w:tc>
          <w:tcPr>
            <w:tcW w:type="dxa" w:w="2608"/>
            <w:vAlign w:val="center"/>
            <w:shd w:fill="FFFFFF"/>
          </w:tcPr>
          <w:p>
            <w:pPr>
              <w:keepNext w:val="0"/>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bölüm komitesinde hazırlık, dekan/müdür üzerinden üniversite komitesine iletim öngörür. Taslaktaki PEK temsilcisiyle ortak hazırlama şartı ve tüm dosyalarda yönetim kurulu aşaması aynı şekilde yer almaz.</w:t>
            </w:r>
          </w:p>
        </w:tc>
        <w:tc>
          <w:tcPr>
            <w:tcW w:type="dxa" w:w="2608"/>
            <w:vAlign w:val="center"/>
            <w:shd w:fill="FFFFFF"/>
          </w:tcPr>
          <w:p>
            <w:pPr>
              <w:keepNext w:val="0"/>
              <w:widowControl/>
              <w:spacing w:before="0" w:after="0" w:line="252" w:lineRule="auto"/>
              <w:jc w:val="left"/>
            </w:pPr>
            <w:r>
              <w:rPr>
                <w:sz w:val="18"/>
              </w:rPr>
            </w:r>
            <w:hyperlink r:id="rId23">
              <w:r>
                <w:rPr>
                  <w:color w:val="285D6A"/>
                  <w:sz w:val="18"/>
                </w:rPr>
                <w:t>ODTÜ Fen Bilimleri Enstitüsü Yeni Ders Önerisi Akışı</w:t>
              </w:r>
            </w:hyperlink>
            <w:r>
              <w:rPr>
                <w:sz w:val="18"/>
              </w:rPr>
              <w:t xml:space="preserve"> öğretim üyesinin hazırlığı, Enstitü Anabilim Dalı Akademik Kurulu ve Enstitü incelemesi içerir. Son kurul ders koduna göre değişir; bu nedenle her iş için tek kurul yeterli kabul edilmemelidir.</w:t>
            </w:r>
          </w:p>
        </w:tc>
      </w:tr>
      <w:tr>
        <w:trPr>
          <w:cantSplit/>
        </w:trPr>
        <w:tc>
          <w:tcPr>
            <w:tcW w:type="dxa" w:w="1361"/>
            <w:vAlign w:val="center"/>
            <w:shd w:fill="F7F7F7"/>
          </w:tcPr>
          <w:p>
            <w:pPr>
              <w:keepNext w:val="0"/>
              <w:widowControl/>
              <w:spacing w:before="0" w:after="0" w:line="252" w:lineRule="auto"/>
              <w:jc w:val="center"/>
            </w:pPr>
            <w:r>
              <w:rPr>
                <w:sz w:val="18"/>
              </w:rPr>
              <w:t>Madde 13/2</w:t>
            </w:r>
          </w:p>
        </w:tc>
        <w:tc>
          <w:tcPr>
            <w:tcW w:type="dxa" w:w="2494"/>
            <w:vAlign w:val="center"/>
            <w:shd w:fill="F7F7F7"/>
          </w:tcPr>
          <w:p>
            <w:pPr>
              <w:keepNext w:val="0"/>
              <w:widowControl/>
              <w:spacing w:before="0" w:after="0" w:line="252" w:lineRule="auto"/>
              <w:jc w:val="left"/>
            </w:pPr>
            <w:r>
              <w:rPr>
                <w:sz w:val="18"/>
              </w:rPr>
              <w:t>Ofisin koordinasyon görevi biliniyor; yayımlanmış iletişim e-postasının her tür başvuru için resmî teslim kanalı olduğu ayrıca gösterilmemiş.</w:t>
            </w:r>
          </w:p>
        </w:tc>
        <w:tc>
          <w:tcPr>
            <w:tcW w:type="dxa" w:w="5216"/>
            <w:vAlign w:val="center"/>
            <w:shd w:fill="F7F7F7"/>
          </w:tcPr>
          <w:p>
            <w:pPr>
              <w:keepNext w:val="0"/>
              <w:widowControl/>
              <w:spacing w:before="0" w:after="0" w:line="252" w:lineRule="auto"/>
              <w:jc w:val="left"/>
            </w:pPr>
            <w:r>
              <w:rPr>
                <w:sz w:val="18"/>
              </w:rPr>
              <w:t>Başvuru dosyası ve ekleri, Üniversitenin kurumsal belge ve yazışma düzenine uygun elektronik kanaldan sekretaryaya iletilir ve sekretarya tarafından kayıt altına alınır.</w:t>
            </w:r>
          </w:p>
        </w:tc>
        <w:tc>
          <w:tcPr>
            <w:tcW w:type="dxa" w:w="2948"/>
            <w:vAlign w:val="center"/>
            <w:shd w:fill="F7F7F7"/>
          </w:tcPr>
          <w:p>
            <w:pPr>
              <w:keepNext w:val="0"/>
              <w:widowControl/>
              <w:spacing w:before="0" w:after="0" w:line="252" w:lineRule="auto"/>
              <w:jc w:val="left"/>
            </w:pPr>
            <w:r>
              <w:rPr>
                <w:sz w:val="18"/>
              </w:rPr>
              <w:t>Gönderilen dosyanın kurumsal kanalda iz bırakmasını ve kayıt altına alınmasını sağlar. Yönerge belirli bir yazılım veya kişisel e-posta adresine bağlanmaz.</w:t>
            </w:r>
          </w:p>
        </w:tc>
        <w:tc>
          <w:tcPr>
            <w:tcW w:type="dxa" w:w="2494"/>
            <w:vAlign w:val="center"/>
            <w:shd w:fill="F7F7F7"/>
          </w:tcPr>
          <w:p>
            <w:pPr>
              <w:keepNext w:val="0"/>
              <w:widowControl/>
              <w:spacing w:before="0" w:after="0" w:line="252" w:lineRule="auto"/>
              <w:jc w:val="left"/>
            </w:pPr>
            <w:r>
              <w:rPr>
                <w:sz w:val="18"/>
              </w:rPr>
            </w:r>
            <w:hyperlink r:id="rId10">
              <w:r>
                <w:rPr>
                  <w:color w:val="285D6A"/>
                  <w:sz w:val="18"/>
                </w:rPr>
                <w:t>2547 sayılı Yükseköğretim Kanunu</w:t>
              </w:r>
            </w:hyperlink>
            <w:r>
              <w:rPr>
                <w:sz w:val="18"/>
              </w:rPr>
              <w:t xml:space="preserve"> PEK’e özel bir elektronik teslim platformu belirlemez. Başvuru ve yazışma kanalı Üniversitenin belge düzenine göre uygulanacaktır.</w:t>
            </w:r>
          </w:p>
        </w:tc>
        <w:tc>
          <w:tcPr>
            <w:tcW w:type="dxa" w:w="2494"/>
            <w:vAlign w:val="center"/>
            <w:shd w:fill="F7F7F7"/>
          </w:tcPr>
          <w:p>
            <w:pPr>
              <w:keepNext w:val="0"/>
              <w:widowControl/>
              <w:spacing w:before="0" w:after="0" w:line="252" w:lineRule="auto"/>
              <w:jc w:val="left"/>
            </w:pPr>
            <w:r>
              <w:rPr>
                <w:sz w:val="18"/>
              </w:rPr>
            </w:r>
            <w:hyperlink r:id="rId15">
              <w:r>
                <w:rPr>
                  <w:color w:val="285D6A"/>
                  <w:sz w:val="18"/>
                </w:rPr>
                <w:t>TEDÜ Çalışan El Kitabı</w:t>
              </w:r>
            </w:hyperlink>
            <w:r>
              <w:rPr>
                <w:sz w:val="18"/>
              </w:rPr>
              <w:t xml:space="preserve"> PDF s.25 Ofisin görevini ve iletişim adresini gösterir. </w:t>
            </w:r>
            <w:hyperlink r:id="rId17">
              <w:r>
                <w:rPr>
                  <w:color w:val="285D6A"/>
                  <w:sz w:val="18"/>
                </w:rPr>
                <w:t>TEDÜ İmza Yetkileri Yönergesi</w:t>
              </w:r>
            </w:hyperlink>
            <w:r>
              <w:rPr>
                <w:sz w:val="18"/>
              </w:rPr>
              <w:t xml:space="preserve"> m.5 yazışma ilkelerini, m.8 yetki devrini düzenler. İletişim adresi, tek başına resmî başvuru yetkisi kanıtı değildir.</w:t>
            </w:r>
          </w:p>
        </w:tc>
        <w:tc>
          <w:tcPr>
            <w:tcW w:type="dxa" w:w="2608"/>
            <w:vAlign w:val="center"/>
            <w:shd w:fill="F7F7F7"/>
          </w:tcPr>
          <w:p>
            <w:pPr>
              <w:keepNext w:val="0"/>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dosyanın dekan/müdür üzerinden iletilmesini anlatır. Taslaktaki tüm dosyaları ortak elektronik kanalda kaydetme kuralı aynı metinde gösterilmemiştir.</w:t>
            </w:r>
          </w:p>
        </w:tc>
        <w:tc>
          <w:tcPr>
            <w:tcW w:type="dxa" w:w="2608"/>
            <w:vAlign w:val="center"/>
            <w:shd w:fill="F7F7F7"/>
          </w:tcPr>
          <w:p>
            <w:pPr>
              <w:keepNext w:val="0"/>
              <w:widowControl/>
              <w:spacing w:before="0" w:after="0" w:line="252" w:lineRule="auto"/>
              <w:jc w:val="left"/>
            </w:pPr>
            <w:r>
              <w:rPr>
                <w:sz w:val="18"/>
              </w:rPr>
            </w:r>
            <w:hyperlink r:id="rId23">
              <w:r>
                <w:rPr>
                  <w:color w:val="285D6A"/>
                  <w:sz w:val="18"/>
                </w:rPr>
                <w:t>ODTÜ Fen Bilimleri Enstitüsü Yeni Ders Önerisi Akışı</w:t>
              </w:r>
            </w:hyperlink>
            <w:r>
              <w:rPr>
                <w:sz w:val="18"/>
              </w:rPr>
              <w:t xml:space="preserve"> öneri ve onay yazılarının Enstitüye gönderilmesini düzenler. Bu örnek, TEDÜ için belirli bir elektronik teslim kanalı tanımlamaz.</w:t>
            </w:r>
          </w:p>
        </w:tc>
      </w:tr>
      <w:tr>
        <w:trPr>
          <w:cantSplit/>
        </w:trPr>
        <w:tc>
          <w:tcPr>
            <w:tcW w:type="dxa" w:w="1361"/>
            <w:vAlign w:val="center"/>
            <w:shd w:fill="FFFFFF"/>
          </w:tcPr>
          <w:p>
            <w:pPr>
              <w:keepNext w:val="0"/>
              <w:widowControl/>
              <w:spacing w:before="0" w:after="0" w:line="252" w:lineRule="auto"/>
              <w:jc w:val="center"/>
            </w:pPr>
            <w:r>
              <w:rPr>
                <w:sz w:val="18"/>
              </w:rPr>
              <w:t>Madde 13/3</w:t>
            </w:r>
          </w:p>
        </w:tc>
        <w:tc>
          <w:tcPr>
            <w:tcW w:type="dxa" w:w="2494"/>
            <w:vAlign w:val="center"/>
            <w:shd w:fill="FFFFFF"/>
          </w:tcPr>
          <w:p>
            <w:pPr>
              <w:keepNext w:val="0"/>
              <w:widowControl/>
              <w:spacing w:before="0" w:after="0" w:line="252" w:lineRule="auto"/>
              <w:jc w:val="left"/>
            </w:pPr>
            <w:r>
              <w:rPr>
                <w:sz w:val="18"/>
              </w:rPr>
              <w:t>Ofis koordinasyonu ve ders dosyalarının yeniden incelenmesi mevcut belgelerde var; sekretaryanın belge tamlığı kontrolü ile akademik değerlendirme aynı hükümde ayrılmamış.</w:t>
            </w:r>
          </w:p>
        </w:tc>
        <w:tc>
          <w:tcPr>
            <w:tcW w:type="dxa" w:w="5216"/>
            <w:vAlign w:val="center"/>
            <w:shd w:fill="FFFFFF"/>
          </w:tcPr>
          <w:p>
            <w:pPr>
              <w:keepNext w:val="0"/>
              <w:widowControl/>
              <w:spacing w:before="0" w:after="0" w:line="252" w:lineRule="auto"/>
              <w:jc w:val="left"/>
            </w:pPr>
            <w:r>
              <w:rPr>
                <w:sz w:val="18"/>
              </w:rPr>
              <w:t>Sekretarya, dosyanın belge yönünden tamlığını kontrol eder. Eksikleri bulunan dosya, eksikler belirtilerek Başkanın bilgisi dâhilinde tamamlanmak üzere ilgili akademik birime iletilir. Bu işlem, önerinin akademik yönden reddi anlamına gelmez.</w:t>
            </w:r>
          </w:p>
        </w:tc>
        <w:tc>
          <w:tcPr>
            <w:tcW w:type="dxa" w:w="2948"/>
            <w:vAlign w:val="center"/>
            <w:shd w:fill="FFFFFF"/>
          </w:tcPr>
          <w:p>
            <w:pPr>
              <w:keepNext w:val="0"/>
              <w:widowControl/>
              <w:spacing w:before="0" w:after="0" w:line="252" w:lineRule="auto"/>
              <w:jc w:val="left"/>
            </w:pPr>
            <w:r>
              <w:rPr>
                <w:sz w:val="18"/>
              </w:rPr>
              <w:t>Sekretaryanın belge eksiklerini tamamlatmasını sağlar. Eksik imza veya ek nedeniyle geri gönderilen dosya akademik açıdan reddedilmiş sayılmaz; tamamlama süresi Madde 15’tedir.</w:t>
            </w:r>
          </w:p>
        </w:tc>
        <w:tc>
          <w:tcPr>
            <w:tcW w:type="dxa" w:w="2494"/>
            <w:vAlign w:val="center"/>
            <w:shd w:fill="FFFFFF"/>
          </w:tcPr>
          <w:p>
            <w:pPr>
              <w:keepNext w:val="0"/>
              <w:widowControl/>
              <w:spacing w:before="0" w:after="0" w:line="252" w:lineRule="auto"/>
              <w:jc w:val="left"/>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FFFFF"/>
          </w:tcPr>
          <w:p>
            <w:pPr>
              <w:keepNext w:val="0"/>
              <w:widowControl/>
              <w:spacing w:before="0" w:after="0" w:line="252" w:lineRule="auto"/>
              <w:jc w:val="left"/>
            </w:pPr>
            <w:r>
              <w:rPr>
                <w:sz w:val="18"/>
              </w:rPr>
            </w:r>
            <w:hyperlink r:id="rId15">
              <w:r>
                <w:rPr>
                  <w:color w:val="285D6A"/>
                  <w:sz w:val="18"/>
                </w:rPr>
                <w:t>TEDÜ Çalışan El Kitabı</w:t>
              </w:r>
            </w:hyperlink>
            <w:r>
              <w:rPr>
                <w:sz w:val="18"/>
              </w:rPr>
              <w:t xml:space="preserve"> PDF s.25 koordinasyon rolünü doğrular. </w:t>
            </w:r>
            <w:hyperlink r:id="rId13">
              <w:r>
                <w:rPr>
                  <w:color w:val="285D6A"/>
                  <w:sz w:val="18"/>
                </w:rPr>
                <w:t>TEDÜ 2025 Kurum İç Değerlendirme Raporu</w:t>
              </w:r>
            </w:hyperlink>
            <w:r>
              <w:rPr>
                <w:sz w:val="18"/>
              </w:rPr>
              <w:t xml:space="preserve"> B.1.6 dosyaların incelenip düzeltme istenmesini anlatır. Sekretarya kontrolünün sınırı burada açıklaştırılır.</w:t>
            </w:r>
          </w:p>
        </w:tc>
        <w:tc>
          <w:tcPr>
            <w:tcW w:type="dxa" w:w="2608"/>
            <w:vAlign w:val="center"/>
            <w:shd w:fill="FFFFFF"/>
          </w:tcPr>
          <w:p>
            <w:pPr>
              <w:keepNext w:val="0"/>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akademik inceleme ve geri bildirim içerir; taslaktaki sekretarya tarafından belge tamlığı kontrolüyle aynı işlem değildir.</w:t>
            </w:r>
          </w:p>
        </w:tc>
        <w:tc>
          <w:tcPr>
            <w:tcW w:type="dxa" w:w="2608"/>
            <w:vAlign w:val="center"/>
            <w:shd w:fill="FFFFFF"/>
          </w:tcPr>
          <w:p>
            <w:pPr>
              <w:keepNext w:val="0"/>
              <w:widowControl/>
              <w:spacing w:before="0" w:after="0" w:line="252" w:lineRule="auto"/>
              <w:jc w:val="left"/>
            </w:pPr>
            <w:r>
              <w:rPr>
                <w:sz w:val="18"/>
              </w:rPr>
            </w:r>
            <w:hyperlink r:id="rId23">
              <w:r>
                <w:rPr>
                  <w:color w:val="285D6A"/>
                  <w:sz w:val="18"/>
                </w:rPr>
                <w:t>ODTÜ Fen Bilimleri Enstitüsü Yeni Ders Önerisi Akışı</w:t>
              </w:r>
            </w:hyperlink>
            <w:r>
              <w:rPr>
                <w:sz w:val="18"/>
              </w:rPr>
              <w:t xml:space="preserve"> adım 5 eksik belgeli talebin değerlendirmeye alınmadan iadesini düzenler. Oradaki kontrol Enstitü Müdürü/Yardımcısına aittir; taslakta sekretarya belge kontrolü yapar.</w:t>
            </w:r>
          </w:p>
        </w:tc>
      </w:tr>
      <w:tr>
        <w:trPr>
          <w:cantSplit/>
        </w:trPr>
        <w:tc>
          <w:tcPr>
            <w:tcW w:type="dxa" w:w="1361"/>
            <w:vAlign w:val="center"/>
            <w:shd w:fill="FFFFFF"/>
          </w:tcPr>
          <w:p>
            <w:pPr>
              <w:keepNext w:val="0"/>
              <w:widowControl/>
              <w:spacing w:before="0" w:after="0" w:line="252" w:lineRule="auto"/>
              <w:jc w:val="center"/>
            </w:pPr>
            <w:r>
              <w:rPr>
                <w:sz w:val="18"/>
              </w:rPr>
              <w:t>Madde 14/1</w:t>
            </w:r>
          </w:p>
        </w:tc>
        <w:tc>
          <w:tcPr>
            <w:tcW w:type="dxa" w:w="2494"/>
            <w:vAlign w:val="center"/>
            <w:shd w:fill="FFFFFF"/>
          </w:tcPr>
          <w:p>
            <w:pPr>
              <w:keepNext w:val="0"/>
              <w:widowControl/>
              <w:spacing w:before="0" w:after="0" w:line="252" w:lineRule="auto"/>
              <w:jc w:val="left"/>
            </w:pPr>
            <w:r>
              <w:rPr>
                <w:sz w:val="18"/>
              </w:rPr>
              <w:t>2025 Kurum İç Değerlendirme Raporu yeni veya güncellenecek ders dosyalarının dönem başlangıcından beş hafta önce Ofise iletilmesini anlatıyor. Ortak bir yıllık 30 Haziran son tarihi belirtilmiyor.</w:t>
            </w:r>
          </w:p>
        </w:tc>
        <w:tc>
          <w:tcPr>
            <w:tcW w:type="dxa" w:w="5216"/>
            <w:vAlign w:val="center"/>
            <w:shd w:fill="FFFFFF"/>
          </w:tcPr>
          <w:p>
            <w:pPr>
              <w:keepNext w:val="0"/>
              <w:widowControl/>
              <w:spacing w:before="0" w:after="0" w:line="252" w:lineRule="auto"/>
              <w:jc w:val="left"/>
            </w:pPr>
            <w:r>
              <w:rPr>
                <w:sz w:val="18"/>
              </w:rPr>
              <w:t>Bir eğitim-öğretim yılının güz, bahar veya yaz okulu döneminde uygulanması öngörülen değişikliklere ilişkin başvurular, bir önceki eğitim-öğretim yılının 30 Haziran günü sonuna kadar yapılabilir.</w:t>
            </w:r>
          </w:p>
        </w:tc>
        <w:tc>
          <w:tcPr>
            <w:tcW w:type="dxa" w:w="2948"/>
            <w:vAlign w:val="center"/>
            <w:shd w:fill="FFFFFF"/>
          </w:tcPr>
          <w:p>
            <w:pPr>
              <w:keepNext w:val="0"/>
              <w:widowControl/>
              <w:spacing w:before="0" w:after="0" w:line="252" w:lineRule="auto"/>
              <w:jc w:val="left"/>
            </w:pPr>
            <w:r>
              <w:rPr>
                <w:sz w:val="18"/>
              </w:rPr>
              <w:t>Güz, bahar ve yaz okulu değişikliklerini aynı yıllık planlama takvimine bağlar. Örneğin 2026–2027 eğitim-öğretim yılında uygulanacak değişiklik için son tarih 30 Haziran 2026’dır. Geçişte Geçici Madde 1 uygulanır.</w:t>
            </w:r>
          </w:p>
        </w:tc>
        <w:tc>
          <w:tcPr>
            <w:tcW w:type="dxa" w:w="2494"/>
            <w:vAlign w:val="center"/>
            <w:shd w:fill="FFFFFF"/>
          </w:tcPr>
          <w:p>
            <w:pPr>
              <w:keepNext w:val="0"/>
              <w:widowControl/>
              <w:spacing w:before="0" w:after="0" w:line="252" w:lineRule="auto"/>
              <w:jc w:val="left"/>
            </w:pPr>
            <w:r>
              <w:rPr>
                <w:sz w:val="18"/>
              </w:rPr>
            </w:r>
            <w:hyperlink r:id="rId10">
              <w:r>
                <w:rPr>
                  <w:color w:val="285D6A"/>
                  <w:sz w:val="18"/>
                </w:rPr>
                <w:t>2547 sayılı Yükseköğretim Kanunu</w:t>
              </w:r>
            </w:hyperlink>
            <w:r>
              <w:rPr>
                <w:sz w:val="18"/>
              </w:rPr>
              <w:t xml:space="preserve"> m.14/b-1 ve b-4 akademik esaslar ve takvim için genel yetki çerçevesidir. Aşağıdaki tarih, gün sayısı ve dosya sonucu kanunda belirlenmiş bir PEK süresi değil, bu yönergeyle önerilen kuraldır.</w:t>
            </w:r>
          </w:p>
        </w:tc>
        <w:tc>
          <w:tcPr>
            <w:tcW w:type="dxa" w:w="2494"/>
            <w:vAlign w:val="center"/>
            <w:shd w:fill="FFFFFF"/>
          </w:tcPr>
          <w:p>
            <w:pPr>
              <w:keepNext w:val="0"/>
              <w:widowControl/>
              <w:spacing w:before="0" w:after="0" w:line="252" w:lineRule="auto"/>
              <w:jc w:val="left"/>
            </w:pPr>
            <w:r>
              <w:rPr>
                <w:sz w:val="18"/>
              </w:rPr>
            </w:r>
            <w:hyperlink r:id="rId13">
              <w:r>
                <w:rPr>
                  <w:color w:val="285D6A"/>
                  <w:sz w:val="18"/>
                </w:rPr>
                <w:t>TEDÜ 2025 Kurum İç Değerlendirme Raporu</w:t>
              </w:r>
            </w:hyperlink>
            <w:r>
              <w:rPr>
                <w:sz w:val="18"/>
              </w:rPr>
              <w:t xml:space="preserve"> B.1.6’daki dönem bazlı beş haftalık uygulama ile taslağın yıllık takvimi farklıdır. Kabul edilirse Ofisin süreç belgeleri ve ilgili duyurular yeni takvime göre uyarlanmalıdır.</w:t>
            </w:r>
          </w:p>
        </w:tc>
        <w:tc>
          <w:tcPr>
            <w:tcW w:type="dxa" w:w="2608"/>
            <w:vAlign w:val="center"/>
            <w:shd w:fill="FFFFFF"/>
          </w:tcPr>
          <w:p>
            <w:pPr>
              <w:keepNext w:val="0"/>
              <w:widowControl/>
              <w:spacing w:before="0" w:after="0" w:line="252" w:lineRule="auto"/>
              <w:jc w:val="left"/>
            </w:pPr>
            <w:r>
              <w:rPr>
                <w:sz w:val="18"/>
              </w:rPr>
            </w:r>
            <w:hyperlink r:id="rId19">
              <w:r>
                <w:rPr>
                  <w:color w:val="285D6A"/>
                  <w:sz w:val="18"/>
                </w:rPr>
                <w:t>Bilkent Müfredat ve Öğretim Geliştirme Esasları</w:t>
              </w:r>
            </w:hyperlink>
            <w:r>
              <w:rPr>
                <w:sz w:val="18"/>
              </w:rPr>
              <w:t xml:space="preserve"> içindeki 2001 tarihleri güncel son başvuru tarihi olarak kullanılamaz. İncelenen Bilkent kaynaklarında taslaktaki ortak 30 Haziran kuralı bulunmadı.</w:t>
            </w:r>
          </w:p>
        </w:tc>
        <w:tc>
          <w:tcPr>
            <w:tcW w:type="dxa" w:w="2608"/>
            <w:vAlign w:val="center"/>
            <w:shd w:fill="FFFFFF"/>
          </w:tcPr>
          <w:p>
            <w:pPr>
              <w:keepNext w:val="0"/>
              <w:widowControl/>
              <w:spacing w:before="0" w:after="0" w:line="252" w:lineRule="auto"/>
              <w:jc w:val="left"/>
            </w:pPr>
            <w:r>
              <w:rPr>
                <w:sz w:val="18"/>
              </w:rPr>
            </w:r>
            <w:hyperlink r:id="rId23">
              <w:r>
                <w:rPr>
                  <w:color w:val="285D6A"/>
                  <w:sz w:val="18"/>
                </w:rPr>
                <w:t>ODTÜ Fen Bilimleri Enstitüsü Yeni Ders Önerisi Akışı</w:t>
              </w:r>
            </w:hyperlink>
            <w:r>
              <w:rPr>
                <w:sz w:val="18"/>
              </w:rPr>
              <w:t xml:space="preserve"> bir önceki dönemde, finallerden 45 gün önce başvuru öngörür. Taslağın bütün yılı kapsayan 30 Haziran takviminden farklıdır.</w:t>
            </w:r>
          </w:p>
        </w:tc>
      </w:tr>
      <w:tr>
        <w:trPr>
          <w:cantSplit/>
        </w:trPr>
        <w:tc>
          <w:tcPr>
            <w:tcW w:type="dxa" w:w="1361"/>
            <w:vAlign w:val="center"/>
            <w:shd w:fill="FFFFFF"/>
          </w:tcPr>
          <w:p>
            <w:pPr>
              <w:spacing w:line="252" w:lineRule="auto" w:before="0" w:after="0"/>
            </w:pPr>
            <w:r>
              <w:rPr>
                <w:sz w:val="18"/>
              </w:rPr>
              <w:t>Madde 15/1</w:t>
            </w:r>
          </w:p>
        </w:tc>
        <w:tc>
          <w:tcPr>
            <w:tcW w:type="dxa" w:w="2494"/>
            <w:vAlign w:val="center"/>
            <w:shd w:fill="FFFFFF"/>
          </w:tcPr>
          <w:p>
            <w:pPr>
              <w:spacing w:line="252" w:lineRule="auto" w:before="0" w:after="0"/>
            </w:pPr>
            <w:r>
              <w:rPr>
                <w:sz w:val="18"/>
              </w:rPr>
              <w:t>İlk çalışma metni yıllık son tarihi belirliyordu; geç gelen dosyaya ne yapılacağını ayrıca açıklamıyordu.</w:t>
            </w:r>
          </w:p>
        </w:tc>
        <w:tc>
          <w:tcPr>
            <w:tcW w:type="dxa" w:w="5216"/>
            <w:vAlign w:val="center"/>
            <w:shd w:fill="FFFFFF"/>
          </w:tcPr>
          <w:p>
            <w:pPr>
              <w:spacing w:line="252" w:lineRule="auto" w:before="0" w:after="0"/>
            </w:pPr>
            <w:r>
              <w:rPr>
                <w:sz w:val="18"/>
              </w:rPr>
              <w:t>14 üncü maddede belirtilen tarihten sonra yapılan başvurular kayda alınır; önerinin uygulanması istenen eğitim-öğretim yılı bakımından süresinde yapılmadığı belirtilerek, Başkanın bilgisi dâhilinde ilgili akademik birime iade edilir. İlgili birim, dosyayı güncelleyerek sonraki eğitim-öğretim yılları için 13 ve 14 üncü maddeler uyarınca yeniden başvurabilir.</w:t>
            </w:r>
          </w:p>
        </w:tc>
        <w:tc>
          <w:tcPr>
            <w:tcW w:type="dxa" w:w="2948"/>
            <w:vAlign w:val="center"/>
            <w:shd w:fill="FFFFFF"/>
          </w:tcPr>
          <w:p>
            <w:pPr>
              <w:spacing w:line="252" w:lineRule="auto" w:before="0" w:after="0"/>
            </w:pPr>
            <w:r>
              <w:rPr>
                <w:sz w:val="18"/>
              </w:rPr>
              <w:t>Geç başvurunun ilgili yıl için iadesini ve sonraki yıllarda güncel dosyayla yeniden başvuru yolunu açıklar. Dosya kendiliğinden sonraki yıla aktarılmaz.</w:t>
            </w:r>
          </w:p>
        </w:tc>
        <w:tc>
          <w:tcPr>
            <w:tcW w:type="dxa" w:w="2494"/>
            <w:vAlign w:val="center"/>
            <w:shd w:fill="FFFFFF"/>
          </w:tcPr>
          <w:p>
            <w:pPr>
              <w:spacing w:line="252" w:lineRule="auto" w:before="0" w:after="0"/>
            </w:pPr>
            <w:r>
              <w:rPr>
                <w:sz w:val="18"/>
              </w:rPr>
            </w:r>
            <w:hyperlink r:id="rId10">
              <w:r>
                <w:rPr>
                  <w:color w:val="285D6A"/>
                  <w:sz w:val="18"/>
                </w:rPr>
                <w:t>2547 sayılı Yükseköğretim Kanunu</w:t>
              </w:r>
            </w:hyperlink>
            <w:r>
              <w:rPr>
                <w:sz w:val="18"/>
              </w:rPr>
              <w:t xml:space="preserve"> m.14/b-1 ve b-4 akademik esaslar ve takvim için genel yetki çerçevesidir. Aşağıdaki tarih, gün sayısı ve dosya sonucu kanunda belirlenmiş bir PEK süresi değil, bu yönergeyle önerilen kuraldır.</w:t>
            </w:r>
          </w:p>
        </w:tc>
        <w:tc>
          <w:tcPr>
            <w:tcW w:type="dxa" w:w="2494"/>
            <w:vAlign w:val="center"/>
            <w:shd w:fill="FFFFFF"/>
          </w:tcPr>
          <w:p>
            <w:pPr>
              <w:spacing w:line="252" w:lineRule="auto" w:before="0" w:after="0"/>
            </w:pPr>
            <w:r>
              <w:rPr>
                <w:sz w:val="18"/>
              </w:rPr>
            </w:r>
            <w:hyperlink r:id="rId13">
              <w:r>
                <w:rPr>
                  <w:color w:val="285D6A"/>
                  <w:sz w:val="18"/>
                </w:rPr>
                <w:t>TEDÜ 2025 Kurum İç Değerlendirme Raporu</w:t>
              </w:r>
            </w:hyperlink>
            <w:r>
              <w:rPr>
                <w:sz w:val="18"/>
              </w:rPr>
              <w:t xml:space="preserve"> B.1.6 ile karşılaştırma: Yeni yıllık takvime bağlı usul burada öneriliyor. Mevcut rapordaki dönem takviminin tekrarı değildir.</w:t>
            </w:r>
          </w:p>
        </w:tc>
        <w:tc>
          <w:tcPr>
            <w:tcW w:type="dxa" w:w="2608"/>
            <w:vAlign w:val="center"/>
            <w:shd w:fill="FFFFFF"/>
          </w:tcPr>
          <w:p>
            <w:pPr>
              <w:spacing w:line="252" w:lineRule="auto" w:before="0" w:after="0"/>
            </w:pPr>
            <w:r>
              <w:rPr>
                <w:sz w:val="18"/>
              </w:rPr>
              <w:t xml:space="preserve">Aynı yıllık geç başvuru sonucu incelenen Bilkent kaynaklarında bulunmadı. Karşılaştırılan belgeler: </w:t>
            </w:r>
            <w:hyperlink r:id="rId19">
              <w:r>
                <w:rPr>
                  <w:color w:val="285D6A"/>
                  <w:sz w:val="18"/>
                </w:rPr>
                <w:t>Bilkent Müfredat ve Öğretim Geliştirme Esasları</w:t>
              </w:r>
            </w:hyperlink>
            <w:r>
              <w:rPr>
                <w:sz w:val="18"/>
              </w:rPr>
              <w:t xml:space="preserve"> ve </w:t>
            </w:r>
            <w:hyperlink r:id="rId20">
              <w:r>
                <w:rPr>
                  <w:color w:val="285D6A"/>
                  <w:sz w:val="18"/>
                </w:rPr>
                <w:t>Bilkent Kalite Komisyonu Çalışma Usul ve Esasları</w:t>
              </w:r>
            </w:hyperlink>
            <w:r>
              <w:rPr>
                <w:sz w:val="18"/>
              </w:rPr>
              <w:t>.</w:t>
            </w:r>
          </w:p>
        </w:tc>
        <w:tc>
          <w:tcPr>
            <w:tcW w:type="dxa" w:w="2608"/>
            <w:vAlign w:val="center"/>
            <w:shd w:fill="FFFFFF"/>
          </w:tcPr>
          <w:p>
            <w:pPr>
              <w:spacing w:line="252" w:lineRule="auto" w:before="0" w:after="0"/>
            </w:pPr>
            <w:r>
              <w:rPr>
                <w:sz w:val="18"/>
              </w:rPr>
              <w:t xml:space="preserve">ODTÜ örneği geç başvuruyu bir dönem sonraya bırakır; taslak yıllık takvimi esas alır. Kaynak: </w:t>
            </w:r>
            <w:hyperlink r:id="rId23">
              <w:r>
                <w:rPr>
                  <w:color w:val="285D6A"/>
                  <w:sz w:val="18"/>
                </w:rPr>
                <w:t>ODTÜ Fen Bilimleri Enstitüsü Yeni Ders Önerisi Akışı</w:t>
              </w:r>
            </w:hyperlink>
            <w:r>
              <w:rPr>
                <w:sz w:val="18"/>
              </w:rPr>
              <w:t>, PDF s.2.</w:t>
            </w:r>
          </w:p>
        </w:tc>
      </w:tr>
      <w:tr>
        <w:trPr>
          <w:cantSplit/>
        </w:trPr>
        <w:tc>
          <w:tcPr>
            <w:tcW w:type="dxa" w:w="1361"/>
            <w:vAlign w:val="center"/>
            <w:shd w:fill="F7F7F7"/>
          </w:tcPr>
          <w:p>
            <w:pPr>
              <w:spacing w:line="252" w:lineRule="auto" w:before="0" w:after="0"/>
            </w:pPr>
            <w:r>
              <w:rPr>
                <w:sz w:val="18"/>
              </w:rPr>
              <w:t>Madde 15/2</w:t>
            </w:r>
          </w:p>
        </w:tc>
        <w:tc>
          <w:tcPr>
            <w:tcW w:type="dxa" w:w="2494"/>
            <w:vAlign w:val="center"/>
            <w:shd w:fill="F7F7F7"/>
          </w:tcPr>
          <w:p>
            <w:pPr>
              <w:spacing w:line="252" w:lineRule="auto" w:before="0" w:after="0"/>
            </w:pPr>
            <w:r>
              <w:rPr>
                <w:sz w:val="18"/>
              </w:rPr>
              <w:t>İlk çalışma metni belge eksiklerinin tamamlanmasını istiyordu; bunu yapmak için süre belirlemiyordu.</w:t>
            </w:r>
          </w:p>
        </w:tc>
        <w:tc>
          <w:tcPr>
            <w:tcW w:type="dxa" w:w="5216"/>
            <w:vAlign w:val="center"/>
            <w:shd w:fill="F7F7F7"/>
          </w:tcPr>
          <w:p>
            <w:pPr>
              <w:spacing w:line="252" w:lineRule="auto" w:before="0" w:after="0"/>
            </w:pPr>
            <w:r>
              <w:rPr>
                <w:sz w:val="18"/>
              </w:rPr>
              <w:t>Süresinde kayda alınan dosyalarda 13 üncü maddenin üçüncü fıkrası kapsamında belirlenen belge eksiklikleri, sekretaryanın eksikleri yazılı olarak bildirmesini izleyen beş iş günü içinde ilgili akademik birim tarafından tamamlanır.</w:t>
            </w:r>
          </w:p>
        </w:tc>
        <w:tc>
          <w:tcPr>
            <w:tcW w:type="dxa" w:w="2948"/>
            <w:vAlign w:val="center"/>
            <w:shd w:fill="F7F7F7"/>
          </w:tcPr>
          <w:p>
            <w:pPr>
              <w:spacing w:line="252" w:lineRule="auto" w:before="0" w:after="0"/>
            </w:pPr>
            <w:r>
              <w:rPr>
                <w:sz w:val="18"/>
              </w:rPr>
              <w:t>Eksik belge bildiriminden sonra beş iş günü tanır. Örneğin eksik kurul kararı veya ek belge bu süre içinde tamamlanır.</w:t>
            </w:r>
          </w:p>
        </w:tc>
        <w:tc>
          <w:tcPr>
            <w:tcW w:type="dxa" w:w="2494"/>
            <w:vAlign w:val="center"/>
            <w:shd w:fill="F7F7F7"/>
          </w:tcPr>
          <w:p>
            <w:pPr>
              <w:spacing w:line="252" w:lineRule="auto" w:before="0" w:after="0"/>
            </w:pPr>
            <w:r>
              <w:rPr>
                <w:sz w:val="18"/>
              </w:rPr>
            </w:r>
            <w:hyperlink r:id="rId10">
              <w:r>
                <w:rPr>
                  <w:color w:val="285D6A"/>
                  <w:sz w:val="18"/>
                </w:rPr>
                <w:t>2547 sayılı Yükseköğretim Kanunu</w:t>
              </w:r>
            </w:hyperlink>
            <w:r>
              <w:rPr>
                <w:sz w:val="18"/>
              </w:rPr>
              <w:t xml:space="preserve"> m.14/b-1 ve b-4 akademik esaslar ve takvim için genel yetki çerçevesidir. Aşağıdaki tarih, gün sayısı ve dosya sonucu kanunda belirlenmiş bir PEK süresi değil, bu yönergeyle önerilen kuraldır.</w:t>
            </w:r>
          </w:p>
        </w:tc>
        <w:tc>
          <w:tcPr>
            <w:tcW w:type="dxa" w:w="2494"/>
            <w:vAlign w:val="center"/>
            <w:shd w:fill="F7F7F7"/>
          </w:tcPr>
          <w:p>
            <w:pPr>
              <w:spacing w:line="252" w:lineRule="auto" w:before="0" w:after="0"/>
            </w:pPr>
            <w:r>
              <w:rPr>
                <w:sz w:val="18"/>
              </w:rPr>
            </w:r>
            <w:hyperlink r:id="rId13">
              <w:r>
                <w:rPr>
                  <w:color w:val="285D6A"/>
                  <w:sz w:val="18"/>
                </w:rPr>
                <w:t>TEDÜ 2025 Kurum İç Değerlendirme Raporu</w:t>
              </w:r>
            </w:hyperlink>
            <w:r>
              <w:rPr>
                <w:sz w:val="18"/>
              </w:rPr>
              <w:t xml:space="preserve"> B.1.6 ile karşılaştırma: Mevcut rapordaki beş günlük akademik düzeltme anlatımından farklı olarak burada belge eksikleri için beş iş günü belirleniyor.</w:t>
            </w:r>
          </w:p>
        </w:tc>
        <w:tc>
          <w:tcPr>
            <w:tcW w:type="dxa" w:w="2608"/>
            <w:vAlign w:val="center"/>
            <w:shd w:fill="F7F7F7"/>
          </w:tcPr>
          <w:p>
            <w:pPr>
              <w:spacing w:line="252" w:lineRule="auto" w:before="0" w:after="0"/>
            </w:pPr>
            <w:r>
              <w:rPr>
                <w:sz w:val="18"/>
              </w:rPr>
              <w:t xml:space="preserve">Aynı beş iş günlük belge tamamlama süresi incelenen Bilkent kaynaklarında bulunmadı. Karşılaştırılan belgeler: </w:t>
            </w:r>
            <w:hyperlink r:id="rId19">
              <w:r>
                <w:rPr>
                  <w:color w:val="285D6A"/>
                  <w:sz w:val="18"/>
                </w:rPr>
                <w:t>Bilkent Müfredat ve Öğretim Geliştirme Esasları</w:t>
              </w:r>
            </w:hyperlink>
            <w:r>
              <w:rPr>
                <w:sz w:val="18"/>
              </w:rPr>
              <w:t xml:space="preserve"> ve </w:t>
            </w:r>
            <w:hyperlink r:id="rId20">
              <w:r>
                <w:rPr>
                  <w:color w:val="285D6A"/>
                  <w:sz w:val="18"/>
                </w:rPr>
                <w:t>Bilkent Kalite Komisyonu Çalışma Usul ve Esasları</w:t>
              </w:r>
            </w:hyperlink>
            <w:r>
              <w:rPr>
                <w:sz w:val="18"/>
              </w:rPr>
              <w:t>.</w:t>
            </w:r>
          </w:p>
        </w:tc>
        <w:tc>
          <w:tcPr>
            <w:tcW w:type="dxa" w:w="2608"/>
            <w:vAlign w:val="center"/>
            <w:shd w:fill="F7F7F7"/>
          </w:tcPr>
          <w:p>
            <w:pPr>
              <w:spacing w:line="252" w:lineRule="auto" w:before="0" w:after="0"/>
            </w:pPr>
            <w:r>
              <w:rPr>
                <w:sz w:val="18"/>
              </w:rPr>
              <w:t xml:space="preserve">ODTÜ örneği eksik belgeli dosyayı iade eder; aynı beş iş günlük süreyi koymaz. Kaynak: </w:t>
            </w:r>
            <w:hyperlink r:id="rId23">
              <w:r>
                <w:rPr>
                  <w:color w:val="285D6A"/>
                  <w:sz w:val="18"/>
                </w:rPr>
                <w:t>ODTÜ Fen Bilimleri Enstitüsü Yeni Ders Önerisi Akışı</w:t>
              </w:r>
            </w:hyperlink>
            <w:r>
              <w:rPr>
                <w:sz w:val="18"/>
              </w:rPr>
              <w:t>, PDF s.2.</w:t>
            </w:r>
          </w:p>
        </w:tc>
      </w:tr>
      <w:tr>
        <w:trPr>
          <w:cantSplit/>
        </w:trPr>
        <w:tc>
          <w:tcPr>
            <w:tcW w:type="dxa" w:w="1361"/>
            <w:vAlign w:val="center"/>
            <w:shd w:fill="FFFFFF"/>
          </w:tcPr>
          <w:p>
            <w:pPr>
              <w:spacing w:line="252" w:lineRule="auto" w:before="0" w:after="0"/>
            </w:pPr>
            <w:r>
              <w:rPr>
                <w:sz w:val="18"/>
              </w:rPr>
              <w:t>Madde 15/3</w:t>
            </w:r>
          </w:p>
        </w:tc>
        <w:tc>
          <w:tcPr>
            <w:tcW w:type="dxa" w:w="2494"/>
            <w:vAlign w:val="center"/>
            <w:shd w:fill="FFFFFF"/>
          </w:tcPr>
          <w:p>
            <w:pPr>
              <w:spacing w:line="252" w:lineRule="auto" w:before="0" w:after="0"/>
            </w:pPr>
            <w:r>
              <w:rPr>
                <w:sz w:val="18"/>
              </w:rPr>
              <w:t>İlk çalışma metni akademik düzeltmenin süresini ve kurul kararının değişmesi hâlinde izlenecek yolu açıklamıyordu.</w:t>
            </w:r>
          </w:p>
        </w:tc>
        <w:tc>
          <w:tcPr>
            <w:tcW w:type="dxa" w:w="5216"/>
            <w:vAlign w:val="center"/>
            <w:shd w:fill="FFFFFF"/>
          </w:tcPr>
          <w:p>
            <w:pPr>
              <w:spacing w:line="252" w:lineRule="auto" w:before="0" w:after="0"/>
            </w:pPr>
            <w:r>
              <w:rPr>
                <w:sz w:val="18"/>
              </w:rPr>
              <w:t>Komisyonun incelemesi sırasında istenen akademik açıklama veya düzeltmeler, istemin sekretarya tarafından yazılı olarak bildirilmesini izleyen on iş günü içinde ilgili akademik birim tarafından iletilir. Kurul kararlarının içeriğini değiştiren düzeltmeler, 13 üncü maddenin birinci fıkrasındaki onay süreci izlenerek sunulur.</w:t>
            </w:r>
          </w:p>
        </w:tc>
        <w:tc>
          <w:tcPr>
            <w:tcW w:type="dxa" w:w="2948"/>
            <w:vAlign w:val="center"/>
            <w:shd w:fill="FFFFFF"/>
          </w:tcPr>
          <w:p>
            <w:pPr>
              <w:spacing w:line="252" w:lineRule="auto" w:before="0" w:after="0"/>
            </w:pPr>
            <w:r>
              <w:rPr>
                <w:sz w:val="18"/>
              </w:rPr>
              <w:t>Akademik açıklama veya düzeltme için on iş günü verir. Değişiklik kurulca onaylanmış önerinin içeriğini değiştirirse ilgili onaylar yeniden alınır.</w:t>
            </w:r>
          </w:p>
        </w:tc>
        <w:tc>
          <w:tcPr>
            <w:tcW w:type="dxa" w:w="2494"/>
            <w:vAlign w:val="center"/>
            <w:shd w:fill="FFFFFF"/>
          </w:tcPr>
          <w:p>
            <w:pPr>
              <w:spacing w:line="252" w:lineRule="auto" w:before="0" w:after="0"/>
            </w:pPr>
            <w:r>
              <w:rPr>
                <w:sz w:val="18"/>
              </w:rPr>
            </w:r>
            <w:hyperlink r:id="rId10">
              <w:r>
                <w:rPr>
                  <w:color w:val="285D6A"/>
                  <w:sz w:val="18"/>
                </w:rPr>
                <w:t>2547 sayılı Yükseköğretim Kanunu</w:t>
              </w:r>
            </w:hyperlink>
            <w:r>
              <w:rPr>
                <w:sz w:val="18"/>
              </w:rPr>
              <w:t xml:space="preserve"> m.14/b-1 ve b-4 akademik esaslar ve takvim için genel yetki çerçevesidir. Aşağıdaki tarih, gün sayısı ve dosya sonucu kanunda belirlenmiş bir PEK süresi değil, bu yönergeyle önerilen kuraldır.</w:t>
            </w:r>
          </w:p>
        </w:tc>
        <w:tc>
          <w:tcPr>
            <w:tcW w:type="dxa" w:w="2494"/>
            <w:vAlign w:val="center"/>
            <w:shd w:fill="FFFFFF"/>
          </w:tcPr>
          <w:p>
            <w:pPr>
              <w:spacing w:line="252" w:lineRule="auto" w:before="0" w:after="0"/>
            </w:pPr>
            <w:r>
              <w:rPr>
                <w:sz w:val="18"/>
              </w:rPr>
            </w:r>
            <w:hyperlink r:id="rId13">
              <w:r>
                <w:rPr>
                  <w:color w:val="285D6A"/>
                  <w:sz w:val="18"/>
                </w:rPr>
                <w:t>TEDÜ 2025 Kurum İç Değerlendirme Raporu</w:t>
              </w:r>
            </w:hyperlink>
            <w:r>
              <w:rPr>
                <w:sz w:val="18"/>
              </w:rPr>
              <w:t xml:space="preserve"> B.1.6 ile karşılaştırma: Mevcut rapor düzeltme için beş gün anlatıyor. Taslak akademik düzeltmeye on iş günü tanıdığı için bu noktada yeni bir düzen öneriyor.</w:t>
            </w:r>
          </w:p>
        </w:tc>
        <w:tc>
          <w:tcPr>
            <w:tcW w:type="dxa" w:w="2608"/>
            <w:vAlign w:val="center"/>
            <w:shd w:fill="FFFFFF"/>
          </w:tcPr>
          <w:p>
            <w:pPr>
              <w:spacing w:line="252" w:lineRule="auto" w:before="0" w:after="0"/>
            </w:pPr>
            <w:r>
              <w:rPr>
                <w:sz w:val="18"/>
              </w:rPr>
              <w:t xml:space="preserve">Bilkent müfredat metninde geri bildirim ve yeniden düzenleme yaklaşımı var; aynı on iş günlük süre yok. Karşılaştırılan belgeler: </w:t>
            </w:r>
            <w:hyperlink r:id="rId19">
              <w:r>
                <w:rPr>
                  <w:color w:val="285D6A"/>
                  <w:sz w:val="18"/>
                </w:rPr>
                <w:t>Bilkent Müfredat ve Öğretim Geliştirme Esasları</w:t>
              </w:r>
            </w:hyperlink>
            <w:r>
              <w:rPr>
                <w:sz w:val="18"/>
              </w:rPr>
              <w:t xml:space="preserve"> ve </w:t>
            </w:r>
            <w:hyperlink r:id="rId20">
              <w:r>
                <w:rPr>
                  <w:color w:val="285D6A"/>
                  <w:sz w:val="18"/>
                </w:rPr>
                <w:t>Bilkent Kalite Komisyonu Çalışma Usul ve Esasları</w:t>
              </w:r>
            </w:hyperlink>
            <w:r>
              <w:rPr>
                <w:sz w:val="18"/>
              </w:rPr>
              <w:t>.</w:t>
            </w:r>
          </w:p>
        </w:tc>
        <w:tc>
          <w:tcPr>
            <w:tcW w:type="dxa" w:w="2608"/>
            <w:vAlign w:val="center"/>
            <w:shd w:fill="FFFFFF"/>
          </w:tcPr>
          <w:p>
            <w:pPr>
              <w:spacing w:line="252" w:lineRule="auto" w:before="0" w:after="0"/>
            </w:pPr>
            <w:r>
              <w:rPr>
                <w:sz w:val="18"/>
              </w:rPr>
              <w:t xml:space="preserve">ODTÜ örneği açıklama ve güncelleme ister; aynı on iş günlük süreyi yazmaz. Kaynak: </w:t>
            </w:r>
            <w:hyperlink r:id="rId23">
              <w:r>
                <w:rPr>
                  <w:color w:val="285D6A"/>
                  <w:sz w:val="18"/>
                </w:rPr>
                <w:t>ODTÜ Fen Bilimleri Enstitüsü Yeni Ders Önerisi Akışı</w:t>
              </w:r>
            </w:hyperlink>
            <w:r>
              <w:rPr>
                <w:sz w:val="18"/>
              </w:rPr>
              <w:t>, PDF s.2.</w:t>
            </w:r>
          </w:p>
        </w:tc>
      </w:tr>
      <w:tr>
        <w:trPr>
          <w:cantSplit/>
        </w:trPr>
        <w:tc>
          <w:tcPr>
            <w:tcW w:type="dxa" w:w="1361"/>
            <w:vAlign w:val="center"/>
            <w:shd w:fill="F7F7F7"/>
          </w:tcPr>
          <w:p>
            <w:pPr>
              <w:spacing w:line="252" w:lineRule="auto" w:before="0" w:after="0"/>
            </w:pPr>
            <w:r>
              <w:rPr>
                <w:sz w:val="18"/>
              </w:rPr>
              <w:t>Madde 15/4</w:t>
            </w:r>
          </w:p>
        </w:tc>
        <w:tc>
          <w:tcPr>
            <w:tcW w:type="dxa" w:w="2494"/>
            <w:vAlign w:val="center"/>
            <w:shd w:fill="F7F7F7"/>
          </w:tcPr>
          <w:p>
            <w:pPr>
              <w:spacing w:line="252" w:lineRule="auto" w:before="0" w:after="0"/>
            </w:pPr>
            <w:r>
              <w:rPr>
                <w:sz w:val="18"/>
              </w:rPr>
              <w:t>İlk çalışma metni, süresinde tamamlanmayan dosyanın bekletilmeye devam mı edileceğini yoksa kapatılacağını mı açıklamıyordu.</w:t>
            </w:r>
          </w:p>
        </w:tc>
        <w:tc>
          <w:tcPr>
            <w:tcW w:type="dxa" w:w="5216"/>
            <w:vAlign w:val="center"/>
            <w:shd w:fill="F7F7F7"/>
          </w:tcPr>
          <w:p>
            <w:pPr>
              <w:spacing w:line="252" w:lineRule="auto" w:before="0" w:after="0"/>
            </w:pPr>
            <w:r>
              <w:rPr>
                <w:sz w:val="18"/>
              </w:rPr>
              <w:t>İkinci veya üçüncü fıkrada belirtilen sürelerde tamamlanmayan dosyalar, Başkanın bilgisi dâhilinde işlemden kaldırılır ve bu durum gerekçesiyle ilgili akademik birime bildirilir. Bu işlem akademik yönden ret anlamına gelmez; sonraki eğitim-öğretim yılları için yeniden başvuru yapılabilir.</w:t>
            </w:r>
          </w:p>
        </w:tc>
        <w:tc>
          <w:tcPr>
            <w:tcW w:type="dxa" w:w="2948"/>
            <w:vAlign w:val="center"/>
            <w:shd w:fill="F7F7F7"/>
          </w:tcPr>
          <w:p>
            <w:pPr>
              <w:spacing w:line="252" w:lineRule="auto" w:before="0" w:after="0"/>
            </w:pPr>
            <w:r>
              <w:rPr>
                <w:sz w:val="18"/>
              </w:rPr>
              <w:t>Süresinde tamamlanmayan dosyanın işlemden kaldırılmasını ve gerekçesinin bildirilmesini sağlar. Bu, akademik ret değildir; sonraki yıllar için yeniden başvuru mümkündür.</w:t>
            </w:r>
          </w:p>
        </w:tc>
        <w:tc>
          <w:tcPr>
            <w:tcW w:type="dxa" w:w="2494"/>
            <w:vAlign w:val="center"/>
            <w:shd w:fill="F7F7F7"/>
          </w:tcPr>
          <w:p>
            <w:pPr>
              <w:spacing w:line="252" w:lineRule="auto" w:before="0" w:after="0"/>
            </w:pPr>
            <w:r>
              <w:rPr>
                <w:sz w:val="18"/>
              </w:rPr>
            </w:r>
            <w:hyperlink r:id="rId10">
              <w:r>
                <w:rPr>
                  <w:color w:val="285D6A"/>
                  <w:sz w:val="18"/>
                </w:rPr>
                <w:t>2547 sayılı Yükseköğretim Kanunu</w:t>
              </w:r>
            </w:hyperlink>
            <w:r>
              <w:rPr>
                <w:sz w:val="18"/>
              </w:rPr>
              <w:t xml:space="preserve"> m.14/b-1 ve b-4 akademik esaslar ve takvim için genel yetki çerçevesidir. Aşağıdaki tarih, gün sayısı ve dosya sonucu kanunda belirlenmiş bir PEK süresi değil, bu yönergeyle önerilen kuraldır.</w:t>
            </w:r>
          </w:p>
        </w:tc>
        <w:tc>
          <w:tcPr>
            <w:tcW w:type="dxa" w:w="2494"/>
            <w:vAlign w:val="center"/>
            <w:shd w:fill="F7F7F7"/>
          </w:tcPr>
          <w:p>
            <w:pPr>
              <w:spacing w:line="252" w:lineRule="auto" w:before="0" w:after="0"/>
            </w:pPr>
            <w:r>
              <w:rPr>
                <w:sz w:val="18"/>
              </w:rPr>
            </w:r>
            <w:hyperlink r:id="rId13">
              <w:r>
                <w:rPr>
                  <w:color w:val="285D6A"/>
                  <w:sz w:val="18"/>
                </w:rPr>
                <w:t>TEDÜ 2025 Kurum İç Değerlendirme Raporu</w:t>
              </w:r>
            </w:hyperlink>
            <w:r>
              <w:rPr>
                <w:sz w:val="18"/>
              </w:rPr>
              <w:t xml:space="preserve"> B.1.6 ile karşılaştırma: Bu sonuç yeni bir usul önerisidir. Mevcut raporda aynı tamamlama süresi sonu sonucu açıkça bulunmadı.</w:t>
            </w:r>
          </w:p>
        </w:tc>
        <w:tc>
          <w:tcPr>
            <w:tcW w:type="dxa" w:w="2608"/>
            <w:vAlign w:val="center"/>
            <w:shd w:fill="F7F7F7"/>
          </w:tcPr>
          <w:p>
            <w:pPr>
              <w:spacing w:line="252" w:lineRule="auto" w:before="0" w:after="0"/>
            </w:pPr>
            <w:r>
              <w:rPr>
                <w:sz w:val="18"/>
              </w:rPr>
              <w:t xml:space="preserve">Aynı süre sonunda işlemden kaldırma kuralı incelenen Bilkent kaynaklarında bulunmadı. Karşılaştırılan belgeler: </w:t>
            </w:r>
            <w:hyperlink r:id="rId19">
              <w:r>
                <w:rPr>
                  <w:color w:val="285D6A"/>
                  <w:sz w:val="18"/>
                </w:rPr>
                <w:t>Bilkent Müfredat ve Öğretim Geliştirme Esasları</w:t>
              </w:r>
            </w:hyperlink>
            <w:r>
              <w:rPr>
                <w:sz w:val="18"/>
              </w:rPr>
              <w:t xml:space="preserve"> ve </w:t>
            </w:r>
            <w:hyperlink r:id="rId20">
              <w:r>
                <w:rPr>
                  <w:color w:val="285D6A"/>
                  <w:sz w:val="18"/>
                </w:rPr>
                <w:t>Bilkent Kalite Komisyonu Çalışma Usul ve Esasları</w:t>
              </w:r>
            </w:hyperlink>
            <w:r>
              <w:rPr>
                <w:sz w:val="18"/>
              </w:rPr>
              <w:t>.</w:t>
            </w:r>
          </w:p>
        </w:tc>
        <w:tc>
          <w:tcPr>
            <w:tcW w:type="dxa" w:w="2608"/>
            <w:vAlign w:val="center"/>
            <w:shd w:fill="F7F7F7"/>
          </w:tcPr>
          <w:p>
            <w:pPr>
              <w:spacing w:line="252" w:lineRule="auto" w:before="0" w:after="0"/>
            </w:pPr>
            <w:r>
              <w:rPr>
                <w:sz w:val="18"/>
              </w:rPr>
              <w:t xml:space="preserve">ODTÜ örneğinde eksik belge iadesi var; taslaktaki tamamlama süresi sonunda işlemden kaldırma kuralıyla aynı değildir. Kaynak: </w:t>
            </w:r>
            <w:hyperlink r:id="rId23">
              <w:r>
                <w:rPr>
                  <w:color w:val="285D6A"/>
                  <w:sz w:val="18"/>
                </w:rPr>
                <w:t>ODTÜ Fen Bilimleri Enstitüsü Yeni Ders Önerisi Akışı</w:t>
              </w:r>
            </w:hyperlink>
            <w:r>
              <w:rPr>
                <w:sz w:val="18"/>
              </w:rPr>
              <w:t>, PDF s.2.</w:t>
            </w:r>
          </w:p>
        </w:tc>
      </w:tr>
      <w:tr>
        <w:trPr>
          <w:cantSplit/>
        </w:trPr>
        <w:tc>
          <w:tcPr>
            <w:tcW w:type="dxa" w:w="1361"/>
            <w:vAlign w:val="center"/>
            <w:shd w:fill="FFFFFF"/>
          </w:tcPr>
          <w:p>
            <w:pPr>
              <w:spacing w:line="252" w:lineRule="auto" w:before="0" w:after="0"/>
            </w:pPr>
            <w:r>
              <w:rPr>
                <w:sz w:val="18"/>
              </w:rPr>
              <w:t>Madde 15/5</w:t>
            </w:r>
          </w:p>
        </w:tc>
        <w:tc>
          <w:tcPr>
            <w:tcW w:type="dxa" w:w="2494"/>
            <w:vAlign w:val="center"/>
            <w:shd w:fill="FFFFFF"/>
          </w:tcPr>
          <w:p>
            <w:pPr>
              <w:spacing w:line="252" w:lineRule="auto" w:before="0" w:after="0"/>
            </w:pPr>
            <w:r>
              <w:rPr>
                <w:sz w:val="18"/>
              </w:rPr>
              <w:t>İlk çalışma metni eksik tamamlandığında ilk başvuru tarihinin korunmasını veya yeni işlem eklenmesini açıklamıyordu.</w:t>
            </w:r>
          </w:p>
        </w:tc>
        <w:tc>
          <w:tcPr>
            <w:tcW w:type="dxa" w:w="5216"/>
            <w:vAlign w:val="center"/>
            <w:shd w:fill="FFFFFF"/>
          </w:tcPr>
          <w:p>
            <w:pPr>
              <w:spacing w:line="252" w:lineRule="auto" w:before="0" w:after="0"/>
            </w:pPr>
            <w:r>
              <w:rPr>
                <w:sz w:val="18"/>
              </w:rPr>
              <w:t>Aynı önerinin bu maddede belirtilen sürelerde tamamlanması veya Komisyonun istediği düzeltmelerin yapılması hâlinde ilk başvuru tarihi korunur. Dosyaya önerinin kapsamı dışında yeni bir işlem eklenmesi ayrı başvuru sayılır. Tamamlanan dosya, Başkan tarafından 10 ve 11 inci maddeler uyarınca yapılacak Komisyon toplantısının gündemine alınır.</w:t>
            </w:r>
          </w:p>
        </w:tc>
        <w:tc>
          <w:tcPr>
            <w:tcW w:type="dxa" w:w="2948"/>
            <w:vAlign w:val="center"/>
            <w:shd w:fill="FFFFFF"/>
          </w:tcPr>
          <w:p>
            <w:pPr>
              <w:spacing w:line="252" w:lineRule="auto" w:before="0" w:after="0"/>
            </w:pPr>
            <w:r>
              <w:rPr>
                <w:sz w:val="18"/>
              </w:rPr>
              <w:t>Süresinde yapılmış başvurunun düzeltme nedeniyle geç başvuru sayılmasını önler. Kapsam dışı yeni işlem ayrı başvurudur. Tamamlanan dosyanın yeniden gündeme alınacağını da belirtir.</w:t>
            </w:r>
          </w:p>
        </w:tc>
        <w:tc>
          <w:tcPr>
            <w:tcW w:type="dxa" w:w="2494"/>
            <w:vAlign w:val="center"/>
            <w:shd w:fill="FFFFFF"/>
          </w:tcPr>
          <w:p>
            <w:pPr>
              <w:spacing w:line="252" w:lineRule="auto" w:before="0" w:after="0"/>
            </w:pPr>
            <w:r>
              <w:rPr>
                <w:sz w:val="18"/>
              </w:rPr>
            </w:r>
            <w:hyperlink r:id="rId10">
              <w:r>
                <w:rPr>
                  <w:color w:val="285D6A"/>
                  <w:sz w:val="18"/>
                </w:rPr>
                <w:t>2547 sayılı Yükseköğretim Kanunu</w:t>
              </w:r>
            </w:hyperlink>
            <w:r>
              <w:rPr>
                <w:sz w:val="18"/>
              </w:rPr>
              <w:t xml:space="preserve"> m.14/b-1 ve b-4 akademik esaslar ve takvim için genel yetki çerçevesidir. Aşağıdaki tarih, gün sayısı ve dosya sonucu kanunda belirlenmiş bir PEK süresi değil, bu yönergeyle önerilen kuraldır.</w:t>
            </w:r>
          </w:p>
        </w:tc>
        <w:tc>
          <w:tcPr>
            <w:tcW w:type="dxa" w:w="2494"/>
            <w:vAlign w:val="center"/>
            <w:shd w:fill="FFFFFF"/>
          </w:tcPr>
          <w:p>
            <w:pPr>
              <w:spacing w:line="252" w:lineRule="auto" w:before="0" w:after="0"/>
            </w:pPr>
            <w:r>
              <w:rPr>
                <w:sz w:val="18"/>
              </w:rPr>
            </w:r>
            <w:hyperlink r:id="rId13">
              <w:r>
                <w:rPr>
                  <w:color w:val="285D6A"/>
                  <w:sz w:val="18"/>
                </w:rPr>
                <w:t>TEDÜ 2025 Kurum İç Değerlendirme Raporu</w:t>
              </w:r>
            </w:hyperlink>
            <w:r>
              <w:rPr>
                <w:sz w:val="18"/>
              </w:rPr>
              <w:t xml:space="preserve"> B.1.6 ile karşılaştırma: Mevcut rapor düzeltmelerin yeniden incelendiğini anlatır. İlk tarihi koruma ve yeni işlem ayrımı bu taslakta açıklaştırılır.</w:t>
            </w:r>
          </w:p>
        </w:tc>
        <w:tc>
          <w:tcPr>
            <w:tcW w:type="dxa" w:w="2608"/>
            <w:vAlign w:val="center"/>
            <w:shd w:fill="FFFFFF"/>
          </w:tcPr>
          <w:p>
            <w:pPr>
              <w:spacing w:line="252" w:lineRule="auto" w:before="0" w:after="0"/>
            </w:pPr>
            <w:r>
              <w:rPr>
                <w:sz w:val="18"/>
              </w:rPr>
              <w:t xml:space="preserve">Bilkent müfredat metninde geri bildirim var; aynı başvuru tarihini koruma kuralı bulunmadı. Karşılaştırılan belgeler: </w:t>
            </w:r>
            <w:hyperlink r:id="rId19">
              <w:r>
                <w:rPr>
                  <w:color w:val="285D6A"/>
                  <w:sz w:val="18"/>
                </w:rPr>
                <w:t>Bilkent Müfredat ve Öğretim Geliştirme Esasları</w:t>
              </w:r>
            </w:hyperlink>
            <w:r>
              <w:rPr>
                <w:sz w:val="18"/>
              </w:rPr>
              <w:t xml:space="preserve"> ve </w:t>
            </w:r>
            <w:hyperlink r:id="rId20">
              <w:r>
                <w:rPr>
                  <w:color w:val="285D6A"/>
                  <w:sz w:val="18"/>
                </w:rPr>
                <w:t>Bilkent Kalite Komisyonu Çalışma Usul ve Esasları</w:t>
              </w:r>
            </w:hyperlink>
            <w:r>
              <w:rPr>
                <w:sz w:val="18"/>
              </w:rPr>
              <w:t>.</w:t>
            </w:r>
          </w:p>
        </w:tc>
        <w:tc>
          <w:tcPr>
            <w:tcW w:type="dxa" w:w="2608"/>
            <w:vAlign w:val="center"/>
            <w:shd w:fill="FFFFFF"/>
          </w:tcPr>
          <w:p>
            <w:pPr>
              <w:spacing w:line="252" w:lineRule="auto" w:before="0" w:after="0"/>
            </w:pPr>
            <w:r>
              <w:rPr>
                <w:sz w:val="18"/>
              </w:rPr>
              <w:t xml:space="preserve">ODTÜ örneği güncellenen dosyayı kurul sürecine devam ettirir; ilk tarih korumasını aynı biçimde düzenlemez. Kaynak: </w:t>
            </w:r>
            <w:hyperlink r:id="rId23">
              <w:r>
                <w:rPr>
                  <w:color w:val="285D6A"/>
                  <w:sz w:val="18"/>
                </w:rPr>
                <w:t>ODTÜ Fen Bilimleri Enstitüsü Yeni Ders Önerisi Akışı</w:t>
              </w:r>
            </w:hyperlink>
            <w:r>
              <w:rPr>
                <w:sz w:val="18"/>
              </w:rPr>
              <w:t>, PDF s.2.</w:t>
            </w:r>
          </w:p>
        </w:tc>
      </w:tr>
      <w:tr>
        <w:trPr>
          <w:cantSplit/>
        </w:trPr>
        <w:tc>
          <w:tcPr>
            <w:tcW w:type="dxa" w:w="1361"/>
            <w:vAlign w:val="center"/>
            <w:shd w:fill="F7F7F7"/>
          </w:tcPr>
          <w:p>
            <w:pPr>
              <w:spacing w:line="252" w:lineRule="auto" w:before="0" w:after="0"/>
            </w:pPr>
            <w:r>
              <w:rPr>
                <w:sz w:val="18"/>
              </w:rPr>
              <w:t>Madde 15/6</w:t>
            </w:r>
          </w:p>
        </w:tc>
        <w:tc>
          <w:tcPr>
            <w:tcW w:type="dxa" w:w="2494"/>
            <w:vAlign w:val="center"/>
            <w:shd w:fill="F7F7F7"/>
          </w:tcPr>
          <w:p>
            <w:pPr>
              <w:spacing w:line="252" w:lineRule="auto" w:before="0" w:after="0"/>
            </w:pPr>
            <w:r>
              <w:rPr>
                <w:sz w:val="18"/>
              </w:rPr>
              <w:t>Mevcut rapordaki gün sayılarında iş günü/takvim günü ve bildirimin hangi günden sayılacağı bu açıklıkta belirtilmiyor.</w:t>
            </w:r>
          </w:p>
        </w:tc>
        <w:tc>
          <w:tcPr>
            <w:tcW w:type="dxa" w:w="5216"/>
            <w:vAlign w:val="center"/>
            <w:shd w:fill="F7F7F7"/>
          </w:tcPr>
          <w:p>
            <w:pPr>
              <w:spacing w:line="252" w:lineRule="auto" w:before="0" w:after="0"/>
            </w:pPr>
            <w:r>
              <w:rPr>
                <w:sz w:val="18"/>
              </w:rPr>
              <w:t>Bu maddede ve 16 ncı maddede iş günü olarak belirlenen süreler, bildirimin kurumsal elektronik kanalda kayıtlı olduğu veya süreyi başlatan işlemin tamamlandığı tarihi izleyen ilk iş gününden itibaren hesaplanır. Cumartesi, pazar ve resmî tatil günleri hesaba katılmaz.</w:t>
            </w:r>
          </w:p>
        </w:tc>
        <w:tc>
          <w:tcPr>
            <w:tcW w:type="dxa" w:w="2948"/>
            <w:vAlign w:val="center"/>
            <w:shd w:fill="F7F7F7"/>
          </w:tcPr>
          <w:p>
            <w:pPr>
              <w:spacing w:line="252" w:lineRule="auto" w:before="0" w:after="0"/>
            </w:pPr>
            <w:r>
              <w:rPr>
                <w:sz w:val="18"/>
              </w:rPr>
              <w:t>Madde 15–16 sürelerini bildirimi veya ilgili işlemi izleyen ilk iş gününden başlatır. Cumartesi, pazar ve resmî tatiller sayılmaz. Yıllık 30 Haziran son tarihi bu hesap kuralıyla değişmez.</w:t>
            </w:r>
          </w:p>
        </w:tc>
        <w:tc>
          <w:tcPr>
            <w:tcW w:type="dxa" w:w="2494"/>
            <w:vAlign w:val="center"/>
            <w:shd w:fill="F7F7F7"/>
          </w:tcPr>
          <w:p>
            <w:pPr>
              <w:spacing w:line="252" w:lineRule="auto" w:before="0" w:after="0"/>
            </w:pPr>
            <w:r>
              <w:rPr>
                <w:sz w:val="18"/>
              </w:rPr>
            </w:r>
            <w:hyperlink r:id="rId10">
              <w:r>
                <w:rPr>
                  <w:color w:val="285D6A"/>
                  <w:sz w:val="18"/>
                </w:rPr>
                <w:t>2547 sayılı Yükseköğretim Kanunu</w:t>
              </w:r>
            </w:hyperlink>
            <w:r>
              <w:rPr>
                <w:sz w:val="18"/>
              </w:rPr>
              <w:t xml:space="preserve"> m.14/b-1 ve b-4 akademik esaslar ve takvim için genel yetki çerçevesidir. Aşağıdaki tarih, gün sayısı ve dosya sonucu kanunda belirlenmiş bir PEK süresi değil, bu yönergeyle önerilen kuraldır.</w:t>
            </w:r>
          </w:p>
        </w:tc>
        <w:tc>
          <w:tcPr>
            <w:tcW w:type="dxa" w:w="2494"/>
            <w:vAlign w:val="center"/>
            <w:shd w:fill="F7F7F7"/>
          </w:tcPr>
          <w:p>
            <w:pPr>
              <w:spacing w:line="252" w:lineRule="auto" w:before="0" w:after="0"/>
            </w:pPr>
            <w:r>
              <w:rPr>
                <w:sz w:val="18"/>
              </w:rPr>
            </w:r>
            <w:hyperlink r:id="rId13">
              <w:r>
                <w:rPr>
                  <w:color w:val="285D6A"/>
                  <w:sz w:val="18"/>
                </w:rPr>
                <w:t>TEDÜ 2025 Kurum İç Değerlendirme Raporu</w:t>
              </w:r>
            </w:hyperlink>
            <w:r>
              <w:rPr>
                <w:sz w:val="18"/>
              </w:rPr>
              <w:t xml:space="preserve"> B.1.6 ile karşılaştırma: Gün türü ve başlangıç kuralı bu yönergeyle açıkça belirlenir. Geçici maddedeki otuz takvim günü de iş günü sürelerinden ayrıdır.</w:t>
            </w:r>
          </w:p>
        </w:tc>
        <w:tc>
          <w:tcPr>
            <w:tcW w:type="dxa" w:w="2608"/>
            <w:vAlign w:val="center"/>
            <w:shd w:fill="F7F7F7"/>
          </w:tcPr>
          <w:p>
            <w:pPr>
              <w:spacing w:line="252" w:lineRule="auto" w:before="0" w:after="0"/>
            </w:pPr>
            <w:r>
              <w:rPr>
                <w:sz w:val="18"/>
              </w:rPr>
              <w:t xml:space="preserve">İncelenen Bilkent kaynaklarında aynı PEK süre hesaplama kuralı bulunmadı. Karşılaştırılan belgeler: </w:t>
            </w:r>
            <w:hyperlink r:id="rId19">
              <w:r>
                <w:rPr>
                  <w:color w:val="285D6A"/>
                  <w:sz w:val="18"/>
                </w:rPr>
                <w:t>Bilkent Müfredat ve Öğretim Geliştirme Esasları</w:t>
              </w:r>
            </w:hyperlink>
            <w:r>
              <w:rPr>
                <w:sz w:val="18"/>
              </w:rPr>
              <w:t xml:space="preserve"> ve </w:t>
            </w:r>
            <w:hyperlink r:id="rId20">
              <w:r>
                <w:rPr>
                  <w:color w:val="285D6A"/>
                  <w:sz w:val="18"/>
                </w:rPr>
                <w:t>Bilkent Kalite Komisyonu Çalışma Usul ve Esasları</w:t>
              </w:r>
            </w:hyperlink>
            <w:r>
              <w:rPr>
                <w:sz w:val="18"/>
              </w:rPr>
              <w:t>.</w:t>
            </w:r>
          </w:p>
        </w:tc>
        <w:tc>
          <w:tcPr>
            <w:tcW w:type="dxa" w:w="2608"/>
            <w:vAlign w:val="center"/>
            <w:shd w:fill="F7F7F7"/>
          </w:tcPr>
          <w:p>
            <w:pPr>
              <w:spacing w:line="252" w:lineRule="auto" w:before="0" w:after="0"/>
            </w:pPr>
            <w:r>
              <w:rPr>
                <w:sz w:val="18"/>
              </w:rPr>
              <w:t xml:space="preserve">ODTÜ örneği finallerden 45 gün öncesini esas alır; aynı iş günü hesabını düzenlemez. Kaynak: </w:t>
            </w:r>
            <w:hyperlink r:id="rId23">
              <w:r>
                <w:rPr>
                  <w:color w:val="285D6A"/>
                  <w:sz w:val="18"/>
                </w:rPr>
                <w:t>ODTÜ Fen Bilimleri Enstitüsü Yeni Ders Önerisi Akışı</w:t>
              </w:r>
            </w:hyperlink>
            <w:r>
              <w:rPr>
                <w:sz w:val="18"/>
              </w:rPr>
              <w:t>, PDF s.2.</w:t>
            </w:r>
          </w:p>
        </w:tc>
      </w:tr>
      <w:tr>
        <w:trPr>
          <w:cantSplit/>
        </w:trPr>
        <w:tc>
          <w:tcPr>
            <w:tcW w:type="dxa" w:w="1361"/>
            <w:vAlign w:val="center"/>
            <w:shd w:fill="FFFFFF"/>
          </w:tcPr>
          <w:p>
            <w:pPr>
              <w:spacing w:line="252" w:lineRule="auto" w:before="0" w:after="0"/>
            </w:pPr>
            <w:r>
              <w:rPr>
                <w:sz w:val="18"/>
              </w:rPr>
              <w:t>Madde 16/1</w:t>
            </w:r>
          </w:p>
        </w:tc>
        <w:tc>
          <w:tcPr>
            <w:tcW w:type="dxa" w:w="2494"/>
            <w:vAlign w:val="center"/>
            <w:shd w:fill="FFFFFF"/>
          </w:tcPr>
          <w:p>
            <w:pPr>
              <w:spacing w:line="252" w:lineRule="auto" w:before="0" w:after="0"/>
            </w:pPr>
            <w:r>
              <w:rPr>
                <w:sz w:val="18"/>
              </w:rPr>
              <w:t>Ofisin tutanak hazırlama ve üyelerin PEK tutanağını imzalaması mevcut süreç anlatımında var. İlk taslakta tutanağın içeriği ve imzaları ayrı bir sonuç maddesinde toplanmamıştı.</w:t>
            </w:r>
          </w:p>
        </w:tc>
        <w:tc>
          <w:tcPr>
            <w:tcW w:type="dxa" w:w="5216"/>
            <w:vAlign w:val="center"/>
            <w:shd w:fill="FFFFFF"/>
          </w:tcPr>
          <w:p>
            <w:pPr>
              <w:spacing w:line="252" w:lineRule="auto" w:before="0" w:after="0"/>
            </w:pPr>
            <w:r>
              <w:rPr>
                <w:sz w:val="18"/>
              </w:rPr>
              <w:t>Görüşülen konu, Komisyonun değerlendirme sonucu ve gerekçesi sekretarya tarafından tutanağa yazılır. Tutanak, toplantıya başkanlık eden ve toplantıya katılan üyeler tarafından imzalanır; dosya ve ekleriyle birlikte Üniversitenin kurumsal belge ve arşiv düzenine uygun olarak saklanır.</w:t>
            </w:r>
          </w:p>
        </w:tc>
        <w:tc>
          <w:tcPr>
            <w:tcW w:type="dxa" w:w="2948"/>
            <w:vAlign w:val="center"/>
            <w:shd w:fill="FFFFFF"/>
          </w:tcPr>
          <w:p>
            <w:pPr>
              <w:spacing w:line="252" w:lineRule="auto" w:before="0" w:after="0"/>
            </w:pPr>
            <w:r>
              <w:rPr>
                <w:sz w:val="18"/>
              </w:rPr>
              <w:t>Kararın konusu, sonucu ve gerekçesinin kayda alınmasını sağlar. Toplantıya başkanlık eden ve katılan üyeler imzalar; yeni ve keyfî bir saklama süresi belirlenmez.</w:t>
            </w:r>
          </w:p>
        </w:tc>
        <w:tc>
          <w:tcPr>
            <w:tcW w:type="dxa" w:w="2494"/>
            <w:vAlign w:val="center"/>
            <w:shd w:fill="FFFFFF"/>
          </w:tcPr>
          <w:p>
            <w:pPr>
              <w:spacing w:line="252" w:lineRule="auto" w:before="0" w:after="0"/>
            </w:pPr>
            <w:r>
              <w:rPr>
                <w:sz w:val="18"/>
              </w:rPr>
            </w:r>
            <w:hyperlink r:id="rId10">
              <w:r>
                <w:rPr>
                  <w:color w:val="285D6A"/>
                  <w:sz w:val="18"/>
                </w:rPr>
                <w:t>2547 sayılı Yükseköğretim Kanunu</w:t>
              </w:r>
            </w:hyperlink>
            <w:r>
              <w:rPr>
                <w:sz w:val="18"/>
              </w:rPr>
              <w:t xml:space="preserve"> m.14, eğitim-öğretim esaslarını ve akademik takvimi kararlaştırma görevini Senatoya verir. Bu fıkradaki ayrıntılı çalışma usulü ise yönerge için önerilen kurum kuralıdır.</w:t>
            </w:r>
          </w:p>
        </w:tc>
        <w:tc>
          <w:tcPr>
            <w:tcW w:type="dxa" w:w="2494"/>
            <w:vAlign w:val="center"/>
            <w:shd w:fill="FFFFFF"/>
          </w:tcPr>
          <w:p>
            <w:pPr>
              <w:spacing w:line="252" w:lineRule="auto" w:before="0" w:after="0"/>
            </w:pPr>
            <w:r>
              <w:rPr>
                <w:sz w:val="18"/>
              </w:rPr>
            </w:r>
            <w:hyperlink r:id="rId13">
              <w:r>
                <w:rPr>
                  <w:color w:val="285D6A"/>
                  <w:sz w:val="18"/>
                </w:rPr>
                <w:t>TEDÜ 2025 Kurum İç Değerlendirme Raporu</w:t>
              </w:r>
            </w:hyperlink>
            <w:r>
              <w:rPr>
                <w:sz w:val="18"/>
              </w:rPr>
              <w:t xml:space="preserve"> B.1.6 Ofisin tutanağı hazırlamasını, PEK üyelerinin imzalamasını ve Senato gündemine iletimi anlatır.</w:t>
            </w:r>
          </w:p>
        </w:tc>
        <w:tc>
          <w:tcPr>
            <w:tcW w:type="dxa" w:w="2608"/>
            <w:vAlign w:val="center"/>
            <w:shd w:fill="FFFFFF"/>
          </w:tcPr>
          <w:p>
            <w:pPr>
              <w:spacing w:line="252" w:lineRule="auto" w:before="0" w:after="0"/>
            </w:pPr>
            <w:r>
              <w:rPr>
                <w:sz w:val="18"/>
              </w:rPr>
            </w:r>
            <w:hyperlink r:id="rId20">
              <w:r>
                <w:rPr>
                  <w:color w:val="285D6A"/>
                  <w:sz w:val="18"/>
                </w:rPr>
                <w:t>Bilkent Kalite Komisyonu Çalışma Usul ve Esasları</w:t>
              </w:r>
            </w:hyperlink>
            <w:r>
              <w:rPr>
                <w:sz w:val="18"/>
              </w:rPr>
              <w:t xml:space="preserve"> m.8 sonuçların raporlanmasını ve Senatoya sunulmasını içerir. Taslaktaki toplantıya katılanların imzası usulüyle aynı ayrıntıda bir PEK hükmü değildir.</w:t>
            </w:r>
          </w:p>
        </w:tc>
        <w:tc>
          <w:tcPr>
            <w:tcW w:type="dxa" w:w="2608"/>
            <w:vAlign w:val="center"/>
            <w:shd w:fill="FFFFFF"/>
          </w:tcPr>
          <w:p>
            <w:pPr>
              <w:spacing w:line="252" w:lineRule="auto" w:before="0" w:after="0"/>
            </w:pPr>
            <w:r>
              <w:rPr>
                <w:sz w:val="18"/>
              </w:rPr>
            </w:r>
            <w:hyperlink r:id="rId24">
              <w:r>
                <w:rPr>
                  <w:color w:val="285D6A"/>
                  <w:sz w:val="18"/>
                </w:rPr>
                <w:t>ODTÜ Kalite Komisyonu Yönergesi</w:t>
              </w:r>
            </w:hyperlink>
            <w:r>
              <w:rPr>
                <w:sz w:val="18"/>
              </w:rPr>
              <w:t xml:space="preserve"> m.4 iç değerlendirme raporlarını düzenler. PEK’in dosya bazındaki toplantı tutanağıyla aynı belge değildir.</w:t>
            </w:r>
          </w:p>
        </w:tc>
      </w:tr>
      <w:tr>
        <w:trPr>
          <w:cantSplit/>
        </w:trPr>
        <w:tc>
          <w:tcPr>
            <w:tcW w:type="dxa" w:w="1361"/>
            <w:vAlign w:val="center"/>
            <w:shd w:fill="F7F7F7"/>
          </w:tcPr>
          <w:p>
            <w:pPr>
              <w:spacing w:line="252" w:lineRule="auto" w:before="0" w:after="0"/>
            </w:pPr>
            <w:r>
              <w:rPr>
                <w:sz w:val="18"/>
              </w:rPr>
              <w:t>Madde 16/2</w:t>
            </w:r>
          </w:p>
        </w:tc>
        <w:tc>
          <w:tcPr>
            <w:tcW w:type="dxa" w:w="2494"/>
            <w:vAlign w:val="center"/>
            <w:shd w:fill="F7F7F7"/>
          </w:tcPr>
          <w:p>
            <w:pPr>
              <w:spacing w:line="252" w:lineRule="auto" w:before="0" w:after="0"/>
            </w:pPr>
            <w:r>
              <w:rPr>
                <w:sz w:val="18"/>
              </w:rPr>
              <w:t>PEK’in inceleme ve görüş sunma rolü mevcut yönetmeliklerde var. İlk taslakta değerlendirme sonuçları üç ayrı tür olarak yazılmamıştı.</w:t>
            </w:r>
          </w:p>
        </w:tc>
        <w:tc>
          <w:tcPr>
            <w:tcW w:type="dxa" w:w="5216"/>
            <w:vAlign w:val="center"/>
            <w:shd w:fill="F7F7F7"/>
          </w:tcPr>
          <w:p>
            <w:pPr>
              <w:spacing w:line="252" w:lineRule="auto" w:before="0" w:after="0"/>
            </w:pPr>
            <w:r>
              <w:rPr>
                <w:sz w:val="18"/>
              </w:rPr>
              <w:t>Komisyon, inceleme sonucunda uygunluk görüşü, gerekçeli olumsuz görüş veya açıklama ve düzeltme istemi oluşturur. Yetkili organlara sunulması gereken görüş ve dosyalar, ilgili eğitim-öğretim düzenlemelerindeki karar ve onay süreci izlenerek iletilir. Komisyonun görüşü, ilgili düzenlemenin aradığı nihai karar ve onayların yerine geçmez.</w:t>
            </w:r>
          </w:p>
        </w:tc>
        <w:tc>
          <w:tcPr>
            <w:tcW w:type="dxa" w:w="2948"/>
            <w:vAlign w:val="center"/>
            <w:shd w:fill="F7F7F7"/>
          </w:tcPr>
          <w:p>
            <w:pPr>
              <w:spacing w:line="252" w:lineRule="auto" w:before="0" w:after="0"/>
            </w:pPr>
            <w:r>
              <w:rPr>
                <w:sz w:val="18"/>
              </w:rPr>
              <w:t>Dosyanın uygun bulunması, gerekçeli olumsuz görüş veya düzeltme istenmesi seçeneklerini açıklar. PEK görüşünün Senato veya diğer yetkili organların kararının yerine geçmesini önler.</w:t>
            </w:r>
          </w:p>
        </w:tc>
        <w:tc>
          <w:tcPr>
            <w:tcW w:type="dxa" w:w="2494"/>
            <w:vAlign w:val="center"/>
            <w:shd w:fill="F7F7F7"/>
          </w:tcPr>
          <w:p>
            <w:pPr>
              <w:spacing w:line="252" w:lineRule="auto" w:before="0" w:after="0"/>
            </w:pPr>
            <w:r>
              <w:rPr>
                <w:sz w:val="18"/>
              </w:rPr>
            </w:r>
            <w:hyperlink r:id="rId10">
              <w:r>
                <w:rPr>
                  <w:color w:val="285D6A"/>
                  <w:sz w:val="18"/>
                </w:rPr>
                <w:t>2547 sayılı Yükseköğretim Kanunu</w:t>
              </w:r>
            </w:hyperlink>
            <w:r>
              <w:rPr>
                <w:sz w:val="18"/>
              </w:rPr>
              <w:t xml:space="preserve"> organların akademik görevlerini ayırır. PEK’e bütün işlemlerde nihai karar yetkisi veren genel bir kanun hükmü saptanmamıştır.</w:t>
            </w:r>
          </w:p>
        </w:tc>
        <w:tc>
          <w:tcPr>
            <w:tcW w:type="dxa" w:w="2494"/>
            <w:vAlign w:val="center"/>
            <w:shd w:fill="F7F7F7"/>
          </w:tcPr>
          <w:p>
            <w:pPr>
              <w:spacing w:line="252" w:lineRule="auto" w:before="0" w:after="0"/>
            </w:pPr>
            <w:r>
              <w:rPr>
                <w:sz w:val="18"/>
              </w:rPr>
            </w:r>
            <w:hyperlink r:id="rId11">
              <w:r>
                <w:rPr>
                  <w:color w:val="285D6A"/>
                  <w:sz w:val="18"/>
                </w:rPr>
                <w:t>TEDÜ Lisans Eğitim-Öğretim Yönetmeliği</w:t>
              </w:r>
            </w:hyperlink>
            <w:r>
              <w:rPr>
                <w:sz w:val="18"/>
              </w:rPr>
              <w:t xml:space="preserve"> m.8 ve 15; </w:t>
            </w:r>
            <w:hyperlink r:id="rId12">
              <w:r>
                <w:rPr>
                  <w:color w:val="285D6A"/>
                  <w:sz w:val="18"/>
                </w:rPr>
                <w:t>TEDÜ Lisansüstü Eğitim-Öğretim Yönetmeliği</w:t>
              </w:r>
            </w:hyperlink>
            <w:r>
              <w:rPr>
                <w:sz w:val="18"/>
              </w:rPr>
              <w:t xml:space="preserve"> m.15 farklı dosyalarda farklı karar/onay aşamaları öngörür. Sonuç, dosyanın tabi olduğu düzenlemeye göre iletilir.</w:t>
            </w:r>
          </w:p>
        </w:tc>
        <w:tc>
          <w:tcPr>
            <w:tcW w:type="dxa" w:w="2608"/>
            <w:vAlign w:val="center"/>
            <w:shd w:fill="F7F7F7"/>
          </w:tcPr>
          <w:p>
            <w:pPr>
              <w:spacing w:line="252" w:lineRule="auto" w:before="0" w:after="0"/>
            </w:pPr>
            <w:r>
              <w:rPr>
                <w:sz w:val="18"/>
              </w:rPr>
            </w:r>
            <w:hyperlink r:id="rId19">
              <w:r>
                <w:rPr>
                  <w:color w:val="285D6A"/>
                  <w:sz w:val="18"/>
                </w:rPr>
                <w:t>Bilkent Müfredat ve Öğretim Geliştirme Esasları</w:t>
              </w:r>
            </w:hyperlink>
            <w:r>
              <w:rPr>
                <w:sz w:val="18"/>
              </w:rPr>
              <w:t xml:space="preserve"> üniversite müfredat komitesini yönetime görüş sunan yapı olarak tarif eder. Görüş ve kararın ayrılması bakımından benzerdir.</w:t>
            </w:r>
          </w:p>
        </w:tc>
        <w:tc>
          <w:tcPr>
            <w:tcW w:type="dxa" w:w="2608"/>
            <w:vAlign w:val="center"/>
            <w:shd w:fill="F7F7F7"/>
          </w:tcPr>
          <w:p>
            <w:pPr>
              <w:spacing w:line="252" w:lineRule="auto" w:before="0" w:after="0"/>
            </w:pPr>
            <w:r>
              <w:rPr>
                <w:sz w:val="18"/>
              </w:rPr>
            </w:r>
            <w:hyperlink r:id="rId23">
              <w:r>
                <w:rPr>
                  <w:color w:val="285D6A"/>
                  <w:sz w:val="18"/>
                </w:rPr>
                <w:t>ODTÜ Fen Bilimleri Enstitüsü Yeni Ders Önerisi Akışı</w:t>
              </w:r>
            </w:hyperlink>
            <w:r>
              <w:rPr>
                <w:sz w:val="18"/>
              </w:rPr>
              <w:t xml:space="preserve"> Enstitüde inceleme sonrası dosyayı yetkili kurula sunar. Nihai kurul kararı ile hazırlık/inceleme aşaması ayrıdır.</w:t>
            </w:r>
          </w:p>
        </w:tc>
      </w:tr>
      <w:tr>
        <w:trPr>
          <w:cantSplit/>
        </w:trPr>
        <w:tc>
          <w:tcPr>
            <w:tcW w:type="dxa" w:w="1361"/>
            <w:vAlign w:val="center"/>
            <w:shd w:fill="FFFFFF"/>
          </w:tcPr>
          <w:p>
            <w:pPr>
              <w:spacing w:line="252" w:lineRule="auto" w:before="0" w:after="0"/>
            </w:pPr>
            <w:r>
              <w:rPr>
                <w:sz w:val="18"/>
              </w:rPr>
              <w:t>Madde 16/3</w:t>
            </w:r>
          </w:p>
        </w:tc>
        <w:tc>
          <w:tcPr>
            <w:tcW w:type="dxa" w:w="2494"/>
            <w:vAlign w:val="center"/>
            <w:shd w:fill="FFFFFF"/>
          </w:tcPr>
          <w:p>
            <w:pPr>
              <w:spacing w:line="252" w:lineRule="auto" w:before="0" w:after="0"/>
            </w:pPr>
            <w:r>
              <w:rPr>
                <w:sz w:val="18"/>
              </w:rPr>
              <w:t>Mevcut belgeler Ofisin koordinasyonunu ve imza kurallarını açıklıyor; PEK görüşünün başvuran birime kaç günde bildirileceğini aynı şekilde belirlemiyor.</w:t>
            </w:r>
          </w:p>
        </w:tc>
        <w:tc>
          <w:tcPr>
            <w:tcW w:type="dxa" w:w="5216"/>
            <w:vAlign w:val="center"/>
            <w:shd w:fill="FFFFFF"/>
          </w:tcPr>
          <w:p>
            <w:pPr>
              <w:spacing w:line="252" w:lineRule="auto" w:before="0" w:after="0"/>
            </w:pPr>
            <w:r>
              <w:rPr>
                <w:sz w:val="18"/>
              </w:rPr>
              <w:t>İmzaları tamamlanan görüş, sekretarya tarafından Başkanın bilgisi dâhilinde beş iş günü içinde başvuruyu yapan akademik birime kurumsal elektronik kanaldan bildirilir. Yetkili karar organlarına yapılacak sunuşlar, Üniversitenin imza ve yazışma düzenine uygun olarak ilgili makama iletilir.</w:t>
            </w:r>
          </w:p>
        </w:tc>
        <w:tc>
          <w:tcPr>
            <w:tcW w:type="dxa" w:w="2948"/>
            <w:vAlign w:val="center"/>
            <w:shd w:fill="FFFFFF"/>
          </w:tcPr>
          <w:p>
            <w:pPr>
              <w:spacing w:line="252" w:lineRule="auto" w:before="0" w:after="0"/>
            </w:pPr>
            <w:r>
              <w:rPr>
                <w:sz w:val="18"/>
              </w:rPr>
              <w:t>İmzalar tamamlandıktan sonra beş iş gününde birime bildirim yapılmasını sağlar. Yetkili karar organlarına sunuş, Üniversitenin mevcut imza ve yazışma usulüne göre yürür.</w:t>
            </w:r>
          </w:p>
        </w:tc>
        <w:tc>
          <w:tcPr>
            <w:tcW w:type="dxa" w:w="2494"/>
            <w:vAlign w:val="center"/>
            <w:shd w:fill="FFFFFF"/>
          </w:tcPr>
          <w:p>
            <w:pPr>
              <w:spacing w:line="252" w:lineRule="auto" w:before="0" w:after="0"/>
            </w:pPr>
            <w:r>
              <w:rPr>
                <w:sz w:val="18"/>
              </w:rPr>
            </w:r>
            <w:hyperlink r:id="rId10">
              <w:r>
                <w:rPr>
                  <w:color w:val="285D6A"/>
                  <w:sz w:val="18"/>
                </w:rPr>
                <w:t>2547 sayılı Yükseköğretim Kanunu</w:t>
              </w:r>
            </w:hyperlink>
            <w:r>
              <w:rPr>
                <w:sz w:val="18"/>
              </w:rPr>
              <w:t xml:space="preserve"> m.14/b-1 ve b-4 akademik esaslar ve takvim için genel yetki çerçevesidir. Aşağıdaki tarih, gün sayısı ve dosya sonucu kanunda belirlenmiş bir PEK süresi değil, bu yönergeyle önerilen kuraldır.</w:t>
            </w:r>
          </w:p>
        </w:tc>
        <w:tc>
          <w:tcPr>
            <w:tcW w:type="dxa" w:w="2494"/>
            <w:vAlign w:val="center"/>
            <w:shd w:fill="FFFFFF"/>
          </w:tcPr>
          <w:p>
            <w:pPr>
              <w:spacing w:line="252" w:lineRule="auto" w:before="0" w:after="0"/>
            </w:pPr>
            <w:r>
              <w:rPr>
                <w:sz w:val="18"/>
              </w:rPr>
            </w:r>
            <w:hyperlink r:id="rId15">
              <w:r>
                <w:rPr>
                  <w:color w:val="285D6A"/>
                  <w:sz w:val="18"/>
                </w:rPr>
                <w:t>TEDÜ Çalışan El Kitabı</w:t>
              </w:r>
            </w:hyperlink>
            <w:r>
              <w:rPr>
                <w:sz w:val="18"/>
              </w:rPr>
              <w:t xml:space="preserve"> Ofisin koordinasyonunu; </w:t>
            </w:r>
            <w:hyperlink r:id="rId17">
              <w:r>
                <w:rPr>
                  <w:color w:val="285D6A"/>
                  <w:sz w:val="18"/>
                </w:rPr>
                <w:t>TEDÜ İmza Yetkileri Yönergesi</w:t>
              </w:r>
            </w:hyperlink>
            <w:r>
              <w:rPr>
                <w:sz w:val="18"/>
              </w:rPr>
              <w:t xml:space="preserve"> m.5 ve 8–10 yazışma ve imza düzenini açıklar. Bu fıkra sekretaryaya kendiliğinden yeni bir imza yetkisi vermez.</w:t>
            </w:r>
          </w:p>
        </w:tc>
        <w:tc>
          <w:tcPr>
            <w:tcW w:type="dxa" w:w="2608"/>
            <w:vAlign w:val="center"/>
            <w:shd w:fill="FFFFFF"/>
          </w:tcPr>
          <w:p>
            <w:pPr>
              <w:spacing w:line="252" w:lineRule="auto" w:before="0" w:after="0"/>
            </w:pPr>
            <w:r>
              <w:rPr>
                <w:sz w:val="18"/>
              </w:rPr>
            </w:r>
            <w:hyperlink r:id="rId20">
              <w:r>
                <w:rPr>
                  <w:color w:val="285D6A"/>
                  <w:sz w:val="18"/>
                </w:rPr>
                <w:t>Bilkent Kalite Komisyonu Çalışma Usul ve Esasları</w:t>
              </w:r>
            </w:hyperlink>
            <w:r>
              <w:rPr>
                <w:sz w:val="18"/>
              </w:rPr>
              <w:t xml:space="preserve"> m.8 sonuçların paylaşılması ve Senatoya sunulmasını içerir. Aynı beş iş günlük bildirim süresi bulunmadı.</w:t>
            </w:r>
          </w:p>
        </w:tc>
        <w:tc>
          <w:tcPr>
            <w:tcW w:type="dxa" w:w="2608"/>
            <w:vAlign w:val="center"/>
            <w:shd w:fill="FFFFFF"/>
          </w:tcPr>
          <w:p>
            <w:pPr>
              <w:spacing w:line="252" w:lineRule="auto" w:before="0" w:after="0"/>
            </w:pPr>
            <w:r>
              <w:rPr>
                <w:sz w:val="18"/>
              </w:rPr>
            </w:r>
            <w:hyperlink r:id="rId23">
              <w:r>
                <w:rPr>
                  <w:color w:val="285D6A"/>
                  <w:sz w:val="18"/>
                </w:rPr>
                <w:t>ODTÜ Fen Bilimleri Enstitüsü Yeni Ders Önerisi Akışı</w:t>
              </w:r>
            </w:hyperlink>
            <w:r>
              <w:rPr>
                <w:sz w:val="18"/>
              </w:rPr>
              <w:t xml:space="preserve"> kararın Öğrenci İşlerine ve ilgili anabilim dalına iletilmesini gösterir. Taslaktaki aynı beş iş günlük süre yoktur.</w:t>
            </w:r>
          </w:p>
        </w:tc>
      </w:tr>
      <w:tr>
        <w:trPr>
          <w:cantSplit/>
        </w:trPr>
        <w:tc>
          <w:tcPr>
            <w:tcW w:type="dxa" w:w="1361"/>
            <w:vAlign w:val="center"/>
            <w:shd w:fill="F7F7F7"/>
          </w:tcPr>
          <w:p>
            <w:pPr>
              <w:spacing w:line="252" w:lineRule="auto" w:before="0" w:after="0"/>
            </w:pPr>
            <w:r>
              <w:rPr>
                <w:sz w:val="18"/>
              </w:rPr>
              <w:t>Madde 16/4</w:t>
            </w:r>
          </w:p>
        </w:tc>
        <w:tc>
          <w:tcPr>
            <w:tcW w:type="dxa" w:w="2494"/>
            <w:vAlign w:val="center"/>
            <w:shd w:fill="F7F7F7"/>
          </w:tcPr>
          <w:p>
            <w:pPr>
              <w:spacing w:line="252" w:lineRule="auto" w:before="0" w:after="0"/>
            </w:pPr>
            <w:r>
              <w:rPr>
                <w:sz w:val="18"/>
              </w:rPr>
              <w:t>TEDÜ’de ders ve program değerlendirme verileri zaten üretiliyor; dosyanın karar sonrasında nasıl izleneceği ilk taslakta ayrı bir fıkrada toplanmamıştı.</w:t>
            </w:r>
          </w:p>
        </w:tc>
        <w:tc>
          <w:tcPr>
            <w:tcW w:type="dxa" w:w="5216"/>
            <w:vAlign w:val="center"/>
            <w:shd w:fill="F7F7F7"/>
          </w:tcPr>
          <w:p>
            <w:pPr>
              <w:spacing w:line="252" w:lineRule="auto" w:before="0" w:after="0"/>
            </w:pPr>
            <w:r>
              <w:rPr>
                <w:sz w:val="18"/>
              </w:rPr>
              <w:t>Yetkili organların kararlarının uygulanması ilgili akademik ve idari birimlerin görevleri çerçevesinde yürütülür. Komisyon, uygulama ve iyileştirme sonuçlarını mevcut ders ve program değerlendirme verilerinden yararlanarak izler; sekretarya, dosyanın sonuçlandırılmasına ilişkin kayıtları tutar.</w:t>
            </w:r>
          </w:p>
        </w:tc>
        <w:tc>
          <w:tcPr>
            <w:tcW w:type="dxa" w:w="2948"/>
            <w:vAlign w:val="center"/>
            <w:shd w:fill="F7F7F7"/>
          </w:tcPr>
          <w:p>
            <w:pPr>
              <w:spacing w:line="252" w:lineRule="auto" w:before="0" w:after="0"/>
            </w:pPr>
            <w:r>
              <w:rPr>
                <w:sz w:val="18"/>
              </w:rPr>
              <w:t>Uygulama işini ilgili akademik ve idari birimlerde bırakır. PEK mevcut verilerle sonuçları izler; sekretarya dosyanın sonuç kaydını tutar. Yeni bir periyodik rapor zorunluluğu kurmaz.</w:t>
            </w:r>
          </w:p>
        </w:tc>
        <w:tc>
          <w:tcPr>
            <w:tcW w:type="dxa" w:w="2494"/>
            <w:vAlign w:val="center"/>
            <w:shd w:fill="F7F7F7"/>
          </w:tcPr>
          <w:p>
            <w:pPr>
              <w:spacing w:line="252" w:lineRule="auto" w:before="0" w:after="0"/>
            </w:pPr>
            <w:r>
              <w:rPr>
                <w:sz w:val="18"/>
              </w:rPr>
            </w:r>
            <w:hyperlink r:id="rId10">
              <w:r>
                <w:rPr>
                  <w:color w:val="285D6A"/>
                  <w:sz w:val="18"/>
                </w:rPr>
                <w:t>2547 sayılı Yükseköğretim Kanunu</w:t>
              </w:r>
            </w:hyperlink>
            <w:r>
              <w:rPr>
                <w:sz w:val="18"/>
              </w:rPr>
              <w:t xml:space="preserve"> m.13/b-5, 14 ve 44 eğitim faaliyetlerinin gözetimi ve akademik düzenleme için genel çerçeveyi sağlar.</w:t>
            </w:r>
          </w:p>
        </w:tc>
        <w:tc>
          <w:tcPr>
            <w:tcW w:type="dxa" w:w="2494"/>
            <w:vAlign w:val="center"/>
            <w:shd w:fill="F7F7F7"/>
          </w:tcPr>
          <w:p>
            <w:pPr>
              <w:spacing w:line="252" w:lineRule="auto" w:before="0" w:after="0"/>
            </w:pPr>
            <w:r>
              <w:rPr>
                <w:sz w:val="18"/>
              </w:rPr>
            </w:r>
            <w:hyperlink r:id="rId16">
              <w:r>
                <w:rPr>
                  <w:color w:val="285D6A"/>
                  <w:sz w:val="18"/>
                </w:rPr>
                <w:t>TEDÜ Kalite El Kitabı</w:t>
              </w:r>
            </w:hyperlink>
            <w:r>
              <w:rPr>
                <w:sz w:val="18"/>
              </w:rPr>
              <w:t xml:space="preserve"> 4.1.1–4.1.4 mevcut ders raporları, öğrenci geri bildirimleri ve iyileştirme döngüsünü açıklar.</w:t>
            </w:r>
          </w:p>
        </w:tc>
        <w:tc>
          <w:tcPr>
            <w:tcW w:type="dxa" w:w="2608"/>
            <w:vAlign w:val="center"/>
            <w:shd w:fill="F7F7F7"/>
          </w:tcPr>
          <w:p>
            <w:pPr>
              <w:spacing w:line="252" w:lineRule="auto" w:before="0" w:after="0"/>
            </w:pPr>
            <w:r>
              <w:rPr>
                <w:sz w:val="18"/>
              </w:rPr>
            </w:r>
            <w:hyperlink r:id="rId20">
              <w:r>
                <w:rPr>
                  <w:color w:val="285D6A"/>
                  <w:sz w:val="18"/>
                </w:rPr>
                <w:t>Bilkent Kalite Komisyonu Çalışma Usul ve Esasları</w:t>
              </w:r>
            </w:hyperlink>
            <w:r>
              <w:rPr>
                <w:sz w:val="18"/>
              </w:rPr>
              <w:t xml:space="preserve"> m.8–10 kaliteyi izleme ve iyileştirme işlerini düzenler. Bu komisyonun yıllık rapor görevleri PEK’e aynen aktarılmamıştır.</w:t>
            </w:r>
          </w:p>
        </w:tc>
        <w:tc>
          <w:tcPr>
            <w:tcW w:type="dxa" w:w="2608"/>
            <w:vAlign w:val="center"/>
            <w:shd w:fill="F7F7F7"/>
          </w:tcPr>
          <w:p>
            <w:pPr>
              <w:spacing w:line="252" w:lineRule="auto" w:before="0" w:after="0"/>
            </w:pPr>
            <w:r>
              <w:rPr>
                <w:sz w:val="18"/>
              </w:rPr>
            </w:r>
            <w:hyperlink r:id="rId24">
              <w:r>
                <w:rPr>
                  <w:color w:val="285D6A"/>
                  <w:sz w:val="18"/>
                </w:rPr>
                <w:t>ODTÜ Kalite Komisyonu Yönergesi</w:t>
              </w:r>
            </w:hyperlink>
            <w:r>
              <w:rPr>
                <w:sz w:val="18"/>
              </w:rPr>
              <w:t xml:space="preserve"> m.4–5 birimlerden gelen sonuçlarla izleme ve değerlendirme öngörür. Kurumsal kalite raporlaması dosya bazındaki PEK izlemesinden daha geniştir.</w:t>
            </w:r>
          </w:p>
        </w:tc>
      </w:tr>
      <w:tr>
        <w:trPr>
          <w:cantSplit/>
        </w:trPr>
        <w:tc>
          <w:tcPr>
            <w:tcW w:type="dxa" w:w="1361"/>
            <w:vAlign w:val="center"/>
            <w:shd w:fill="FFFFFF"/>
          </w:tcPr>
          <w:p>
            <w:pPr>
              <w:spacing w:line="252" w:lineRule="auto" w:before="0" w:after="0"/>
            </w:pPr>
            <w:r>
              <w:rPr>
                <w:sz w:val="18"/>
              </w:rPr>
              <w:t>Geçici Madde 1/1</w:t>
            </w:r>
          </w:p>
        </w:tc>
        <w:tc>
          <w:tcPr>
            <w:tcW w:type="dxa" w:w="2494"/>
            <w:vAlign w:val="center"/>
            <w:shd w:fill="FFFFFF"/>
          </w:tcPr>
          <w:p>
            <w:pPr>
              <w:spacing w:line="252" w:lineRule="auto" w:before="0" w:after="0"/>
            </w:pPr>
            <w:r>
              <w:rPr>
                <w:sz w:val="18"/>
              </w:rPr>
              <w:t>Mevcut listede bir fakülteden iki temsilci var; bireysel atamaların başlangıç/bitiş tarihleri aynı listede yer almıyor. İlk taslak yeni yapıya geçişi açıklamıyordu.</w:t>
            </w:r>
          </w:p>
        </w:tc>
        <w:tc>
          <w:tcPr>
            <w:tcW w:type="dxa" w:w="5216"/>
            <w:vAlign w:val="center"/>
            <w:shd w:fill="FFFFFF"/>
          </w:tcPr>
          <w:p>
            <w:pPr>
              <w:spacing w:line="252" w:lineRule="auto" w:before="0" w:after="0"/>
            </w:pPr>
            <w:r>
              <w:rPr>
                <w:sz w:val="18"/>
              </w:rPr>
              <w:t>Mevcut fakülte ve Enstitü temsilcilikleri, bu Yönergenin yürürlüğe girdiği tarihi izleyen otuz takvim günü içinde 4 üncü maddeye uygun olarak yeniden belirlenir ve atamalar yapılır. Mevcut üyeler, yeni atamalar yürürlüğe girinceye kadar görevlerini sürdürür. Yeni temsilcilerin iki yıllık görev süresi, yeni atamalarının yürürlüğe girdiği tarihte başlar.</w:t>
            </w:r>
          </w:p>
        </w:tc>
        <w:tc>
          <w:tcPr>
            <w:tcW w:type="dxa" w:w="2948"/>
            <w:vAlign w:val="center"/>
            <w:shd w:fill="FFFFFF"/>
          </w:tcPr>
          <w:p>
            <w:pPr>
              <w:spacing w:line="252" w:lineRule="auto" w:before="0" w:after="0"/>
            </w:pPr>
            <w:r>
              <w:rPr>
                <w:sz w:val="18"/>
              </w:rPr>
              <w:t>Birer temsilci düzenine otuz takvim gününde geçilmesini, yeni atamaya kadar mevcut üyelerin çalışmayı sürdürmesini sağlar. Yeni iki yıl, yeni atamanın yürürlüğe girdiği gün başlar.</w:t>
            </w:r>
          </w:p>
        </w:tc>
        <w:tc>
          <w:tcPr>
            <w:tcW w:type="dxa" w:w="2494"/>
            <w:vAlign w:val="center"/>
            <w:shd w:fill="FFFFFF"/>
          </w:tcPr>
          <w:p>
            <w:pPr>
              <w:spacing w:line="252" w:lineRule="auto" w:before="0" w:after="0"/>
            </w:pPr>
            <w:r>
              <w:rPr>
                <w:sz w:val="18"/>
              </w:rPr>
            </w:r>
            <w:hyperlink r:id="rId10">
              <w:r>
                <w:rPr>
                  <w:color w:val="285D6A"/>
                  <w:sz w:val="18"/>
                </w:rPr>
                <w:t>2547 sayılı Yükseköğretim Kanunu</w:t>
              </w:r>
            </w:hyperlink>
            <w:r>
              <w:rPr>
                <w:sz w:val="18"/>
              </w:rPr>
              <w:t xml:space="preserve"> bu otuz günlük PEK geçişini belirlemez. Geçiş süresi bu taslakta önerilmiştir; mevcut atamaların hukuki durumunu görmek için ilgili kararlar gerekir.</w:t>
            </w:r>
          </w:p>
        </w:tc>
        <w:tc>
          <w:tcPr>
            <w:tcW w:type="dxa" w:w="2494"/>
            <w:vAlign w:val="center"/>
            <w:shd w:fill="FFFFFF"/>
          </w:tcPr>
          <w:p>
            <w:pPr>
              <w:spacing w:line="252" w:lineRule="auto" w:before="0" w:after="0"/>
            </w:pPr>
            <w:r>
              <w:rPr>
                <w:sz w:val="18"/>
              </w:rPr>
            </w:r>
            <w:hyperlink r:id="rId12">
              <w:r>
                <w:rPr>
                  <w:color w:val="285D6A"/>
                  <w:sz w:val="18"/>
                </w:rPr>
                <w:t>TEDÜ Lisansüstü Eğitim-Öğretim Yönetmeliği</w:t>
              </w:r>
            </w:hyperlink>
            <w:r>
              <w:rPr>
                <w:sz w:val="18"/>
              </w:rPr>
              <w:t xml:space="preserve"> m.4/1-ğ atama makamlarını, </w:t>
            </w:r>
            <w:hyperlink r:id="rId14">
              <w:r>
                <w:rPr>
                  <w:color w:val="285D6A"/>
                  <w:sz w:val="18"/>
                </w:rPr>
                <w:t>TEDÜ Komisyonlar listesi, 24.09.2026</w:t>
              </w:r>
            </w:hyperlink>
            <w:r>
              <w:rPr>
                <w:sz w:val="18"/>
              </w:rPr>
              <w:t xml:space="preserve"> PDF s.12 mevcut üye yapısını gösterir. Liste tek başına bireysel görev sürelerini kanıtlamaz.</w:t>
            </w:r>
          </w:p>
        </w:tc>
        <w:tc>
          <w:tcPr>
            <w:tcW w:type="dxa" w:w="2608"/>
            <w:vAlign w:val="center"/>
            <w:shd w:fill="FFFFFF"/>
          </w:tcPr>
          <w:p>
            <w:pPr>
              <w:spacing w:line="252" w:lineRule="auto" w:before="0" w:after="0"/>
            </w:pPr>
            <w:r>
              <w:rPr>
                <w:sz w:val="18"/>
              </w:rPr>
            </w:r>
            <w:hyperlink r:id="rId20">
              <w:r>
                <w:rPr>
                  <w:color w:val="285D6A"/>
                  <w:sz w:val="18"/>
                </w:rPr>
                <w:t>Bilkent Kalite Komisyonu Çalışma Usul ve Esasları</w:t>
              </w:r>
            </w:hyperlink>
            <w:r>
              <w:rPr>
                <w:sz w:val="18"/>
              </w:rPr>
              <w:t xml:space="preserve"> boşalan üyeliğin bir ayda doldurulmasını düzenler. Buradaki ilk kuruluş/geçiş için otuz takvim günü farklı bir kuraldır.</w:t>
            </w:r>
          </w:p>
        </w:tc>
        <w:tc>
          <w:tcPr>
            <w:tcW w:type="dxa" w:w="2608"/>
            <w:vAlign w:val="center"/>
            <w:shd w:fill="FFFFFF"/>
          </w:tcPr>
          <w:p>
            <w:pPr>
              <w:spacing w:line="252" w:lineRule="auto" w:before="0" w:after="0"/>
            </w:pPr>
            <w:r>
              <w:rPr>
                <w:sz w:val="18"/>
              </w:rPr>
            </w:r>
            <w:hyperlink r:id="rId24">
              <w:r>
                <w:rPr>
                  <w:color w:val="285D6A"/>
                  <w:sz w:val="18"/>
                </w:rPr>
                <w:t>ODTÜ Kalite Komisyonu Yönergesi</w:t>
              </w:r>
            </w:hyperlink>
            <w:r>
              <w:rPr>
                <w:sz w:val="18"/>
              </w:rPr>
              <w:t xml:space="preserve"> üyelik türlerine göre görev süreleri koyar; aynı ilk geçiş kuralı incelenen metinde yoktur.</w:t>
            </w:r>
          </w:p>
        </w:tc>
      </w:tr>
      <w:tr>
        <w:trPr>
          <w:cantSplit/>
        </w:trPr>
        <w:tc>
          <w:tcPr>
            <w:tcW w:type="dxa" w:w="1361"/>
            <w:vAlign w:val="center"/>
            <w:shd w:fill="F7F7F7"/>
          </w:tcPr>
          <w:p>
            <w:pPr>
              <w:spacing w:line="252" w:lineRule="auto" w:before="0" w:after="0"/>
            </w:pPr>
            <w:r>
              <w:rPr>
                <w:sz w:val="18"/>
              </w:rPr>
              <w:t>Geçici Madde 1/2</w:t>
            </w:r>
          </w:p>
        </w:tc>
        <w:tc>
          <w:tcPr>
            <w:tcW w:type="dxa" w:w="2494"/>
            <w:vAlign w:val="center"/>
            <w:shd w:fill="F7F7F7"/>
          </w:tcPr>
          <w:p>
            <w:pPr>
              <w:spacing w:line="252" w:lineRule="auto" w:before="0" w:after="0"/>
            </w:pPr>
            <w:r>
              <w:rPr>
                <w:sz w:val="18"/>
              </w:rPr>
              <w:t>İlk taslak yeni kuralların yürürlükten önce kaydedilmiş dosyalara nasıl uygulanacağını açıklamıyordu.</w:t>
            </w:r>
          </w:p>
        </w:tc>
        <w:tc>
          <w:tcPr>
            <w:tcW w:type="dxa" w:w="5216"/>
            <w:vAlign w:val="center"/>
            <w:shd w:fill="F7F7F7"/>
          </w:tcPr>
          <w:p>
            <w:pPr>
              <w:spacing w:line="252" w:lineRule="auto" w:before="0" w:after="0"/>
            </w:pPr>
            <w:r>
              <w:rPr>
                <w:sz w:val="18"/>
              </w:rPr>
              <w:t>Bu Yönergenin yürürlüğe girdiği tarihten önce sekretaryaya kaydedilmiş ve henüz sonuçlandırılmamış dosyalar, önceki başvuruları ve geçerli kurul kararları korunarak bu Yönergenin değerlendirme ve bildirim usullerine göre sonuçlandırılır. 13 üncü maddenin birinci fıkrasında aranan onaylardan eksik olanlar tamamlanır. Bu dosyalara 14 üncü maddedeki son başvuru tarihi geriye dönük uygulanmaz.</w:t>
            </w:r>
          </w:p>
        </w:tc>
        <w:tc>
          <w:tcPr>
            <w:tcW w:type="dxa" w:w="2948"/>
            <w:vAlign w:val="center"/>
            <w:shd w:fill="F7F7F7"/>
          </w:tcPr>
          <w:p>
            <w:pPr>
              <w:spacing w:line="252" w:lineRule="auto" w:before="0" w:after="0"/>
            </w:pPr>
            <w:r>
              <w:rPr>
                <w:sz w:val="18"/>
              </w:rPr>
              <w:t>Önceki başvuruları ve geçerli kurul kararlarını korur. Eksik gerekli onaylar tamamlanır; yeni son tarih geçmişteki başvuruya geriye dönük engel yapılmaz.</w:t>
            </w:r>
          </w:p>
        </w:tc>
        <w:tc>
          <w:tcPr>
            <w:tcW w:type="dxa" w:w="2494"/>
            <w:vAlign w:val="center"/>
            <w:shd w:fill="F7F7F7"/>
          </w:tcPr>
          <w:p>
            <w:pPr>
              <w:spacing w:line="252" w:lineRule="auto" w:before="0" w:after="0"/>
            </w:pPr>
            <w:r>
              <w:rPr>
                <w:sz w:val="18"/>
              </w:rPr>
            </w:r>
            <w:hyperlink r:id="rId10">
              <w:r>
                <w:rPr>
                  <w:color w:val="285D6A"/>
                  <w:sz w:val="18"/>
                </w:rPr>
                <w:t>2547 sayılı Yükseköğretim Kanunu</w:t>
              </w:r>
            </w:hyperlink>
            <w:r>
              <w:rPr>
                <w:sz w:val="18"/>
              </w:rPr>
              <w:t xml:space="preserve"> m.14 genel akademik düzenleme yetkisini verir. Eski PEK dosyaları için bu özel geçiş yöntemi kanundan aynen alınmış değildir.</w:t>
            </w:r>
          </w:p>
        </w:tc>
        <w:tc>
          <w:tcPr>
            <w:tcW w:type="dxa" w:w="2494"/>
            <w:vAlign w:val="center"/>
            <w:shd w:fill="F7F7F7"/>
          </w:tcPr>
          <w:p>
            <w:pPr>
              <w:spacing w:line="252" w:lineRule="auto" w:before="0" w:after="0"/>
            </w:pPr>
            <w:r>
              <w:rPr>
                <w:sz w:val="18"/>
              </w:rPr>
            </w:r>
            <w:hyperlink r:id="rId11">
              <w:r>
                <w:rPr>
                  <w:color w:val="285D6A"/>
                  <w:sz w:val="18"/>
                </w:rPr>
                <w:t>TEDÜ Lisans Eğitim-Öğretim Yönetmeliği</w:t>
              </w:r>
            </w:hyperlink>
            <w:r>
              <w:rPr>
                <w:sz w:val="18"/>
              </w:rPr>
              <w:t xml:space="preserve"> ve </w:t>
            </w:r>
            <w:hyperlink r:id="rId12">
              <w:r>
                <w:rPr>
                  <w:color w:val="285D6A"/>
                  <w:sz w:val="18"/>
                </w:rPr>
                <w:t>TEDÜ Lisansüstü Eğitim-Öğretim Yönetmeliği</w:t>
              </w:r>
            </w:hyperlink>
            <w:r>
              <w:rPr>
                <w:sz w:val="18"/>
              </w:rPr>
              <w:t xml:space="preserve"> uyarınca alınması gereken kurul kararları korunur. Dosyanın başvuru kaydı ve o tarihteki geçerli kararları esas alınır.</w:t>
            </w:r>
          </w:p>
        </w:tc>
        <w:tc>
          <w:tcPr>
            <w:tcW w:type="dxa" w:w="2608"/>
            <w:vAlign w:val="center"/>
            <w:shd w:fill="F7F7F7"/>
          </w:tcPr>
          <w:p>
            <w:pPr>
              <w:spacing w:line="252" w:lineRule="auto" w:before="0" w:after="0"/>
            </w:pPr>
            <w:r>
              <w:rPr>
                <w:sz w:val="18"/>
              </w:rPr>
            </w:r>
            <w:hyperlink r:id="rId19">
              <w:r>
                <w:rPr>
                  <w:color w:val="285D6A"/>
                  <w:sz w:val="18"/>
                </w:rPr>
                <w:t>Bilkent Müfredat ve Öğretim Geliştirme Esasları</w:t>
              </w:r>
            </w:hyperlink>
            <w:r>
              <w:rPr>
                <w:sz w:val="18"/>
              </w:rPr>
              <w:t xml:space="preserve"> ile </w:t>
            </w:r>
            <w:hyperlink r:id="rId20">
              <w:r>
                <w:rPr>
                  <w:color w:val="285D6A"/>
                  <w:sz w:val="18"/>
                </w:rPr>
                <w:t>Bilkent Kalite Komisyonu Çalışma Usul ve Esasları</w:t>
              </w:r>
            </w:hyperlink>
            <w:r>
              <w:rPr>
                <w:sz w:val="18"/>
              </w:rPr>
              <w:t xml:space="preserve"> içinde aynı PEK eski dosya geçiş kuralı bulunmadı. Bu hüküm TEDÜ taslağının ihtiyacı için hazırlanmıştır.</w:t>
            </w:r>
          </w:p>
        </w:tc>
        <w:tc>
          <w:tcPr>
            <w:tcW w:type="dxa" w:w="2608"/>
            <w:vAlign w:val="center"/>
            <w:shd w:fill="F7F7F7"/>
          </w:tcPr>
          <w:p>
            <w:pPr>
              <w:spacing w:line="252" w:lineRule="auto" w:before="0" w:after="0"/>
            </w:pPr>
            <w:r>
              <w:rPr>
                <w:sz w:val="18"/>
              </w:rPr>
            </w:r>
            <w:hyperlink r:id="rId23">
              <w:r>
                <w:rPr>
                  <w:color w:val="285D6A"/>
                  <w:sz w:val="18"/>
                </w:rPr>
                <w:t>ODTÜ Fen Bilimleri Enstitüsü Yeni Ders Önerisi Akışı</w:t>
              </w:r>
            </w:hyperlink>
            <w:r>
              <w:rPr>
                <w:sz w:val="18"/>
              </w:rPr>
              <w:t xml:space="preserve"> ve </w:t>
            </w:r>
            <w:hyperlink r:id="rId24">
              <w:r>
                <w:rPr>
                  <w:color w:val="285D6A"/>
                  <w:sz w:val="18"/>
                </w:rPr>
                <w:t>ODTÜ Kalite Komisyonu Yönergesi</w:t>
              </w:r>
            </w:hyperlink>
            <w:r>
              <w:rPr>
                <w:sz w:val="18"/>
              </w:rPr>
              <w:t xml:space="preserve"> içinde aynı eski dosya geçiş kuralı bulunmadı.</w:t>
            </w:r>
          </w:p>
        </w:tc>
      </w:tr>
      <w:tr>
        <w:trPr>
          <w:cantSplit/>
        </w:trPr>
        <w:tc>
          <w:tcPr>
            <w:tcW w:type="dxa" w:w="1361"/>
            <w:vAlign w:val="center"/>
            <w:shd w:fill="FFFFFF"/>
          </w:tcPr>
          <w:p>
            <w:pPr>
              <w:spacing w:line="252" w:lineRule="auto" w:before="0" w:after="0"/>
            </w:pPr>
            <w:r>
              <w:rPr>
                <w:sz w:val="18"/>
              </w:rPr>
              <w:t>Geçici Madde 1/3</w:t>
            </w:r>
          </w:p>
        </w:tc>
        <w:tc>
          <w:tcPr>
            <w:tcW w:type="dxa" w:w="2494"/>
            <w:vAlign w:val="center"/>
            <w:shd w:fill="FFFFFF"/>
          </w:tcPr>
          <w:p>
            <w:pPr>
              <w:spacing w:line="252" w:lineRule="auto" w:before="0" w:after="0"/>
            </w:pPr>
            <w:r>
              <w:rPr>
                <w:sz w:val="18"/>
              </w:rPr>
              <w:t>Yıllık 30 Haziran son tarihi belirlendikten sonra, yönergenin 30 Haziran sonrasında kabul edilmesi hâlinde ilk başvuru döneminin nasıl başlayacağı açık değildi.</w:t>
            </w:r>
          </w:p>
        </w:tc>
        <w:tc>
          <w:tcPr>
            <w:tcW w:type="dxa" w:w="5216"/>
            <w:vAlign w:val="center"/>
            <w:shd w:fill="FFFFFF"/>
          </w:tcPr>
          <w:p>
            <w:pPr>
              <w:spacing w:line="252" w:lineRule="auto" w:before="0" w:after="0"/>
            </w:pPr>
            <w:r>
              <w:rPr>
                <w:sz w:val="18"/>
              </w:rPr>
              <w:t>14 üncü maddedeki yıllık son başvuru tarihi, yürürlük tarihini izleyen ilk 30 Haziran tarihi esas alınarak uygulanmaya başlanır. Bu tarihe kadar, son başvuru tarihi yürürlük tarihinden önce geçmiş eğitim-öğretim yılları için yapılacak başvurular, ilgili eğitim-öğretim düzenlemeleri ve yetkili organların ilan ettiği takvim çerçevesinde değerlendirilir.</w:t>
            </w:r>
          </w:p>
        </w:tc>
        <w:tc>
          <w:tcPr>
            <w:tcW w:type="dxa" w:w="2948"/>
            <w:vAlign w:val="center"/>
            <w:shd w:fill="FFFFFF"/>
          </w:tcPr>
          <w:p>
            <w:pPr>
              <w:spacing w:line="252" w:lineRule="auto" w:before="0" w:after="0"/>
            </w:pPr>
            <w:r>
              <w:rPr>
                <w:sz w:val="18"/>
              </w:rPr>
              <w:t>Yeni takvimin ilk gelecekteki 30 Haziranla başlamasını sağlar. Örneğin Ekim 2026’da kabul edilirse ilk yeni son tarih 30 Haziran 2027, hedef yıl 2027–2028 olur. Aradaki başvurular yetkili organların geçerli takviminde değerlendirilir.</w:t>
            </w:r>
          </w:p>
        </w:tc>
        <w:tc>
          <w:tcPr>
            <w:tcW w:type="dxa" w:w="2494"/>
            <w:vAlign w:val="center"/>
            <w:shd w:fill="FFFFFF"/>
          </w:tcPr>
          <w:p>
            <w:pPr>
              <w:spacing w:line="252" w:lineRule="auto" w:before="0" w:after="0"/>
            </w:pPr>
            <w:r>
              <w:rPr>
                <w:sz w:val="18"/>
              </w:rPr>
            </w:r>
            <w:hyperlink r:id="rId10">
              <w:r>
                <w:rPr>
                  <w:color w:val="285D6A"/>
                  <w:sz w:val="18"/>
                </w:rPr>
                <w:t>2547 sayılı Yükseköğretim Kanunu</w:t>
              </w:r>
            </w:hyperlink>
            <w:r>
              <w:rPr>
                <w:sz w:val="18"/>
              </w:rPr>
              <w:t xml:space="preserve"> m.14/b-1 ve b-4 akademik esaslar ve takvim için genel yetki çerçevesidir. Aşağıdaki tarih, gün sayısı ve dosya sonucu kanunda belirlenmiş bir PEK süresi değil, bu yönergeyle önerilen kuraldır.</w:t>
            </w:r>
          </w:p>
        </w:tc>
        <w:tc>
          <w:tcPr>
            <w:tcW w:type="dxa" w:w="2494"/>
            <w:vAlign w:val="center"/>
            <w:shd w:fill="FFFFFF"/>
          </w:tcPr>
          <w:p>
            <w:pPr>
              <w:spacing w:line="252" w:lineRule="auto" w:before="0" w:after="0"/>
            </w:pPr>
            <w:r>
              <w:rPr>
                <w:sz w:val="18"/>
              </w:rPr>
            </w:r>
            <w:hyperlink r:id="rId11">
              <w:r>
                <w:rPr>
                  <w:color w:val="285D6A"/>
                  <w:sz w:val="18"/>
                </w:rPr>
                <w:t>TEDÜ Lisans Eğitim-Öğretim Yönetmeliği</w:t>
              </w:r>
            </w:hyperlink>
            <w:r>
              <w:rPr>
                <w:sz w:val="18"/>
              </w:rPr>
              <w:t xml:space="preserve"> m.5/5 ve </w:t>
            </w:r>
            <w:hyperlink r:id="rId12">
              <w:r>
                <w:rPr>
                  <w:color w:val="285D6A"/>
                  <w:sz w:val="18"/>
                </w:rPr>
                <w:t>TEDÜ Lisansüstü Eğitim-Öğretim Yönetmeliği</w:t>
              </w:r>
            </w:hyperlink>
            <w:r>
              <w:rPr>
                <w:sz w:val="18"/>
              </w:rPr>
              <w:t xml:space="preserve"> m.7/3 akademik takvimi Senatoya bağlar. Geçişte ilgili düzenleme ve yetkili organ takvimi korunur.</w:t>
            </w:r>
          </w:p>
        </w:tc>
        <w:tc>
          <w:tcPr>
            <w:tcW w:type="dxa" w:w="2608"/>
            <w:vAlign w:val="center"/>
            <w:shd w:fill="FFFFFF"/>
          </w:tcPr>
          <w:p>
            <w:pPr>
              <w:spacing w:line="252" w:lineRule="auto" w:before="0" w:after="0"/>
            </w:pPr>
            <w:r>
              <w:rPr>
                <w:sz w:val="18"/>
              </w:rPr>
            </w:r>
            <w:hyperlink r:id="rId19">
              <w:r>
                <w:rPr>
                  <w:color w:val="285D6A"/>
                  <w:sz w:val="18"/>
                </w:rPr>
                <w:t>Bilkent Müfredat ve Öğretim Geliştirme Esasları</w:t>
              </w:r>
            </w:hyperlink>
            <w:r>
              <w:rPr>
                <w:sz w:val="18"/>
              </w:rPr>
              <w:t xml:space="preserve"> ve </w:t>
            </w:r>
            <w:hyperlink r:id="rId20">
              <w:r>
                <w:rPr>
                  <w:color w:val="285D6A"/>
                  <w:sz w:val="18"/>
                </w:rPr>
                <w:t>Bilkent Kalite Komisyonu Çalışma Usul ve Esasları</w:t>
              </w:r>
            </w:hyperlink>
            <w:r>
              <w:rPr>
                <w:sz w:val="18"/>
              </w:rPr>
              <w:t xml:space="preserve"> içinde aynı 30 Haziran geçiş modeli bulunmadı. Bu tarih Bilkent’ten aktarılmamıştır.</w:t>
            </w:r>
          </w:p>
        </w:tc>
        <w:tc>
          <w:tcPr>
            <w:tcW w:type="dxa" w:w="2608"/>
            <w:vAlign w:val="center"/>
            <w:shd w:fill="FFFFFF"/>
          </w:tcPr>
          <w:p>
            <w:pPr>
              <w:spacing w:line="252" w:lineRule="auto" w:before="0" w:after="0"/>
            </w:pPr>
            <w:r>
              <w:rPr>
                <w:sz w:val="18"/>
              </w:rPr>
            </w:r>
            <w:hyperlink r:id="rId23">
              <w:r>
                <w:rPr>
                  <w:color w:val="285D6A"/>
                  <w:sz w:val="18"/>
                </w:rPr>
                <w:t>ODTÜ Fen Bilimleri Enstitüsü Yeni Ders Önerisi Akışı</w:t>
              </w:r>
            </w:hyperlink>
            <w:r>
              <w:rPr>
                <w:sz w:val="18"/>
              </w:rPr>
              <w:t xml:space="preserve"> dönem bazlı takvim kullanır. Aynı yıllık ilk uygulama modeli incelenen ODTÜ belgelerinde yoktur.</w:t>
            </w:r>
          </w:p>
        </w:tc>
      </w:tr>
      <w:tr>
        <w:trPr>
          <w:cantSplit/>
        </w:trPr>
        <w:tc>
          <w:tcPr>
            <w:tcW w:type="dxa" w:w="1361"/>
            <w:vAlign w:val="center"/>
            <w:shd w:fill="F7F7F7"/>
          </w:tcPr>
          <w:p>
            <w:pPr>
              <w:spacing w:line="252" w:lineRule="auto" w:before="0" w:after="0"/>
            </w:pPr>
            <w:r>
              <w:rPr>
                <w:sz w:val="18"/>
              </w:rPr>
              <w:t>Madde 17/1</w:t>
            </w:r>
          </w:p>
        </w:tc>
        <w:tc>
          <w:tcPr>
            <w:tcW w:type="dxa" w:w="2494"/>
            <w:vAlign w:val="center"/>
            <w:shd w:fill="F7F7F7"/>
          </w:tcPr>
          <w:p>
            <w:pPr>
              <w:spacing w:line="252" w:lineRule="auto" w:before="0" w:after="0"/>
            </w:pPr>
            <w:r>
              <w:rPr>
                <w:sz w:val="18"/>
              </w:rPr>
              <w:t>İlk çalışma metninde bağımsız yönergenin yürürlüğe giriş cümlesi bulunmuyordu. Henüz bu taslağa ilişkin gerçekleşmiş bir Senato kabul tarihi veya karar numarası yok.</w:t>
            </w:r>
          </w:p>
        </w:tc>
        <w:tc>
          <w:tcPr>
            <w:tcW w:type="dxa" w:w="5216"/>
            <w:vAlign w:val="center"/>
            <w:shd w:fill="F7F7F7"/>
          </w:tcPr>
          <w:p>
            <w:pPr>
              <w:spacing w:line="252" w:lineRule="auto" w:before="0" w:after="0"/>
            </w:pPr>
            <w:r>
              <w:rPr>
                <w:sz w:val="18"/>
              </w:rPr>
              <w:t>Bu Yönerge, TED Üniversitesi Senatosu tarafından kabul edildiği tarihte yürürlüğe girer.</w:t>
            </w:r>
          </w:p>
        </w:tc>
        <w:tc>
          <w:tcPr>
            <w:tcW w:type="dxa" w:w="2948"/>
            <w:vAlign w:val="center"/>
            <w:shd w:fill="F7F7F7"/>
          </w:tcPr>
          <w:p>
            <w:pPr>
              <w:spacing w:line="252" w:lineRule="auto" w:before="0" w:after="0"/>
            </w:pPr>
            <w:r>
              <w:rPr>
                <w:sz w:val="18"/>
              </w:rPr>
              <w:t>Metnin hangi işlemle yürürlüğe gireceğini açıklar. Bu bir gelecekteki kabul kuralıdır; taslağın bugün yürürlükte olduğu anlamına gelmez.</w:t>
            </w:r>
          </w:p>
        </w:tc>
        <w:tc>
          <w:tcPr>
            <w:tcW w:type="dxa" w:w="2494"/>
            <w:vAlign w:val="center"/>
            <w:shd w:fill="F7F7F7"/>
          </w:tcPr>
          <w:p>
            <w:pPr>
              <w:spacing w:line="252" w:lineRule="auto" w:before="0" w:after="0"/>
            </w:pPr>
            <w:r>
              <w:rPr>
                <w:sz w:val="18"/>
              </w:rPr>
            </w:r>
            <w:hyperlink r:id="rId10">
              <w:r>
                <w:rPr>
                  <w:color w:val="285D6A"/>
                  <w:sz w:val="18"/>
                </w:rPr>
                <w:t>2547 sayılı Yükseköğretim Kanunu</w:t>
              </w:r>
            </w:hyperlink>
            <w:r>
              <w:rPr>
                <w:sz w:val="18"/>
              </w:rPr>
              <w:t xml:space="preserve"> m.14/b-1 ve b-4 eğitim-öğretim esasları ve program/takvim konusunda Senatoyu yetkilendirir. Bu çalışma alanına ilişkin yönergenin Senatoda kabulü bu genel yetki çerçevesine dayanan değerlendirmedir.</w:t>
            </w:r>
          </w:p>
        </w:tc>
        <w:tc>
          <w:tcPr>
            <w:tcW w:type="dxa" w:w="2494"/>
            <w:vAlign w:val="center"/>
            <w:shd w:fill="F7F7F7"/>
          </w:tcPr>
          <w:p>
            <w:pPr>
              <w:spacing w:line="252" w:lineRule="auto" w:before="0" w:after="0"/>
            </w:pPr>
            <w:r>
              <w:rPr>
                <w:sz w:val="18"/>
              </w:rPr>
            </w:r>
            <w:hyperlink r:id="rId18">
              <w:r>
                <w:rPr>
                  <w:color w:val="285D6A"/>
                  <w:sz w:val="18"/>
                </w:rPr>
                <w:t>TEDÜ Kalite Komisyonu Çalışma Yönergesi</w:t>
              </w:r>
            </w:hyperlink>
            <w:r>
              <w:rPr>
                <w:sz w:val="18"/>
              </w:rPr>
              <w:t xml:space="preserve"> m.9 ve </w:t>
            </w:r>
            <w:hyperlink r:id="rId38">
              <w:r>
                <w:rPr>
                  <w:color w:val="285D6A"/>
                  <w:sz w:val="18"/>
                </w:rPr>
                <w:t>TEDÜ Yapay Zekâ Komitesi Çalışma Yönergesi</w:t>
              </w:r>
            </w:hyperlink>
            <w:r>
              <w:rPr>
                <w:sz w:val="18"/>
              </w:rPr>
              <w:t xml:space="preserve"> m.8 TEDÜ’de Senato kabulünde yürürlük modelinin somut örnekleridir. Bu taslağın kabul tarihi ancak karar alındığında belli olacaktır.</w:t>
            </w:r>
          </w:p>
        </w:tc>
        <w:tc>
          <w:tcPr>
            <w:tcW w:type="dxa" w:w="2608"/>
            <w:vAlign w:val="center"/>
            <w:shd w:fill="F7F7F7"/>
          </w:tcPr>
          <w:p>
            <w:pPr>
              <w:spacing w:line="252" w:lineRule="auto" w:before="0" w:after="0"/>
            </w:pPr>
            <w:r>
              <w:rPr>
                <w:sz w:val="18"/>
              </w:rPr>
            </w:r>
            <w:hyperlink r:id="rId20">
              <w:r>
                <w:rPr>
                  <w:color w:val="285D6A"/>
                  <w:sz w:val="18"/>
                </w:rPr>
                <w:t>Bilkent Kalite Komisyonu Çalışma Usul ve Esasları</w:t>
              </w:r>
            </w:hyperlink>
            <w:r>
              <w:rPr>
                <w:sz w:val="18"/>
              </w:rPr>
              <w:t xml:space="preserve"> m.16 Senato onayıyla yürürlüğü öngörür. Yürürlüğü bir kabul işlemine bağlama yöntemi benzerdir.</w:t>
            </w:r>
          </w:p>
        </w:tc>
        <w:tc>
          <w:tcPr>
            <w:tcW w:type="dxa" w:w="2608"/>
            <w:vAlign w:val="center"/>
            <w:shd w:fill="F7F7F7"/>
          </w:tcPr>
          <w:p>
            <w:pPr>
              <w:spacing w:line="252" w:lineRule="auto" w:before="0" w:after="0"/>
            </w:pPr>
            <w:r>
              <w:rPr>
                <w:sz w:val="18"/>
              </w:rPr>
            </w:r>
            <w:hyperlink r:id="rId24">
              <w:r>
                <w:rPr>
                  <w:color w:val="285D6A"/>
                  <w:sz w:val="18"/>
                </w:rPr>
                <w:t>ODTÜ Kalite Komisyonu Yönergesi</w:t>
              </w:r>
            </w:hyperlink>
            <w:r>
              <w:rPr>
                <w:sz w:val="18"/>
              </w:rPr>
              <w:t xml:space="preserve"> m.6 Senato onayıyla yürürlüğü öngörür. Yöntem benzerdir.</w:t>
            </w:r>
          </w:p>
        </w:tc>
      </w:tr>
      <w:tr>
        <w:trPr>
          <w:cantSplit/>
        </w:trPr>
        <w:tc>
          <w:tcPr>
            <w:tcW w:type="dxa" w:w="1361"/>
            <w:vAlign w:val="center"/>
            <w:shd w:fill="FFFFFF"/>
          </w:tcPr>
          <w:p>
            <w:pPr>
              <w:spacing w:line="252" w:lineRule="auto" w:before="0" w:after="0"/>
            </w:pPr>
            <w:r>
              <w:rPr>
                <w:sz w:val="18"/>
              </w:rPr>
              <w:t>Madde 18/1</w:t>
            </w:r>
          </w:p>
        </w:tc>
        <w:tc>
          <w:tcPr>
            <w:tcW w:type="dxa" w:w="2494"/>
            <w:vAlign w:val="center"/>
            <w:shd w:fill="FFFFFF"/>
          </w:tcPr>
          <w:p>
            <w:pPr>
              <w:spacing w:line="252" w:lineRule="auto" w:before="0" w:after="0"/>
            </w:pPr>
            <w:r>
              <w:rPr>
                <w:sz w:val="18"/>
              </w:rPr>
              <w:t>İlk çalışma metninde yönergenin yürütme makamı ayrıca yazılmamıştı.</w:t>
            </w:r>
          </w:p>
        </w:tc>
        <w:tc>
          <w:tcPr>
            <w:tcW w:type="dxa" w:w="5216"/>
            <w:vAlign w:val="center"/>
            <w:shd w:fill="FFFFFF"/>
          </w:tcPr>
          <w:p>
            <w:pPr>
              <w:spacing w:line="252" w:lineRule="auto" w:before="0" w:after="0"/>
            </w:pPr>
            <w:r>
              <w:rPr>
                <w:sz w:val="18"/>
              </w:rPr>
              <w:t>Bu Yönerge hükümlerini TED Üniversitesi Rektörü yürütür.</w:t>
            </w:r>
          </w:p>
        </w:tc>
        <w:tc>
          <w:tcPr>
            <w:tcW w:type="dxa" w:w="2948"/>
            <w:vAlign w:val="center"/>
            <w:shd w:fill="FFFFFF"/>
          </w:tcPr>
          <w:p>
            <w:pPr>
              <w:spacing w:line="252" w:lineRule="auto" w:before="0" w:after="0"/>
            </w:pPr>
            <w:r>
              <w:rPr>
                <w:sz w:val="18"/>
              </w:rPr>
              <w:t>Yönergenin uygulanmasını Üniversite yönetimi içinde Rektörün yürütmesine bağlar. Senato, Mütevelli Heyeti, ilgili kurullar ve YÖK’ün özel karar yetkilerini Rektöre devretmez.</w:t>
            </w:r>
          </w:p>
        </w:tc>
        <w:tc>
          <w:tcPr>
            <w:tcW w:type="dxa" w:w="2494"/>
            <w:vAlign w:val="center"/>
            <w:shd w:fill="FFFFFF"/>
          </w:tcPr>
          <w:p>
            <w:pPr>
              <w:spacing w:line="252" w:lineRule="auto" w:before="0" w:after="0"/>
            </w:pPr>
            <w:r>
              <w:rPr>
                <w:sz w:val="18"/>
              </w:rPr>
            </w:r>
            <w:hyperlink r:id="rId10">
              <w:r>
                <w:rPr>
                  <w:color w:val="285D6A"/>
                  <w:sz w:val="18"/>
                </w:rPr>
                <w:t>2547 sayılı Yükseköğretim Kanunu</w:t>
              </w:r>
            </w:hyperlink>
            <w:r>
              <w:rPr>
                <w:sz w:val="18"/>
              </w:rPr>
              <w:t xml:space="preserve"> m.13/b-1 ve b-5 Rektörün yönetim, uygulama ve gözetim görevlerini düzenler. Yürütme maddesi bu genel yönetim sorumluluğuna dayanır.</w:t>
            </w:r>
          </w:p>
        </w:tc>
        <w:tc>
          <w:tcPr>
            <w:tcW w:type="dxa" w:w="2494"/>
            <w:vAlign w:val="center"/>
            <w:shd w:fill="FFFFFF"/>
          </w:tcPr>
          <w:p>
            <w:pPr>
              <w:spacing w:line="252" w:lineRule="auto" w:before="0" w:after="0"/>
            </w:pPr>
            <w:r>
              <w:rPr>
                <w:sz w:val="18"/>
              </w:rPr>
            </w:r>
            <w:hyperlink r:id="rId18">
              <w:r>
                <w:rPr>
                  <w:color w:val="285D6A"/>
                  <w:sz w:val="18"/>
                </w:rPr>
                <w:t>TEDÜ Kalite Komisyonu Çalışma Yönergesi</w:t>
              </w:r>
            </w:hyperlink>
            <w:r>
              <w:rPr>
                <w:sz w:val="18"/>
              </w:rPr>
              <w:t xml:space="preserve"> m.10 ve </w:t>
            </w:r>
            <w:hyperlink r:id="rId38">
              <w:r>
                <w:rPr>
                  <w:color w:val="285D6A"/>
                  <w:sz w:val="18"/>
                </w:rPr>
                <w:t>TEDÜ Yapay Zekâ Komitesi Çalışma Yönergesi</w:t>
              </w:r>
            </w:hyperlink>
            <w:r>
              <w:rPr>
                <w:sz w:val="18"/>
              </w:rPr>
              <w:t xml:space="preserve"> m.9 Rektör tarafından yürütme örnekleridir. Taslağın Madde 6/3 ve 16/2 hükümleri diğer organların karar yetkisini korur.</w:t>
            </w:r>
          </w:p>
        </w:tc>
        <w:tc>
          <w:tcPr>
            <w:tcW w:type="dxa" w:w="2608"/>
            <w:vAlign w:val="center"/>
            <w:shd w:fill="FFFFFF"/>
          </w:tcPr>
          <w:p>
            <w:pPr>
              <w:spacing w:line="252" w:lineRule="auto" w:before="0" w:after="0"/>
            </w:pPr>
            <w:r>
              <w:rPr>
                <w:sz w:val="18"/>
              </w:rPr>
            </w:r>
            <w:hyperlink r:id="rId20">
              <w:r>
                <w:rPr>
                  <w:color w:val="285D6A"/>
                  <w:sz w:val="18"/>
                </w:rPr>
                <w:t>Bilkent Kalite Komisyonu Çalışma Usul ve Esasları</w:t>
              </w:r>
            </w:hyperlink>
            <w:r>
              <w:rPr>
                <w:sz w:val="18"/>
              </w:rPr>
              <w:t xml:space="preserve"> içinde ayrı bir yürütme maddesi görülmedi. Bu nedenle Rektörün yürütmesi Bilkent’ten alınmış bir hüküm olarak gösterilmemiştir.</w:t>
            </w:r>
          </w:p>
        </w:tc>
        <w:tc>
          <w:tcPr>
            <w:tcW w:type="dxa" w:w="2608"/>
            <w:vAlign w:val="center"/>
            <w:shd w:fill="FFFFFF"/>
          </w:tcPr>
          <w:p>
            <w:pPr>
              <w:spacing w:line="252" w:lineRule="auto" w:before="0" w:after="0"/>
            </w:pPr>
            <w:r>
              <w:rPr>
                <w:sz w:val="18"/>
              </w:rPr>
            </w:r>
            <w:hyperlink r:id="rId24">
              <w:r>
                <w:rPr>
                  <w:color w:val="285D6A"/>
                  <w:sz w:val="18"/>
                </w:rPr>
                <w:t>ODTÜ Kalite Komisyonu Yönergesi</w:t>
              </w:r>
            </w:hyperlink>
            <w:r>
              <w:rPr>
                <w:sz w:val="18"/>
              </w:rPr>
              <w:t xml:space="preserve"> m.7 yönergenin Rektör tarafından yürütülmesini öngörür. Makam türü bakımından benzerdir.</w:t>
            </w:r>
          </w:p>
        </w:tc>
      </w:tr>
    </w:tbl>
    <w:p>
      <w:pPr>
        <w:widowControl/>
        <w:spacing w:after="0"/>
      </w:pPr>
      <w:r/>
    </w:p>
    <w:p>
      <w:pPr>
        <w:keepNext w:val="0"/>
        <w:keepLines w:val="0"/>
        <w:pageBreakBefore w:val="0"/>
        <w:widowControl/>
        <w:spacing w:after="0" w:before="0" w:line="20" w:lineRule="exact"/>
        <w:rPr>
          <w:sz w:val="2"/>
        </w:rPr>
      </w:pPr>
      <w:r>
        <w:rPr>
          <w:b w:val="0"/>
          <w:sz w:val="2"/>
        </w:rPr>
      </w:r>
    </w:p>
    <w:p>
      <w:pPr>
        <w:keepNext w:val="0"/>
        <w:keepLines w:val="0"/>
        <w:pageBreakBefore w:val="0"/>
        <w:spacing w:before="0" w:after="0" w:line="20" w:lineRule="exact"/>
        <w:sectPr>
          <w:pgSz w:w="23811" w:h="16838" w:orient="landscape"/>
          <w:pgMar w:top="907" w:right="794" w:bottom="907" w:left="794" w:header="454" w:footer="454" w:gutter="0"/>
          <w:cols w:space="720"/>
          <w:docGrid w:linePitch="360"/>
        </w:sectPr>
        <w:rPr>
          <w:sz w:val="2"/>
        </w:rPr>
      </w:pPr>
    </w:p>
    <w:p>
      <w:pPr>
        <w:pStyle w:val="Heading1"/>
        <w:widowControl/>
      </w:pPr>
      <w:r>
        <w:rPr>
          <w:b w:val="0"/>
        </w:rPr>
        <w:t>Kaynaklar</w:t>
      </w:r>
    </w:p>
    <w:p>
      <w:pPr>
        <w:widowControl/>
      </w:pPr>
      <w:r>
        <w:rPr>
          <w:sz w:val="18"/>
        </w:rPr>
        <w:t>Kaynak kontrol tarihi 22 Ekim 2026. Bu yenilemede 19 resmî kaynak tekrar indirilip incelenmiştir; kaynak dizini toplam 21 belge içerir. Kurum raporları uygulamayı anlatır. Başka üniversitelerin örnekleri TEDÜ için doğrudan kanuni dayanak oluşturmaz.</w:t>
      </w:r>
    </w:p>
    <w:p>
      <w:pPr>
        <w:spacing w:after="140"/>
      </w:pPr>
      <w:r>
        <w:rPr>
          <w:sz w:val="18"/>
        </w:rPr>
      </w:r>
      <w:hyperlink r:id="rId10">
        <w:r>
          <w:rPr>
            <w:color w:val="285D6A"/>
            <w:sz w:val="18"/>
          </w:rPr>
          <w:t>2547 sayılı Yükseköğretim Kanunu</w:t>
        </w:r>
      </w:hyperlink>
      <w:r>
        <w:rPr>
          <w:sz w:val="18"/>
        </w:rPr>
        <w:br/>
        <w:t>m.13/b-1,b-5; m.14,17–19,44/a–b,61, ek m.8</w:t>
      </w:r>
    </w:p>
    <w:p>
      <w:pPr>
        <w:spacing w:after="140"/>
      </w:pPr>
      <w:r>
        <w:rPr>
          <w:sz w:val="18"/>
        </w:rPr>
      </w:r>
      <w:hyperlink r:id="rId11">
        <w:r>
          <w:rPr>
            <w:color w:val="285D6A"/>
            <w:sz w:val="18"/>
          </w:rPr>
          <w:t>TEDÜ Lisans Eğitim-Öğretim Yönetmeliği</w:t>
        </w:r>
      </w:hyperlink>
      <w:r>
        <w:rPr>
          <w:sz w:val="18"/>
        </w:rPr>
        <w:br/>
        <w:t>m.8/3,15/3</w:t>
      </w:r>
    </w:p>
    <w:p>
      <w:pPr>
        <w:spacing w:after="140"/>
      </w:pPr>
      <w:r>
        <w:rPr>
          <w:sz w:val="18"/>
        </w:rPr>
      </w:r>
      <w:hyperlink r:id="rId12">
        <w:r>
          <w:rPr>
            <w:color w:val="285D6A"/>
            <w:sz w:val="18"/>
          </w:rPr>
          <w:t>TEDÜ Lisansüstü Eğitim-Öğretim Yönetmeliği</w:t>
        </w:r>
      </w:hyperlink>
      <w:r>
        <w:rPr>
          <w:sz w:val="18"/>
        </w:rPr>
        <w:br/>
        <w:t>m.4/1-ğ,15</w:t>
      </w:r>
    </w:p>
    <w:p>
      <w:pPr>
        <w:spacing w:after="140"/>
      </w:pPr>
      <w:r>
        <w:rPr>
          <w:sz w:val="18"/>
        </w:rPr>
      </w:r>
      <w:hyperlink r:id="rId13">
        <w:r>
          <w:rPr>
            <w:color w:val="285D6A"/>
            <w:sz w:val="18"/>
          </w:rPr>
          <w:t>TEDÜ 2025 Kurum İç Değerlendirme Raporu</w:t>
        </w:r>
      </w:hyperlink>
      <w:r>
        <w:rPr>
          <w:sz w:val="18"/>
        </w:rPr>
        <w:br/>
        <w:t>B.1.5–6</w:t>
      </w:r>
    </w:p>
    <w:p>
      <w:pPr>
        <w:spacing w:after="140"/>
      </w:pPr>
      <w:r>
        <w:rPr>
          <w:sz w:val="18"/>
        </w:rPr>
      </w:r>
      <w:hyperlink r:id="rId14">
        <w:r>
          <w:rPr>
            <w:color w:val="285D6A"/>
            <w:sz w:val="18"/>
          </w:rPr>
          <w:t>TEDÜ Komisyonlar listesi, 24.09.2026</w:t>
        </w:r>
      </w:hyperlink>
      <w:r>
        <w:rPr>
          <w:sz w:val="18"/>
        </w:rPr>
        <w:br/>
        <w:t>PDF s.12</w:t>
      </w:r>
    </w:p>
    <w:p>
      <w:pPr>
        <w:spacing w:after="140"/>
      </w:pPr>
      <w:r>
        <w:rPr>
          <w:sz w:val="18"/>
        </w:rPr>
      </w:r>
      <w:hyperlink r:id="rId15">
        <w:r>
          <w:rPr>
            <w:color w:val="285D6A"/>
            <w:sz w:val="18"/>
          </w:rPr>
          <w:t>TEDÜ Çalışan El Kitabı</w:t>
        </w:r>
      </w:hyperlink>
      <w:r>
        <w:rPr>
          <w:sz w:val="18"/>
        </w:rPr>
        <w:br/>
        <w:t>PDF s.25–28; Ofis, CTL, Öğrenci İşleri Müdürlüğü ve Koordinatörlük görevleri</w:t>
      </w:r>
    </w:p>
    <w:p>
      <w:pPr>
        <w:spacing w:after="140"/>
      </w:pPr>
      <w:r>
        <w:rPr>
          <w:sz w:val="18"/>
        </w:rPr>
      </w:r>
      <w:hyperlink r:id="rId16">
        <w:r>
          <w:rPr>
            <w:color w:val="285D6A"/>
            <w:sz w:val="18"/>
          </w:rPr>
          <w:t>TEDÜ Kalite El Kitabı</w:t>
        </w:r>
      </w:hyperlink>
      <w:r>
        <w:rPr>
          <w:sz w:val="18"/>
        </w:rPr>
        <w:br/>
        <w:t>§4.1.1–4.1.4 ve4.1.12; PDF s.21–24</w:t>
      </w:r>
    </w:p>
    <w:p>
      <w:pPr>
        <w:spacing w:after="140"/>
      </w:pPr>
      <w:r>
        <w:rPr>
          <w:sz w:val="18"/>
        </w:rPr>
      </w:r>
      <w:hyperlink r:id="rId17">
        <w:r>
          <w:rPr>
            <w:color w:val="285D6A"/>
            <w:sz w:val="18"/>
          </w:rPr>
          <w:t>TEDÜ İmza Yetkileri Yönergesi</w:t>
        </w:r>
      </w:hyperlink>
      <w:r>
        <w:rPr>
          <w:sz w:val="18"/>
        </w:rPr>
        <w:br/>
        <w:t>m.5 yazışma ilkeleri; m.8 yetki devri; m.9–10 imza yetkileri. Yayımlanan metnin revizyonu 14.07.2016; belge yayın tarihi 01.04.2026.</w:t>
      </w:r>
    </w:p>
    <w:p>
      <w:pPr>
        <w:spacing w:after="140"/>
      </w:pPr>
      <w:r>
        <w:rPr>
          <w:sz w:val="18"/>
        </w:rPr>
      </w:r>
      <w:hyperlink r:id="rId18">
        <w:r>
          <w:rPr>
            <w:color w:val="285D6A"/>
            <w:sz w:val="18"/>
          </w:rPr>
          <w:t>TEDÜ Kalite Komisyonu Çalışma Yönergesi</w:t>
        </w:r>
      </w:hyperlink>
      <w:r>
        <w:rPr>
          <w:sz w:val="18"/>
        </w:rPr>
        <w:br/>
        <w:t>m.5 üyeler; m.7 toplantı ve oy usulü; m.9–10 Senato kabulü ve Rektörün yürütmesi</w:t>
      </w:r>
    </w:p>
    <w:p>
      <w:pPr>
        <w:spacing w:after="140"/>
      </w:pPr>
      <w:r>
        <w:rPr>
          <w:sz w:val="18"/>
        </w:rPr>
      </w:r>
      <w:hyperlink r:id="rId19">
        <w:r>
          <w:rPr>
            <w:color w:val="285D6A"/>
            <w:sz w:val="18"/>
          </w:rPr>
          <w:t>Bilkent Müfredat ve Öğretim Geliştirme Esasları</w:t>
        </w:r>
      </w:hyperlink>
      <w:r>
        <w:rPr>
          <w:sz w:val="18"/>
        </w:rPr>
        <w:br/>
        <w:t>I–IV. Sayfada 2001 yılına ait tarihler bulunur; tarihsel kurumsal model örneği olarak kullanılmıştır.</w:t>
      </w:r>
    </w:p>
    <w:p>
      <w:pPr>
        <w:spacing w:after="140"/>
      </w:pPr>
      <w:r>
        <w:rPr>
          <w:sz w:val="18"/>
        </w:rPr>
      </w:r>
      <w:hyperlink r:id="rId20">
        <w:r>
          <w:rPr>
            <w:color w:val="285D6A"/>
            <w:sz w:val="18"/>
          </w:rPr>
          <w:t>Bilkent Kalite Komisyonu Çalışma Usul ve Esasları</w:t>
        </w:r>
      </w:hyperlink>
      <w:r>
        <w:rPr>
          <w:sz w:val="18"/>
        </w:rPr>
        <w:br/>
        <w:t>m.5–8 üyeler, süre ve çalışma usulü; m.16 yürürlük. Üye yapısında 11.03.2026 değişikliği belirtilmiştir.</w:t>
      </w:r>
    </w:p>
    <w:p>
      <w:pPr>
        <w:spacing w:after="140"/>
      </w:pPr>
      <w:r>
        <w:rPr>
          <w:sz w:val="18"/>
        </w:rPr>
      </w:r>
      <w:hyperlink r:id="rId21">
        <w:r>
          <w:rPr>
            <w:color w:val="285D6A"/>
            <w:sz w:val="18"/>
          </w:rPr>
          <w:t>ODTÜ Lisans Eğitim Öğretim Yönetmeliği</w:t>
        </w:r>
      </w:hyperlink>
      <w:r>
        <w:rPr>
          <w:sz w:val="18"/>
        </w:rPr>
        <w:br/>
        <w:t>m.7–8; kurum dışı karşılaştırma</w:t>
      </w:r>
    </w:p>
    <w:p>
      <w:pPr>
        <w:spacing w:after="140"/>
      </w:pPr>
      <w:r>
        <w:rPr>
          <w:sz w:val="18"/>
        </w:rPr>
      </w:r>
      <w:hyperlink r:id="rId22">
        <w:r>
          <w:rPr>
            <w:color w:val="285D6A"/>
            <w:sz w:val="18"/>
          </w:rPr>
          <w:t>ODTÜ Lisansüstü Eğitim Öğretim Yönetmeliği</w:t>
        </w:r>
      </w:hyperlink>
      <w:r>
        <w:rPr>
          <w:sz w:val="18"/>
        </w:rPr>
        <w:br/>
        <w:t>m.7–8; kurum dışı karşılaştırma</w:t>
      </w:r>
    </w:p>
    <w:p>
      <w:pPr>
        <w:spacing w:after="140"/>
      </w:pPr>
      <w:r>
        <w:rPr>
          <w:sz w:val="18"/>
        </w:rPr>
      </w:r>
      <w:hyperlink r:id="rId23">
        <w:r>
          <w:rPr>
            <w:color w:val="285D6A"/>
            <w:sz w:val="18"/>
          </w:rPr>
          <w:t>ODTÜ Fen Bilimleri Enstitüsü Yeni Ders Önerisi Akışı</w:t>
        </w:r>
      </w:hyperlink>
      <w:r>
        <w:rPr>
          <w:sz w:val="18"/>
        </w:rPr>
        <w:br/>
        <w:t>08.10.2018 v1; işlem akışı örneği</w:t>
      </w:r>
    </w:p>
    <w:p>
      <w:pPr>
        <w:spacing w:after="140"/>
      </w:pPr>
      <w:r>
        <w:rPr>
          <w:sz w:val="18"/>
        </w:rPr>
      </w:r>
      <w:hyperlink r:id="rId24">
        <w:r>
          <w:rPr>
            <w:color w:val="285D6A"/>
            <w:sz w:val="18"/>
          </w:rPr>
          <w:t>ODTÜ Kalite Komisyonu Yönergesi</w:t>
        </w:r>
      </w:hyperlink>
      <w:r>
        <w:rPr>
          <w:sz w:val="18"/>
        </w:rPr>
        <w:br/>
        <w:t>m.3 üyeler; m.5 toplantı ve oy usulü; m.6–7 yürürlük ve yürütme. Eski kalite mevzuatına atfı TEDÜ için güncel dayanak sayılmamıştır.</w:t>
      </w:r>
    </w:p>
    <w:p>
      <w:pPr>
        <w:spacing w:after="140"/>
      </w:pPr>
      <w:r>
        <w:rPr>
          <w:sz w:val="18"/>
        </w:rPr>
      </w:r>
      <w:hyperlink r:id="rId25">
        <w:r>
          <w:rPr>
            <w:color w:val="285D6A"/>
            <w:sz w:val="18"/>
          </w:rPr>
          <w:t>ODTÜ 2025 Kurum İç Değerlendirme Raporu</w:t>
        </w:r>
      </w:hyperlink>
      <w:r>
        <w:rPr>
          <w:sz w:val="18"/>
        </w:rPr>
        <w:br/>
        <w:t>B.1.5–6</w:t>
      </w:r>
    </w:p>
    <w:p>
      <w:pPr>
        <w:spacing w:after="140"/>
      </w:pPr>
      <w:r>
        <w:rPr>
          <w:sz w:val="18"/>
        </w:rPr>
      </w:r>
      <w:hyperlink r:id="rId26">
        <w:r>
          <w:rPr>
            <w:color w:val="285D6A"/>
            <w:sz w:val="18"/>
          </w:rPr>
          <w:t>Bilkent 2025 Kurum İç Değerlendirme Raporu</w:t>
        </w:r>
      </w:hyperlink>
      <w:r>
        <w:rPr>
          <w:sz w:val="18"/>
        </w:rPr>
        <w:br/>
        <w:t>B.1.1–5; basılı s.33–36 / PDF s.34–37</w:t>
      </w:r>
    </w:p>
    <w:p>
      <w:pPr>
        <w:spacing w:after="140"/>
      </w:pPr>
      <w:r>
        <w:rPr>
          <w:sz w:val="18"/>
        </w:rPr>
      </w:r>
      <w:hyperlink r:id="rId28">
        <w:r>
          <w:rPr>
            <w:color w:val="285D6A"/>
            <w:sz w:val="18"/>
          </w:rPr>
          <w:t>TEDÜ Çift Anadal Programı Yönergesi</w:t>
        </w:r>
      </w:hyperlink>
      <w:r>
        <w:rPr>
          <w:sz w:val="18"/>
        </w:rPr>
        <w:br/>
        <w:t>m.5/1,5/4 ve7/4; revizyon 06.03.2025; program açılışı, anadal esaslarına gönderme ve bireysel kabul ayrımı</w:t>
      </w:r>
    </w:p>
    <w:p>
      <w:pPr>
        <w:spacing w:after="140"/>
      </w:pPr>
      <w:r>
        <w:rPr>
          <w:sz w:val="18"/>
        </w:rPr>
      </w:r>
      <w:hyperlink r:id="rId29">
        <w:r>
          <w:rPr>
            <w:color w:val="285D6A"/>
            <w:sz w:val="18"/>
          </w:rPr>
          <w:t>TEDÜ Yandal Programı Yönergesi</w:t>
        </w:r>
      </w:hyperlink>
      <w:r>
        <w:rPr>
          <w:sz w:val="18"/>
        </w:rPr>
        <w:br/>
        <w:t>m.5/1,5/4 ve7/4; revizyon 06.03.2025; program açılışı, anadal esaslarına gönderme ve bireysel kabul ayrımı</w:t>
      </w:r>
    </w:p>
    <w:p>
      <w:pPr>
        <w:spacing w:after="140"/>
      </w:pPr>
      <w:r>
        <w:rPr>
          <w:sz w:val="18"/>
        </w:rPr>
      </w:r>
      <w:hyperlink r:id="rId27">
        <w:r>
          <w:rPr>
            <w:color w:val="285D6A"/>
            <w:sz w:val="18"/>
          </w:rPr>
          <w:t>TEDÜ Öğrenci Konseyi Yönergesi</w:t>
        </w:r>
      </w:hyperlink>
      <w:r>
        <w:rPr>
          <w:sz w:val="18"/>
        </w:rPr>
        <w:br/>
        <w:t>m.10–13 öğrenci temsilinin kapsamı. Öğrenci Konseyi ile PEK farklı organlardır.</w:t>
      </w:r>
    </w:p>
    <w:p>
      <w:pPr>
        <w:widowControl/>
        <w:spacing w:after="140"/>
      </w:pPr>
      <w:r>
        <w:rPr>
          <w:sz w:val="18"/>
        </w:rPr>
      </w:r>
      <w:hyperlink r:id="rId38">
        <w:r>
          <w:rPr>
            <w:color w:val="285D6A"/>
            <w:sz w:val="18"/>
          </w:rPr>
          <w:t>TEDÜ Yapay Zekâ Komitesi Çalışma Yönergesi</w:t>
        </w:r>
      </w:hyperlink>
      <w:r>
        <w:rPr>
          <w:sz w:val="18"/>
        </w:rPr>
        <w:br/>
        <w:t>EYS.ATID.YN.048; yayın 01.04.2026; m.8–9 Senato kabulü ve Rektör yürütmesi; karar geçmişi 27.03.2025/2025-08. Farklı komite örneği, PEK’e doğrudan yetki kaynağı değildir.</w:t>
      </w:r>
    </w:p>
    <w:sectPr w:rsidR="00FC693F" w:rsidRPr="0006063C" w:rsidSect="00034616">
      <w:pgSz w:w="11906" w:h="16838"/>
      <w:pgMar w:top="1077" w:right="1247"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PEK çalışma taslağı v19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rial" w:hAnsi="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vzuat.gov.tr/MevzuatMetin/1.5.2547.pdf" TargetMode="External"/><Relationship Id="rId11" Type="http://schemas.openxmlformats.org/officeDocument/2006/relationships/hyperlink" Target="https://www.tedu.edu.tr/sites/default/files/docs/13_EYS.OIM_.YN_.047-Lisans-Egitim-Ogretim-Yonetmeligi.pdf" TargetMode="External"/><Relationship Id="rId12" Type="http://schemas.openxmlformats.org/officeDocument/2006/relationships/hyperlink" Target="https://www.tedu.edu.tr/sites/default/files/docs/20_EYS.OIM_.YN_.070-Lisansustu-Yonetmelik_Rev8_04072024.pdf" TargetMode="External"/><Relationship Id="rId13" Type="http://schemas.openxmlformats.org/officeDocument/2006/relationships/hyperlink" Target="https://www.tedu.edu.tr/sites/default/files/inline-files/kidr2025_260331.pdf" TargetMode="External"/><Relationship Id="rId14" Type="http://schemas.openxmlformats.org/officeDocument/2006/relationships/hyperlink" Target="https://www.tedu.edu.tr/sites/default/files/docs/Komisyonlar---Commissions-24.09.2026_0.pdf" TargetMode="External"/><Relationship Id="rId15" Type="http://schemas.openxmlformats.org/officeDocument/2006/relationships/hyperlink" Target="https://hr.tedu.edu.tr/sites/default/files/inline-files/Calisan-El-Kitabi-20251230TR---R01.pdf" TargetMode="External"/><Relationship Id="rId16" Type="http://schemas.openxmlformats.org/officeDocument/2006/relationships/hyperlink" Target="https://www.tedu.edu.tr/sites/default/files/inline-files/TEDU_KaliteElKitabi_v6_2026.pdf" TargetMode="External"/><Relationship Id="rId17" Type="http://schemas.openxmlformats.org/officeDocument/2006/relationships/hyperlink" Target="https://www.tedu.edu.tr/sites/default/files/docs/5_EYS.GSE_.YN_.025-TEDU-Imza-Yetkileri-Yonergesi_0.pdf" TargetMode="External"/><Relationship Id="rId18" Type="http://schemas.openxmlformats.org/officeDocument/2006/relationships/hyperlink" Target="https://www.tedu.edu.tr/sites/default/files/docs/6_EYS.KGO_.YN_.041-TEDU-Kalite-Komisyonu-Calisma-Yonergesi.pdf" TargetMode="External"/><Relationship Id="rId19" Type="http://schemas.openxmlformats.org/officeDocument/2006/relationships/hyperlink" Target="https://w3.bilkent.edu.tr/bilkent/curriculum-development/" TargetMode="External"/><Relationship Id="rId20" Type="http://schemas.openxmlformats.org/officeDocument/2006/relationships/hyperlink" Target="https://w3.bilkent.edu.tr/www/kalite-guvencesi/kalite-komisyonu-calisma-usul-ve-esaslari/" TargetMode="External"/><Relationship Id="rId21" Type="http://schemas.openxmlformats.org/officeDocument/2006/relationships/hyperlink" Target="https://oidb.metu.edu.tr/tr/orta-dogu-teknik-universitesi-lisans-egitim-ogretim-yonetmeligi" TargetMode="External"/><Relationship Id="rId22" Type="http://schemas.openxmlformats.org/officeDocument/2006/relationships/hyperlink" Target="https://oidb.metu.edu.tr/tr/orta-dogu-teknik-universitesi-lisansustu-egitim-ogretim-yonetmeligi" TargetMode="External"/><Relationship Id="rId23" Type="http://schemas.openxmlformats.org/officeDocument/2006/relationships/hyperlink" Target="https://fbe.metu.edu.tr/sites/fbe.metu.edu.tr/files/yeni_ders_onerisi_7xx_5xx_6xx.pdf" TargetMode="External"/><Relationship Id="rId24" Type="http://schemas.openxmlformats.org/officeDocument/2006/relationships/hyperlink" Target="https://kalite.metu.edu.tr/tr/kalite-komisyonu-yonergesi" TargetMode="External"/><Relationship Id="rId25" Type="http://schemas.openxmlformats.org/officeDocument/2006/relationships/hyperlink" Target="https://kalite.metu.edu.tr/sites/kalite.metu.edu.tr/files/kidr2025.pdf" TargetMode="External"/><Relationship Id="rId26" Type="http://schemas.openxmlformats.org/officeDocument/2006/relationships/hyperlink" Target="https://w3.bilkent.edu.tr/web/degerlendirme_raporu/BilkentUniversitesi_Kurum_Ic_Degerlendirme_Raporu_2025.pdf" TargetMode="External"/><Relationship Id="rId27" Type="http://schemas.openxmlformats.org/officeDocument/2006/relationships/hyperlink" Target="https://www.tedu.edu.tr/sites/default/files/docs/kys-yn-12_ogrencikonseyiyonergesi.pdf" TargetMode="External"/><Relationship Id="rId28" Type="http://schemas.openxmlformats.org/officeDocument/2006/relationships/hyperlink" Target="https://www.tedu.edu.tr/sites/default/files/docs/4_EYS.OIM_.YN_.019_CiftAnadalProgramiYonergesi.pdf" TargetMode="External"/><Relationship Id="rId29" Type="http://schemas.openxmlformats.org/officeDocument/2006/relationships/hyperlink" Target="https://www.tedu.edu.tr/sites/default/files/docs/33_EYS.OIM_.YN_.036-Yandal-Programi--YAP--Yonergesi.pdf" TargetMode="External"/><Relationship Id="rId30" Type="http://schemas.openxmlformats.org/officeDocument/2006/relationships/image" Target="media/image1.png"/><Relationship Id="rId31" Type="http://schemas.openxmlformats.org/officeDocument/2006/relationships/hyperlink" Target="https://graduate.tedu.edu.tr/sites/default/files/docs/EYS.EFP_.FR_.014-ENG-Course-Profile_0.pdf" TargetMode="External"/><Relationship Id="rId32" Type="http://schemas.openxmlformats.org/officeDocument/2006/relationships/hyperlink" Target="https://api.yokak.gov.tr/Storage/tedu/2025/ProofFiles/%5B3%5D%284%29B.1.6-%5B3%5D%284%29B.1.6-KYS-KL-16_DersProfilFormuYazimKilavuzu.docx" TargetMode="External"/><Relationship Id="rId33" Type="http://schemas.openxmlformats.org/officeDocument/2006/relationships/hyperlink" Target="https://www.tedu.edu.tr/sites/default/files/inline-files/kidr2025_260331.pdf#page=55" TargetMode="External"/><Relationship Id="rId34" Type="http://schemas.openxmlformats.org/officeDocument/2006/relationships/hyperlink" Target="https://id.tedu.edu.tr/sites/default/files/inline-files/ID_2021-22_Curriculum%20comparison.pdf" TargetMode="External"/><Relationship Id="rId35" Type="http://schemas.openxmlformats.org/officeDocument/2006/relationships/hyperlink" Target="https://www.tedu.edu.tr/sites/default/files/inline-files/TEDU_KaliteElKitabi_v6_2026.pdf#page=21" TargetMode="External"/><Relationship Id="rId36" Type="http://schemas.openxmlformats.org/officeDocument/2006/relationships/hyperlink" Target="https://ie.tedu.edu.tr/sites/default/files/inline-files/minor-program-in-operations-research_0.pdf" TargetMode="External"/><Relationship Id="rId37" Type="http://schemas.openxmlformats.org/officeDocument/2006/relationships/hyperlink" Target="https://ctl.tedu.edu.tr/sites/default/files/docs/Faculty_Handbook_compressed.pdf#page=25" TargetMode="External"/><Relationship Id="rId38" Type="http://schemas.openxmlformats.org/officeDocument/2006/relationships/hyperlink" Target="https://www.tedu.edu.tr/sites/default/files/docs/13_EYS.ATID_.YN_.048-TEDU-Yapay-Zeka-Komitesi-Calisma-Yonergesi.pdf" TargetMode="External"/><Relationship Id="rId3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TED Üniversitesi Programlar ve Eğitim Komisyonu Yönergesi</dc:title>
  <dc:subject>Onaylanan politika kararlarından oluşturulan yönerge çalışma taslağı</dc:subject>
  <dc:creator/>
  <cp:keywords>TEDÜ PEK yönerge çalışma taslağı v19</cp:keywords>
  <dc:description>generated by python-docx</dc:description>
  <cp:lastModifiedBy/>
  <cp:revision>1</cp:revision>
  <dcterms:created xsi:type="dcterms:W3CDTF">2013-12-23T23:15:00Z</dcterms:created>
  <dcterms:modified xsi:type="dcterms:W3CDTF">2013-12-23T23:15:00Z</dcterms:modified>
  <cp:category/>
</cp:coreProperties>
</file>