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DDE395" w14:textId="77777777" w:rsidR="000574CD" w:rsidRPr="000574CD" w:rsidRDefault="000574CD" w:rsidP="000574CD">
      <w:pPr>
        <w:spacing w:before="100" w:beforeAutospacing="1" w:after="100" w:afterAutospacing="1" w:line="240" w:lineRule="auto"/>
        <w:jc w:val="center"/>
        <w:outlineLvl w:val="0"/>
        <w:rPr>
          <w:rFonts w:ascii="Times New Roman" w:eastAsia="Times New Roman" w:hAnsi="Times New Roman" w:cs="Times New Roman"/>
          <w:b/>
          <w:bCs/>
          <w:color w:val="000000"/>
          <w:kern w:val="36"/>
          <w:sz w:val="20"/>
          <w:szCs w:val="20"/>
          <w14:ligatures w14:val="none"/>
        </w:rPr>
      </w:pPr>
      <w:r w:rsidRPr="000574CD">
        <w:rPr>
          <w:rFonts w:ascii="Times New Roman" w:eastAsia="Times New Roman" w:hAnsi="Times New Roman" w:cs="Times New Roman"/>
          <w:b/>
          <w:bCs/>
          <w:color w:val="000000"/>
          <w:kern w:val="36"/>
          <w:sz w:val="20"/>
          <w:szCs w:val="20"/>
          <w14:ligatures w14:val="none"/>
        </w:rPr>
        <w:t>Data Documentation — Manufacturers' New Orders: Total Manufacturing (AMTMNO)</w:t>
      </w:r>
    </w:p>
    <w:p w14:paraId="1670CA6F" w14:textId="5772B45B" w:rsidR="000574CD" w:rsidRPr="000574CD" w:rsidRDefault="000574CD" w:rsidP="000574CD">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0574CD">
        <w:rPr>
          <w:rFonts w:ascii="Times New Roman" w:eastAsia="Times New Roman" w:hAnsi="Times New Roman" w:cs="Times New Roman"/>
          <w:b/>
          <w:bCs/>
          <w:color w:val="000000"/>
          <w:kern w:val="0"/>
          <w:sz w:val="20"/>
          <w:szCs w:val="20"/>
          <w14:ligatures w14:val="none"/>
        </w:rPr>
        <w:t>1.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5780"/>
      </w:tblGrid>
      <w:tr w:rsidR="000574CD" w:rsidRPr="000574CD" w14:paraId="3EFD43B8" w14:textId="77777777">
        <w:trPr>
          <w:tblHeader/>
          <w:tblCellSpacing w:w="15" w:type="dxa"/>
        </w:trPr>
        <w:tc>
          <w:tcPr>
            <w:tcW w:w="0" w:type="auto"/>
            <w:vAlign w:val="center"/>
            <w:hideMark/>
          </w:tcPr>
          <w:p w14:paraId="0012CF2F" w14:textId="77777777" w:rsidR="000574CD" w:rsidRPr="000574CD" w:rsidRDefault="000574CD" w:rsidP="000574CD">
            <w:pPr>
              <w:spacing w:after="0" w:line="240" w:lineRule="auto"/>
              <w:jc w:val="center"/>
              <w:rPr>
                <w:rFonts w:ascii="Times New Roman" w:eastAsia="Times New Roman" w:hAnsi="Times New Roman" w:cs="Times New Roman"/>
                <w:b/>
                <w:bCs/>
                <w:color w:val="000000"/>
                <w:kern w:val="0"/>
                <w:sz w:val="20"/>
                <w:szCs w:val="20"/>
                <w14:ligatures w14:val="none"/>
              </w:rPr>
            </w:pPr>
            <w:r w:rsidRPr="000574CD">
              <w:rPr>
                <w:rFonts w:ascii="Times New Roman" w:eastAsia="Times New Roman" w:hAnsi="Times New Roman" w:cs="Times New Roman"/>
                <w:b/>
                <w:bCs/>
                <w:color w:val="000000"/>
                <w:kern w:val="0"/>
                <w:sz w:val="20"/>
                <w:szCs w:val="20"/>
                <w14:ligatures w14:val="none"/>
              </w:rPr>
              <w:t>Field</w:t>
            </w:r>
          </w:p>
        </w:tc>
        <w:tc>
          <w:tcPr>
            <w:tcW w:w="0" w:type="auto"/>
            <w:vAlign w:val="center"/>
            <w:hideMark/>
          </w:tcPr>
          <w:p w14:paraId="6CA2DCCB" w14:textId="1A8F548E" w:rsidR="000574CD" w:rsidRPr="000574CD" w:rsidRDefault="000574CD" w:rsidP="000574CD">
            <w:pPr>
              <w:spacing w:after="0" w:line="240" w:lineRule="auto"/>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 xml:space="preserve">     </w:t>
            </w:r>
            <w:r w:rsidRPr="000574CD">
              <w:rPr>
                <w:rFonts w:ascii="Times New Roman" w:eastAsia="Times New Roman" w:hAnsi="Times New Roman" w:cs="Times New Roman"/>
                <w:b/>
                <w:bCs/>
                <w:color w:val="000000"/>
                <w:kern w:val="0"/>
                <w:sz w:val="20"/>
                <w:szCs w:val="20"/>
                <w14:ligatures w14:val="none"/>
              </w:rPr>
              <w:t>Detail</w:t>
            </w:r>
          </w:p>
        </w:tc>
      </w:tr>
      <w:tr w:rsidR="000574CD" w:rsidRPr="000574CD" w14:paraId="38F7E697" w14:textId="77777777">
        <w:trPr>
          <w:tblCellSpacing w:w="15" w:type="dxa"/>
        </w:trPr>
        <w:tc>
          <w:tcPr>
            <w:tcW w:w="0" w:type="auto"/>
            <w:vAlign w:val="center"/>
            <w:hideMark/>
          </w:tcPr>
          <w:p w14:paraId="151BC795"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Dataset name</w:t>
            </w:r>
          </w:p>
        </w:tc>
        <w:tc>
          <w:tcPr>
            <w:tcW w:w="0" w:type="auto"/>
            <w:vAlign w:val="center"/>
            <w:hideMark/>
          </w:tcPr>
          <w:p w14:paraId="65C45B85" w14:textId="16738BB4"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Manufacturers' New Orders: Total Manufacturing</w:t>
            </w:r>
          </w:p>
        </w:tc>
      </w:tr>
      <w:tr w:rsidR="000574CD" w:rsidRPr="000574CD" w14:paraId="707C3926" w14:textId="77777777">
        <w:trPr>
          <w:tblCellSpacing w:w="15" w:type="dxa"/>
        </w:trPr>
        <w:tc>
          <w:tcPr>
            <w:tcW w:w="0" w:type="auto"/>
            <w:vAlign w:val="center"/>
            <w:hideMark/>
          </w:tcPr>
          <w:p w14:paraId="19561091"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Series ID</w:t>
            </w:r>
          </w:p>
        </w:tc>
        <w:tc>
          <w:tcPr>
            <w:tcW w:w="0" w:type="auto"/>
            <w:vAlign w:val="center"/>
            <w:hideMark/>
          </w:tcPr>
          <w:p w14:paraId="15C638C2" w14:textId="49374DB0"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AMTMNO</w:t>
            </w:r>
          </w:p>
        </w:tc>
      </w:tr>
      <w:tr w:rsidR="000574CD" w:rsidRPr="000574CD" w14:paraId="4D550AD7" w14:textId="77777777">
        <w:trPr>
          <w:tblCellSpacing w:w="15" w:type="dxa"/>
        </w:trPr>
        <w:tc>
          <w:tcPr>
            <w:tcW w:w="0" w:type="auto"/>
            <w:vAlign w:val="center"/>
            <w:hideMark/>
          </w:tcPr>
          <w:p w14:paraId="68A95C5D"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Source</w:t>
            </w:r>
          </w:p>
        </w:tc>
        <w:tc>
          <w:tcPr>
            <w:tcW w:w="0" w:type="auto"/>
            <w:vAlign w:val="center"/>
            <w:hideMark/>
          </w:tcPr>
          <w:p w14:paraId="44495BD6" w14:textId="77B73556"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U.S. Census Bureau, via FRED (Federal Reserve Bank of St. Louis)</w:t>
            </w:r>
          </w:p>
        </w:tc>
      </w:tr>
      <w:tr w:rsidR="000574CD" w:rsidRPr="000574CD" w14:paraId="0D198484" w14:textId="77777777">
        <w:trPr>
          <w:tblCellSpacing w:w="15" w:type="dxa"/>
        </w:trPr>
        <w:tc>
          <w:tcPr>
            <w:tcW w:w="0" w:type="auto"/>
            <w:vAlign w:val="center"/>
            <w:hideMark/>
          </w:tcPr>
          <w:p w14:paraId="528DBBBC"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Source URL</w:t>
            </w:r>
          </w:p>
        </w:tc>
        <w:tc>
          <w:tcPr>
            <w:tcW w:w="0" w:type="auto"/>
            <w:vAlign w:val="center"/>
            <w:hideMark/>
          </w:tcPr>
          <w:p w14:paraId="22680F23" w14:textId="37522332"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https://fred.stlouisfed.org/series/AMTMNO</w:t>
            </w:r>
          </w:p>
        </w:tc>
      </w:tr>
      <w:tr w:rsidR="000574CD" w:rsidRPr="000574CD" w14:paraId="04B87251" w14:textId="77777777">
        <w:trPr>
          <w:tblCellSpacing w:w="15" w:type="dxa"/>
        </w:trPr>
        <w:tc>
          <w:tcPr>
            <w:tcW w:w="0" w:type="auto"/>
            <w:vAlign w:val="center"/>
            <w:hideMark/>
          </w:tcPr>
          <w:p w14:paraId="26FD646B"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File</w:t>
            </w:r>
          </w:p>
        </w:tc>
        <w:tc>
          <w:tcPr>
            <w:tcW w:w="0" w:type="auto"/>
            <w:vAlign w:val="center"/>
            <w:hideMark/>
          </w:tcPr>
          <w:p w14:paraId="620213A4" w14:textId="4531539A"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AMTMNO.csv</w:t>
            </w:r>
          </w:p>
        </w:tc>
      </w:tr>
      <w:tr w:rsidR="000574CD" w:rsidRPr="000574CD" w14:paraId="2BDC7A98" w14:textId="77777777">
        <w:trPr>
          <w:tblCellSpacing w:w="15" w:type="dxa"/>
        </w:trPr>
        <w:tc>
          <w:tcPr>
            <w:tcW w:w="0" w:type="auto"/>
            <w:vAlign w:val="center"/>
            <w:hideMark/>
          </w:tcPr>
          <w:p w14:paraId="33064AF1"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Periodicity</w:t>
            </w:r>
          </w:p>
        </w:tc>
        <w:tc>
          <w:tcPr>
            <w:tcW w:w="0" w:type="auto"/>
            <w:vAlign w:val="center"/>
            <w:hideMark/>
          </w:tcPr>
          <w:p w14:paraId="1375DE43" w14:textId="3AB310BB"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Monthly</w:t>
            </w:r>
          </w:p>
        </w:tc>
      </w:tr>
      <w:tr w:rsidR="000574CD" w:rsidRPr="000574CD" w14:paraId="5B58B452" w14:textId="77777777">
        <w:trPr>
          <w:tblCellSpacing w:w="15" w:type="dxa"/>
        </w:trPr>
        <w:tc>
          <w:tcPr>
            <w:tcW w:w="0" w:type="auto"/>
            <w:vAlign w:val="center"/>
            <w:hideMark/>
          </w:tcPr>
          <w:p w14:paraId="4457F348"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Coverage</w:t>
            </w:r>
          </w:p>
        </w:tc>
        <w:tc>
          <w:tcPr>
            <w:tcW w:w="0" w:type="auto"/>
            <w:vAlign w:val="center"/>
            <w:hideMark/>
          </w:tcPr>
          <w:p w14:paraId="7D1CF7BB" w14:textId="5CDA9FE9"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February 1992 – July 2026 (414 observations)</w:t>
            </w:r>
          </w:p>
        </w:tc>
      </w:tr>
      <w:tr w:rsidR="000574CD" w:rsidRPr="000574CD" w14:paraId="15ABC69D" w14:textId="77777777">
        <w:trPr>
          <w:tblCellSpacing w:w="15" w:type="dxa"/>
        </w:trPr>
        <w:tc>
          <w:tcPr>
            <w:tcW w:w="0" w:type="auto"/>
            <w:vAlign w:val="center"/>
            <w:hideMark/>
          </w:tcPr>
          <w:p w14:paraId="750AA380"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Units</w:t>
            </w:r>
          </w:p>
        </w:tc>
        <w:tc>
          <w:tcPr>
            <w:tcW w:w="0" w:type="auto"/>
            <w:vAlign w:val="center"/>
            <w:hideMark/>
          </w:tcPr>
          <w:p w14:paraId="342F4D0D" w14:textId="132C84B3"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Millions of U.S. dollars</w:t>
            </w:r>
          </w:p>
        </w:tc>
      </w:tr>
      <w:tr w:rsidR="000574CD" w:rsidRPr="000574CD" w14:paraId="38BCFA54" w14:textId="77777777">
        <w:trPr>
          <w:tblCellSpacing w:w="15" w:type="dxa"/>
        </w:trPr>
        <w:tc>
          <w:tcPr>
            <w:tcW w:w="0" w:type="auto"/>
            <w:vAlign w:val="center"/>
            <w:hideMark/>
          </w:tcPr>
          <w:p w14:paraId="79EF352C" w14:textId="77777777"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Seasonal adjustment</w:t>
            </w:r>
          </w:p>
        </w:tc>
        <w:tc>
          <w:tcPr>
            <w:tcW w:w="0" w:type="auto"/>
            <w:vAlign w:val="center"/>
            <w:hideMark/>
          </w:tcPr>
          <w:p w14:paraId="68D7C567" w14:textId="6DD55612" w:rsidR="000574CD" w:rsidRPr="000574CD" w:rsidRDefault="000574CD" w:rsidP="000574CD">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     </w:t>
            </w:r>
            <w:r w:rsidRPr="000574CD">
              <w:rPr>
                <w:rFonts w:ascii="Times New Roman" w:eastAsia="Times New Roman" w:hAnsi="Times New Roman" w:cs="Times New Roman"/>
                <w:color w:val="000000"/>
                <w:kern w:val="0"/>
                <w:sz w:val="20"/>
                <w:szCs w:val="20"/>
                <w14:ligatures w14:val="none"/>
              </w:rPr>
              <w:t>Seasonally adjusted</w:t>
            </w:r>
          </w:p>
        </w:tc>
      </w:tr>
    </w:tbl>
    <w:p w14:paraId="44DC304C" w14:textId="77777777" w:rsidR="000574CD" w:rsidRPr="000574CD" w:rsidRDefault="000574CD" w:rsidP="000574CD">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0574CD">
        <w:rPr>
          <w:rFonts w:ascii="Times New Roman" w:eastAsia="Times New Roman" w:hAnsi="Times New Roman" w:cs="Times New Roman"/>
          <w:b/>
          <w:bCs/>
          <w:color w:val="000000"/>
          <w:kern w:val="0"/>
          <w:sz w:val="20"/>
          <w:szCs w:val="20"/>
          <w14:ligatures w14:val="none"/>
        </w:rPr>
        <w:t>2. Data Dictionary</w:t>
      </w:r>
    </w:p>
    <w:tbl>
      <w:tblPr>
        <w:tblW w:w="10007" w:type="dxa"/>
        <w:tblCellSpacing w:w="15" w:type="dxa"/>
        <w:tblCellMar>
          <w:top w:w="15" w:type="dxa"/>
          <w:left w:w="15" w:type="dxa"/>
          <w:bottom w:w="15" w:type="dxa"/>
          <w:right w:w="15" w:type="dxa"/>
        </w:tblCellMar>
        <w:tblLook w:val="04A0" w:firstRow="1" w:lastRow="0" w:firstColumn="1" w:lastColumn="0" w:noHBand="0" w:noVBand="1"/>
      </w:tblPr>
      <w:tblGrid>
        <w:gridCol w:w="977"/>
        <w:gridCol w:w="1436"/>
        <w:gridCol w:w="1417"/>
        <w:gridCol w:w="1197"/>
        <w:gridCol w:w="4980"/>
      </w:tblGrid>
      <w:tr w:rsidR="000574CD" w:rsidRPr="000574CD" w14:paraId="6843F7CC" w14:textId="77777777" w:rsidTr="000574CD">
        <w:trPr>
          <w:trHeight w:val="231"/>
          <w:tblHeader/>
          <w:tblCellSpacing w:w="15" w:type="dxa"/>
        </w:trPr>
        <w:tc>
          <w:tcPr>
            <w:tcW w:w="0" w:type="auto"/>
            <w:vAlign w:val="center"/>
            <w:hideMark/>
          </w:tcPr>
          <w:p w14:paraId="4E35ADE6" w14:textId="77777777" w:rsidR="000574CD" w:rsidRPr="000574CD" w:rsidRDefault="000574CD" w:rsidP="000574CD">
            <w:pPr>
              <w:spacing w:after="0" w:line="240" w:lineRule="auto"/>
              <w:jc w:val="center"/>
              <w:rPr>
                <w:rFonts w:ascii="Times New Roman" w:eastAsia="Times New Roman" w:hAnsi="Times New Roman" w:cs="Times New Roman"/>
                <w:b/>
                <w:bCs/>
                <w:color w:val="000000"/>
                <w:kern w:val="0"/>
                <w:sz w:val="16"/>
                <w:szCs w:val="16"/>
                <w14:ligatures w14:val="none"/>
              </w:rPr>
            </w:pPr>
            <w:r w:rsidRPr="000574CD">
              <w:rPr>
                <w:rFonts w:ascii="Times New Roman" w:eastAsia="Times New Roman" w:hAnsi="Times New Roman" w:cs="Times New Roman"/>
                <w:b/>
                <w:bCs/>
                <w:color w:val="000000"/>
                <w:kern w:val="0"/>
                <w:sz w:val="16"/>
                <w:szCs w:val="16"/>
                <w14:ligatures w14:val="none"/>
              </w:rPr>
              <w:t>Variable Name</w:t>
            </w:r>
          </w:p>
        </w:tc>
        <w:tc>
          <w:tcPr>
            <w:tcW w:w="0" w:type="auto"/>
            <w:vAlign w:val="center"/>
            <w:hideMark/>
          </w:tcPr>
          <w:p w14:paraId="7C5D25AB" w14:textId="77777777" w:rsidR="000574CD" w:rsidRPr="000574CD" w:rsidRDefault="000574CD" w:rsidP="000574CD">
            <w:pPr>
              <w:spacing w:after="0" w:line="240" w:lineRule="auto"/>
              <w:jc w:val="center"/>
              <w:rPr>
                <w:rFonts w:ascii="Times New Roman" w:eastAsia="Times New Roman" w:hAnsi="Times New Roman" w:cs="Times New Roman"/>
                <w:b/>
                <w:bCs/>
                <w:color w:val="000000"/>
                <w:kern w:val="0"/>
                <w:sz w:val="16"/>
                <w:szCs w:val="16"/>
                <w14:ligatures w14:val="none"/>
              </w:rPr>
            </w:pPr>
            <w:r w:rsidRPr="000574CD">
              <w:rPr>
                <w:rFonts w:ascii="Times New Roman" w:eastAsia="Times New Roman" w:hAnsi="Times New Roman" w:cs="Times New Roman"/>
                <w:b/>
                <w:bCs/>
                <w:color w:val="000000"/>
                <w:kern w:val="0"/>
                <w:sz w:val="16"/>
                <w:szCs w:val="16"/>
                <w14:ligatures w14:val="none"/>
              </w:rPr>
              <w:t>Readable Name</w:t>
            </w:r>
          </w:p>
        </w:tc>
        <w:tc>
          <w:tcPr>
            <w:tcW w:w="0" w:type="auto"/>
            <w:vAlign w:val="center"/>
            <w:hideMark/>
          </w:tcPr>
          <w:p w14:paraId="1C7B1E83" w14:textId="77777777" w:rsidR="000574CD" w:rsidRPr="000574CD" w:rsidRDefault="000574CD" w:rsidP="000574CD">
            <w:pPr>
              <w:spacing w:after="0" w:line="240" w:lineRule="auto"/>
              <w:jc w:val="center"/>
              <w:rPr>
                <w:rFonts w:ascii="Times New Roman" w:eastAsia="Times New Roman" w:hAnsi="Times New Roman" w:cs="Times New Roman"/>
                <w:b/>
                <w:bCs/>
                <w:color w:val="000000"/>
                <w:kern w:val="0"/>
                <w:sz w:val="16"/>
                <w:szCs w:val="16"/>
                <w14:ligatures w14:val="none"/>
              </w:rPr>
            </w:pPr>
            <w:r w:rsidRPr="000574CD">
              <w:rPr>
                <w:rFonts w:ascii="Times New Roman" w:eastAsia="Times New Roman" w:hAnsi="Times New Roman" w:cs="Times New Roman"/>
                <w:b/>
                <w:bCs/>
                <w:color w:val="000000"/>
                <w:kern w:val="0"/>
                <w:sz w:val="16"/>
                <w:szCs w:val="16"/>
                <w14:ligatures w14:val="none"/>
              </w:rPr>
              <w:t>Units</w:t>
            </w:r>
          </w:p>
        </w:tc>
        <w:tc>
          <w:tcPr>
            <w:tcW w:w="0" w:type="auto"/>
            <w:vAlign w:val="center"/>
            <w:hideMark/>
          </w:tcPr>
          <w:p w14:paraId="3A4E5823" w14:textId="77777777" w:rsidR="000574CD" w:rsidRPr="000574CD" w:rsidRDefault="000574CD" w:rsidP="000574CD">
            <w:pPr>
              <w:spacing w:after="0" w:line="240" w:lineRule="auto"/>
              <w:jc w:val="center"/>
              <w:rPr>
                <w:rFonts w:ascii="Times New Roman" w:eastAsia="Times New Roman" w:hAnsi="Times New Roman" w:cs="Times New Roman"/>
                <w:b/>
                <w:bCs/>
                <w:color w:val="000000"/>
                <w:kern w:val="0"/>
                <w:sz w:val="16"/>
                <w:szCs w:val="16"/>
                <w14:ligatures w14:val="none"/>
              </w:rPr>
            </w:pPr>
            <w:r w:rsidRPr="000574CD">
              <w:rPr>
                <w:rFonts w:ascii="Times New Roman" w:eastAsia="Times New Roman" w:hAnsi="Times New Roman" w:cs="Times New Roman"/>
                <w:b/>
                <w:bCs/>
                <w:color w:val="000000"/>
                <w:kern w:val="0"/>
                <w:sz w:val="16"/>
                <w:szCs w:val="16"/>
                <w14:ligatures w14:val="none"/>
              </w:rPr>
              <w:t>Allowed Values</w:t>
            </w:r>
          </w:p>
        </w:tc>
        <w:tc>
          <w:tcPr>
            <w:tcW w:w="0" w:type="auto"/>
            <w:vAlign w:val="center"/>
            <w:hideMark/>
          </w:tcPr>
          <w:p w14:paraId="6A981AAB" w14:textId="77777777" w:rsidR="000574CD" w:rsidRPr="000574CD" w:rsidRDefault="000574CD" w:rsidP="000574CD">
            <w:pPr>
              <w:spacing w:after="0" w:line="240" w:lineRule="auto"/>
              <w:jc w:val="center"/>
              <w:rPr>
                <w:rFonts w:ascii="Times New Roman" w:eastAsia="Times New Roman" w:hAnsi="Times New Roman" w:cs="Times New Roman"/>
                <w:b/>
                <w:bCs/>
                <w:color w:val="000000"/>
                <w:kern w:val="0"/>
                <w:sz w:val="16"/>
                <w:szCs w:val="16"/>
                <w14:ligatures w14:val="none"/>
              </w:rPr>
            </w:pPr>
            <w:r w:rsidRPr="000574CD">
              <w:rPr>
                <w:rFonts w:ascii="Times New Roman" w:eastAsia="Times New Roman" w:hAnsi="Times New Roman" w:cs="Times New Roman"/>
                <w:b/>
                <w:bCs/>
                <w:color w:val="000000"/>
                <w:kern w:val="0"/>
                <w:sz w:val="16"/>
                <w:szCs w:val="16"/>
                <w14:ligatures w14:val="none"/>
              </w:rPr>
              <w:t>Definition</w:t>
            </w:r>
          </w:p>
        </w:tc>
      </w:tr>
      <w:tr w:rsidR="000574CD" w:rsidRPr="000574CD" w14:paraId="1FCC6B8C" w14:textId="77777777" w:rsidTr="000574CD">
        <w:trPr>
          <w:trHeight w:val="696"/>
          <w:tblCellSpacing w:w="15" w:type="dxa"/>
        </w:trPr>
        <w:tc>
          <w:tcPr>
            <w:tcW w:w="0" w:type="auto"/>
            <w:vAlign w:val="center"/>
            <w:hideMark/>
          </w:tcPr>
          <w:p w14:paraId="1286399C" w14:textId="54210D7E"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t>observation date</w:t>
            </w:r>
          </w:p>
        </w:tc>
        <w:tc>
          <w:tcPr>
            <w:tcW w:w="0" w:type="auto"/>
            <w:vAlign w:val="center"/>
            <w:hideMark/>
          </w:tcPr>
          <w:p w14:paraId="425CC9BF" w14:textId="77777777"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t>Observation Date</w:t>
            </w:r>
          </w:p>
        </w:tc>
        <w:tc>
          <w:tcPr>
            <w:tcW w:w="0" w:type="auto"/>
            <w:vAlign w:val="center"/>
            <w:hideMark/>
          </w:tcPr>
          <w:p w14:paraId="7CB48770" w14:textId="77777777"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t>Calendar date (YYYY-MM-DD)</w:t>
            </w:r>
          </w:p>
        </w:tc>
        <w:tc>
          <w:tcPr>
            <w:tcW w:w="0" w:type="auto"/>
            <w:vAlign w:val="center"/>
            <w:hideMark/>
          </w:tcPr>
          <w:p w14:paraId="34BCD8D6" w14:textId="4D738BC3"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t>1992-02-01 to 2026-07-01</w:t>
            </w:r>
          </w:p>
        </w:tc>
        <w:tc>
          <w:tcPr>
            <w:tcW w:w="0" w:type="auto"/>
            <w:vAlign w:val="center"/>
            <w:hideMark/>
          </w:tcPr>
          <w:p w14:paraId="4BD75B0A" w14:textId="474E650F"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252164">
              <w:rPr>
                <w:rFonts w:ascii="Times New Roman" w:eastAsia="Times New Roman" w:hAnsi="Times New Roman" w:cs="Times New Roman"/>
                <w:color w:val="000000"/>
                <w:kern w:val="0"/>
                <w:sz w:val="20"/>
                <w:szCs w:val="20"/>
                <w14:ligatures w14:val="none"/>
              </w:rPr>
              <w:t xml:space="preserve">                   </w:t>
            </w:r>
            <w:r w:rsidRPr="00252164">
              <w:rPr>
                <w:rFonts w:ascii="Times New Roman" w:eastAsia="Times New Roman" w:hAnsi="Times New Roman" w:cs="Times New Roman"/>
                <w:color w:val="000000"/>
                <w:kern w:val="0"/>
                <w:sz w:val="18"/>
                <w:szCs w:val="18"/>
                <w14:ligatures w14:val="none"/>
              </w:rPr>
              <w:t>The calendar month the record applies to.</w:t>
            </w:r>
          </w:p>
        </w:tc>
      </w:tr>
      <w:tr w:rsidR="000574CD" w:rsidRPr="000574CD" w14:paraId="79AABD66" w14:textId="77777777" w:rsidTr="000574CD">
        <w:trPr>
          <w:trHeight w:val="953"/>
          <w:tblCellSpacing w:w="15" w:type="dxa"/>
        </w:trPr>
        <w:tc>
          <w:tcPr>
            <w:tcW w:w="0" w:type="auto"/>
            <w:vAlign w:val="center"/>
            <w:hideMark/>
          </w:tcPr>
          <w:p w14:paraId="00469655" w14:textId="77777777"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t>AMTMNO</w:t>
            </w:r>
          </w:p>
        </w:tc>
        <w:tc>
          <w:tcPr>
            <w:tcW w:w="0" w:type="auto"/>
            <w:vAlign w:val="center"/>
            <w:hideMark/>
          </w:tcPr>
          <w:p w14:paraId="2F01DE65" w14:textId="77777777"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t>Manufacturers' New Orders</w:t>
            </w:r>
          </w:p>
        </w:tc>
        <w:tc>
          <w:tcPr>
            <w:tcW w:w="0" w:type="auto"/>
            <w:vAlign w:val="center"/>
            <w:hideMark/>
          </w:tcPr>
          <w:p w14:paraId="75BDA646" w14:textId="77777777"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t>Millions of $</w:t>
            </w:r>
          </w:p>
        </w:tc>
        <w:tc>
          <w:tcPr>
            <w:tcW w:w="0" w:type="auto"/>
            <w:vAlign w:val="center"/>
            <w:hideMark/>
          </w:tcPr>
          <w:p w14:paraId="07A0D500" w14:textId="6482D830"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t>223,500 to 665,895</w:t>
            </w:r>
          </w:p>
        </w:tc>
        <w:tc>
          <w:tcPr>
            <w:tcW w:w="0" w:type="auto"/>
            <w:vAlign w:val="center"/>
            <w:hideMark/>
          </w:tcPr>
          <w:p w14:paraId="4018275C" w14:textId="0D1C6B62" w:rsidR="000574CD" w:rsidRPr="000574CD" w:rsidRDefault="000574CD" w:rsidP="000574CD">
            <w:pPr>
              <w:spacing w:after="0" w:line="240" w:lineRule="auto"/>
              <w:rPr>
                <w:rFonts w:ascii="Times New Roman" w:eastAsia="Times New Roman" w:hAnsi="Times New Roman" w:cs="Times New Roman"/>
                <w:color w:val="000000"/>
                <w:kern w:val="0"/>
                <w:sz w:val="16"/>
                <w:szCs w:val="16"/>
                <w14:ligatures w14:val="none"/>
              </w:rPr>
            </w:pPr>
            <w:r w:rsidRPr="00252164">
              <w:rPr>
                <w:rFonts w:ascii="Times New Roman" w:eastAsia="Times New Roman" w:hAnsi="Times New Roman" w:cs="Times New Roman"/>
                <w:color w:val="000000"/>
                <w:kern w:val="0"/>
                <w:sz w:val="18"/>
                <w:szCs w:val="18"/>
                <w14:ligatures w14:val="none"/>
              </w:rPr>
              <w:t>the total dollar value of new orders received by U.S. manufacturers that month, net of cancellations, seasonally adjusted.</w:t>
            </w:r>
          </w:p>
        </w:tc>
      </w:tr>
    </w:tbl>
    <w:p w14:paraId="2630EF1D" w14:textId="77777777" w:rsidR="000574CD" w:rsidRPr="000574CD" w:rsidRDefault="000574CD" w:rsidP="000574CD">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b/>
          <w:bCs/>
          <w:color w:val="000000"/>
          <w:kern w:val="0"/>
          <w:sz w:val="20"/>
          <w:szCs w:val="20"/>
          <w14:ligatures w14:val="none"/>
        </w:rPr>
        <w:t>Notes:</w:t>
      </w:r>
      <w:r w:rsidRPr="000574CD">
        <w:rPr>
          <w:rFonts w:ascii="Times New Roman" w:eastAsia="Times New Roman" w:hAnsi="Times New Roman" w:cs="Times New Roman"/>
          <w:color w:val="000000"/>
          <w:kern w:val="0"/>
          <w:sz w:val="20"/>
          <w:szCs w:val="20"/>
          <w14:ligatures w14:val="none"/>
        </w:rPr>
        <w:t> Values are nominal (not inflation-adjusted). New orders for the semiconductor industry are excluded, since they aren't separately collected in the underlying survey. Rising values signal growing production demand; falling values often precede a manufacturing slowdown.</w:t>
      </w:r>
    </w:p>
    <w:p w14:paraId="3E51E528" w14:textId="77777777" w:rsidR="000574CD" w:rsidRPr="000574CD" w:rsidRDefault="000574CD" w:rsidP="000574CD">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0574CD">
        <w:rPr>
          <w:rFonts w:ascii="Times New Roman" w:eastAsia="Times New Roman" w:hAnsi="Times New Roman" w:cs="Times New Roman"/>
          <w:b/>
          <w:bCs/>
          <w:color w:val="000000"/>
          <w:kern w:val="0"/>
          <w:sz w:val="20"/>
          <w:szCs w:val="20"/>
          <w14:ligatures w14:val="none"/>
        </w:rPr>
        <w:t>3. Data Collection Methodology</w:t>
      </w:r>
    </w:p>
    <w:p w14:paraId="66D0FD28" w14:textId="77777777" w:rsidR="000574CD" w:rsidRPr="000574CD" w:rsidRDefault="000574CD" w:rsidP="000574CD">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This data is collected by the U.S. Census Bureau through the Manufacturers' Shipments, Inventories, and Orders (M3) Survey, a monthly voluntary survey of U.S. manufacturers. About 3,000 companies (roughly 4,700 reporting units) report their shipments, new orders, and inventories directly to the Census Bureau each month.</w:t>
      </w:r>
    </w:p>
    <w:p w14:paraId="05EB9F4A" w14:textId="795F214E" w:rsidR="000574CD" w:rsidRPr="000574CD" w:rsidRDefault="000574CD" w:rsidP="000574CD">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The survey is released monthly: an advance estimate comes out about a week after month-end, followed by a full report with revisions about a month later. Because the reporting panel isn't randomly sampled, results depend on how representative the participating companies are of the overall manufacturing sector, and historical values can be revised in later releases</w:t>
      </w:r>
      <w:r>
        <w:rPr>
          <w:rFonts w:ascii="Times New Roman" w:eastAsia="Times New Roman" w:hAnsi="Times New Roman" w:cs="Times New Roman"/>
          <w:color w:val="000000"/>
          <w:kern w:val="0"/>
          <w:sz w:val="20"/>
          <w:szCs w:val="20"/>
          <w14:ligatures w14:val="none"/>
        </w:rPr>
        <w:t>.</w:t>
      </w:r>
    </w:p>
    <w:p w14:paraId="36B90D1C" w14:textId="77777777" w:rsidR="000574CD" w:rsidRPr="000574CD" w:rsidRDefault="000574CD" w:rsidP="000574CD">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0574CD">
        <w:rPr>
          <w:rFonts w:ascii="Times New Roman" w:eastAsia="Times New Roman" w:hAnsi="Times New Roman" w:cs="Times New Roman"/>
          <w:b/>
          <w:bCs/>
          <w:color w:val="000000"/>
          <w:kern w:val="0"/>
          <w:sz w:val="20"/>
          <w:szCs w:val="20"/>
          <w14:ligatures w14:val="none"/>
        </w:rPr>
        <w:t>4. Why This Dataset Intrigues Me</w:t>
      </w:r>
    </w:p>
    <w:p w14:paraId="7438CC33" w14:textId="48F245AB" w:rsidR="000574CD" w:rsidRPr="000574CD" w:rsidRDefault="000574CD" w:rsidP="000574CD">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0574CD">
        <w:rPr>
          <w:rFonts w:ascii="Times New Roman" w:eastAsia="Times New Roman" w:hAnsi="Times New Roman" w:cs="Times New Roman"/>
          <w:color w:val="000000"/>
          <w:kern w:val="0"/>
          <w:sz w:val="20"/>
          <w:szCs w:val="20"/>
          <w14:ligatures w14:val="none"/>
        </w:rPr>
        <w:t>What intrigues me about this dataset is that it's real-life manufacturing data that shows real seasonality. When new orders spike or drop sharply, it cascades downstrea</w:t>
      </w:r>
      <w:r w:rsidR="00826FF8">
        <w:rPr>
          <w:rFonts w:ascii="Times New Roman" w:eastAsia="Times New Roman" w:hAnsi="Times New Roman" w:cs="Times New Roman"/>
          <w:color w:val="000000"/>
          <w:kern w:val="0"/>
          <w:sz w:val="20"/>
          <w:szCs w:val="20"/>
          <w14:ligatures w14:val="none"/>
        </w:rPr>
        <w:t xml:space="preserve">m and </w:t>
      </w:r>
      <w:r w:rsidRPr="000574CD">
        <w:rPr>
          <w:rFonts w:ascii="Times New Roman" w:eastAsia="Times New Roman" w:hAnsi="Times New Roman" w:cs="Times New Roman"/>
          <w:color w:val="000000"/>
          <w:kern w:val="0"/>
          <w:sz w:val="20"/>
          <w:szCs w:val="20"/>
          <w14:ligatures w14:val="none"/>
        </w:rPr>
        <w:t xml:space="preserve">capacity gets tight or slack, suppliers get squeezed or under-utilized, and inventory strategy </w:t>
      </w:r>
      <w:r w:rsidR="00826FF8" w:rsidRPr="000574CD">
        <w:rPr>
          <w:rFonts w:ascii="Times New Roman" w:eastAsia="Times New Roman" w:hAnsi="Times New Roman" w:cs="Times New Roman"/>
          <w:color w:val="000000"/>
          <w:kern w:val="0"/>
          <w:sz w:val="20"/>
          <w:szCs w:val="20"/>
          <w14:ligatures w14:val="none"/>
        </w:rPr>
        <w:t>must</w:t>
      </w:r>
      <w:r w:rsidRPr="000574CD">
        <w:rPr>
          <w:rFonts w:ascii="Times New Roman" w:eastAsia="Times New Roman" w:hAnsi="Times New Roman" w:cs="Times New Roman"/>
          <w:color w:val="000000"/>
          <w:kern w:val="0"/>
          <w:sz w:val="20"/>
          <w:szCs w:val="20"/>
          <w14:ligatures w14:val="none"/>
        </w:rPr>
        <w:t xml:space="preserve"> shift. Practicing forecasting on this series is practicing the exact skill of anticipating that cascade before it hits.</w:t>
      </w:r>
    </w:p>
    <w:p w14:paraId="518D9629" w14:textId="77777777" w:rsidR="000574CD" w:rsidRPr="000574CD" w:rsidRDefault="000574CD" w:rsidP="000574CD">
      <w:pPr>
        <w:spacing w:before="100" w:beforeAutospacing="1" w:after="100" w:afterAutospacing="1" w:line="240" w:lineRule="auto"/>
        <w:rPr>
          <w:rFonts w:ascii="Times New Roman" w:eastAsia="Times New Roman" w:hAnsi="Times New Roman" w:cs="Times New Roman"/>
          <w:color w:val="000000"/>
          <w:kern w:val="0"/>
          <w:sz w:val="16"/>
          <w:szCs w:val="16"/>
          <w14:ligatures w14:val="none"/>
        </w:rPr>
      </w:pPr>
      <w:r w:rsidRPr="000574CD">
        <w:rPr>
          <w:rFonts w:ascii="Times New Roman" w:eastAsia="Times New Roman" w:hAnsi="Times New Roman" w:cs="Times New Roman"/>
          <w:color w:val="000000"/>
          <w:kern w:val="0"/>
          <w:sz w:val="16"/>
          <w:szCs w:val="16"/>
          <w14:ligatures w14:val="none"/>
        </w:rPr>
        <w:lastRenderedPageBreak/>
        <w:t>U.S. Census Bureau, Manufacturers' New Orders: Total Manufacturing [AMTMNO], retrieved from FRED, Federal Reserve Bank of St. Louis; https://fred.stlouisfed.org/series/AMTMNO.</w:t>
      </w:r>
    </w:p>
    <w:p w14:paraId="1F5634E5" w14:textId="77777777" w:rsidR="00EE62B7" w:rsidRPr="000574CD" w:rsidRDefault="00EE62B7" w:rsidP="000574CD">
      <w:pPr>
        <w:rPr>
          <w:sz w:val="20"/>
          <w:szCs w:val="20"/>
        </w:rPr>
      </w:pPr>
    </w:p>
    <w:sectPr w:rsidR="00EE62B7" w:rsidRPr="00057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2205DF"/>
    <w:multiLevelType w:val="multilevel"/>
    <w:tmpl w:val="EDE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0264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B7"/>
    <w:rsid w:val="000574CD"/>
    <w:rsid w:val="00252164"/>
    <w:rsid w:val="007F46C3"/>
    <w:rsid w:val="00826FF8"/>
    <w:rsid w:val="00A06FB4"/>
    <w:rsid w:val="00D6020B"/>
    <w:rsid w:val="00E97559"/>
    <w:rsid w:val="00EE62B7"/>
    <w:rsid w:val="00F63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978598"/>
  <w15:chartTrackingRefBased/>
  <w15:docId w15:val="{12118CC4-BBA2-084E-903F-6F5AE8B1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2B7"/>
    <w:rPr>
      <w:rFonts w:eastAsiaTheme="majorEastAsia" w:cstheme="majorBidi"/>
      <w:color w:val="272727" w:themeColor="text1" w:themeTint="D8"/>
    </w:rPr>
  </w:style>
  <w:style w:type="paragraph" w:styleId="Title">
    <w:name w:val="Title"/>
    <w:basedOn w:val="Normal"/>
    <w:next w:val="Normal"/>
    <w:link w:val="TitleChar"/>
    <w:uiPriority w:val="10"/>
    <w:qFormat/>
    <w:rsid w:val="00EE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2B7"/>
    <w:pPr>
      <w:spacing w:before="160"/>
      <w:jc w:val="center"/>
    </w:pPr>
    <w:rPr>
      <w:i/>
      <w:iCs/>
      <w:color w:val="404040" w:themeColor="text1" w:themeTint="BF"/>
    </w:rPr>
  </w:style>
  <w:style w:type="character" w:customStyle="1" w:styleId="QuoteChar">
    <w:name w:val="Quote Char"/>
    <w:basedOn w:val="DefaultParagraphFont"/>
    <w:link w:val="Quote"/>
    <w:uiPriority w:val="29"/>
    <w:rsid w:val="00EE62B7"/>
    <w:rPr>
      <w:i/>
      <w:iCs/>
      <w:color w:val="404040" w:themeColor="text1" w:themeTint="BF"/>
    </w:rPr>
  </w:style>
  <w:style w:type="paragraph" w:styleId="ListParagraph">
    <w:name w:val="List Paragraph"/>
    <w:basedOn w:val="Normal"/>
    <w:uiPriority w:val="34"/>
    <w:qFormat/>
    <w:rsid w:val="00EE62B7"/>
    <w:pPr>
      <w:ind w:left="720"/>
      <w:contextualSpacing/>
    </w:pPr>
  </w:style>
  <w:style w:type="character" w:styleId="IntenseEmphasis">
    <w:name w:val="Intense Emphasis"/>
    <w:basedOn w:val="DefaultParagraphFont"/>
    <w:uiPriority w:val="21"/>
    <w:qFormat/>
    <w:rsid w:val="00EE62B7"/>
    <w:rPr>
      <w:i/>
      <w:iCs/>
      <w:color w:val="0F4761" w:themeColor="accent1" w:themeShade="BF"/>
    </w:rPr>
  </w:style>
  <w:style w:type="paragraph" w:styleId="IntenseQuote">
    <w:name w:val="Intense Quote"/>
    <w:basedOn w:val="Normal"/>
    <w:next w:val="Normal"/>
    <w:link w:val="IntenseQuoteChar"/>
    <w:uiPriority w:val="30"/>
    <w:qFormat/>
    <w:rsid w:val="00EE6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2B7"/>
    <w:rPr>
      <w:i/>
      <w:iCs/>
      <w:color w:val="0F4761" w:themeColor="accent1" w:themeShade="BF"/>
    </w:rPr>
  </w:style>
  <w:style w:type="character" w:styleId="IntenseReference">
    <w:name w:val="Intense Reference"/>
    <w:basedOn w:val="DefaultParagraphFont"/>
    <w:uiPriority w:val="32"/>
    <w:qFormat/>
    <w:rsid w:val="00EE62B7"/>
    <w:rPr>
      <w:b/>
      <w:bCs/>
      <w:smallCaps/>
      <w:color w:val="0F4761" w:themeColor="accent1" w:themeShade="BF"/>
      <w:spacing w:val="5"/>
    </w:rPr>
  </w:style>
  <w:style w:type="paragraph" w:styleId="NormalWeb">
    <w:name w:val="Normal (Web)"/>
    <w:basedOn w:val="Normal"/>
    <w:uiPriority w:val="99"/>
    <w:semiHidden/>
    <w:unhideWhenUsed/>
    <w:rsid w:val="00EE62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E62B7"/>
    <w:rPr>
      <w:rFonts w:ascii="Courier New" w:eastAsia="Times New Roman" w:hAnsi="Courier New" w:cs="Courier New"/>
      <w:sz w:val="20"/>
      <w:szCs w:val="20"/>
    </w:rPr>
  </w:style>
  <w:style w:type="character" w:customStyle="1" w:styleId="apple-converted-space">
    <w:name w:val="apple-converted-space"/>
    <w:basedOn w:val="DefaultParagraphFont"/>
    <w:rsid w:val="00EE62B7"/>
  </w:style>
  <w:style w:type="character" w:styleId="Strong">
    <w:name w:val="Strong"/>
    <w:basedOn w:val="DefaultParagraphFont"/>
    <w:uiPriority w:val="22"/>
    <w:qFormat/>
    <w:rsid w:val="00EE62B7"/>
    <w:rPr>
      <w:b/>
      <w:bCs/>
    </w:rPr>
  </w:style>
  <w:style w:type="character" w:styleId="Hyperlink">
    <w:name w:val="Hyperlink"/>
    <w:basedOn w:val="DefaultParagraphFont"/>
    <w:uiPriority w:val="99"/>
    <w:semiHidden/>
    <w:unhideWhenUsed/>
    <w:rsid w:val="000574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O'Sullivan</dc:creator>
  <cp:keywords/>
  <dc:description/>
  <cp:lastModifiedBy>Roland O'Sullivan</cp:lastModifiedBy>
  <cp:revision>8</cp:revision>
  <dcterms:created xsi:type="dcterms:W3CDTF">2026-09-26T17:03:00Z</dcterms:created>
  <dcterms:modified xsi:type="dcterms:W3CDTF">2026-09-26T17:22:00Z</dcterms:modified>
</cp:coreProperties>
</file>