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Московский государственный технический университет имени Н. Э. Баумана (МГТУ им. Н. Э. Баумана)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Преобразование модели семантических объектов в реляционную модель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Выполнил: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 xml:space="preserve">Поршенко Е.А.</w:t>
        <w:tab/>
        <w:tab/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ИУ9-51Б </w:t>
        <w:tab/>
        <w:t xml:space="preserve">      </w:t>
        <w:tab/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Вишняков И. Э.</w:t>
        <w:tab/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  <w:sectPr>
          <w:footerReference r:id="rId6" w:type="default"/>
          <w:pgSz w:h="16838" w:w="11906" w:orient="portrait"/>
          <w:pgMar w:bottom="851" w:top="1134" w:left="1134" w:right="1134" w:header="0" w:footer="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Москва, 2023 г.</w:t>
      </w:r>
    </w:p>
    <w:p w:rsidR="00000000" w:rsidDel="00000000" w:rsidP="00000000" w:rsidRDefault="00000000" w:rsidRPr="00000000" w14:paraId="00000022">
      <w:pPr>
        <w:pStyle w:val="Heading1"/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Преобразование семантической модели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9yt4nhlao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6m9yt4nhla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6m9yt4nhlao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Сопоставление результатов проектирования с использованием модели «сущность-связь» и модели семантических объектов</w:t>
            </w:r>
          </w:hyperlink>
          <w:hyperlink w:anchor="_6m9yt4nhla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C">
      <w:pPr>
        <w:ind w:left="720" w:firstLine="709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данной лабораторной работы: преобразование модели семантических объектов в реляционную модель. В соответствии с целью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поставлены следующие задачи: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Преобразовать модель семантических объектов, созданную 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лабораторной работе No2, в реляционную модель согласно процедуре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преобразования;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Сопоставить результаты проектирования с использованием модели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«сущность-связь» и модели семантических объектов;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Обосновать различия результатов, выявить и исправить ошибки</w:t>
      </w:r>
    </w:p>
    <w:p w:rsidR="00000000" w:rsidDel="00000000" w:rsidP="00000000" w:rsidRDefault="00000000" w:rsidRPr="00000000" w14:paraId="00000035">
      <w:pPr>
        <w:rPr>
          <w:u w:val="none"/>
        </w:rPr>
      </w:pPr>
      <w:r w:rsidDel="00000000" w:rsidR="00000000" w:rsidRPr="00000000">
        <w:rPr>
          <w:rtl w:val="0"/>
        </w:rPr>
        <w:t xml:space="preserve">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8">
      <w:pPr>
        <w:pStyle w:val="Heading2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2.1 Преобразование семантической модели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рисунке 1 представлена модель семантических объектов, составленная в лабораторной работе No2. На ее основе была построена реляционная модель, представленная на рисунке 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Рисунок 1. Модель семантических объектов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2. Реляционная модель</w:t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0"/>
        <w:jc w:val="center"/>
        <w:rPr/>
      </w:pPr>
      <w:bookmarkStart w:colFirst="0" w:colLast="0" w:name="_6m9yt4nhlaoq" w:id="4"/>
      <w:bookmarkEnd w:id="4"/>
      <w:r w:rsidDel="00000000" w:rsidR="00000000" w:rsidRPr="00000000">
        <w:rPr>
          <w:rtl w:val="0"/>
        </w:rPr>
        <w:t xml:space="preserve">2.2 Сопоставление результатов проектирования с использованием модели «сущность-связь» и модели семантических объектов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На рисунке 3 представлена реляционная модель, полученная в лабораторной работе №3. Модели отличаются наличием суррогатных ключей, которые присутствуют в реляционной модели из третьей лабораторной работы, но отсутствуют в модели, которая была получена в результате четвертой лабораторной работы. Также отсутствием отдельной сущности Status и опциональной связи “один-ко-многим” относительно сущности Task. Также сущность Priority имеет опциональную связь “один-к-одному”, а не “один-ко-многим” относительно Task. Это вызвано тем, что в семантической модели в сущности Task были созданы групповые атрибуты status и priority, т.е. сущность Task для них родительская. Поскольку значения статуса и приоритета могут назначаться многим сущностям Task, было бы корректно выделить их в отдельные объектные атрибуты с соответствующими связями. Изменённая семантическая модель представлена на рисунке 4. Реляционная модель, полученная из неё представлена на рисунке 5.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00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3. Реляционная модель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266248" cy="47324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248" cy="473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jc w:val="center"/>
        <w:rPr/>
      </w:pPr>
      <w:r w:rsidDel="00000000" w:rsidR="00000000" w:rsidRPr="00000000">
        <w:rPr>
          <w:rtl w:val="0"/>
        </w:rPr>
        <w:t xml:space="preserve">Рисунок 4. Изменённая семантическая модель</w:t>
      </w:r>
    </w:p>
    <w:p w:rsidR="00000000" w:rsidDel="00000000" w:rsidP="00000000" w:rsidRDefault="00000000" w:rsidRPr="00000000" w14:paraId="0000004A">
      <w:pPr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5. Изменённая реляционная модель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