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5999B" w14:textId="7795450A" w:rsidR="009304D5" w:rsidRDefault="009304D5" w:rsidP="009304D5">
      <w:pPr>
        <w:spacing w:after="0" w:line="240" w:lineRule="auto"/>
        <w:rPr>
          <w:rFonts w:ascii="Arial" w:eastAsia="Times New Roman" w:hAnsi="Arial" w:cs="Arial"/>
          <w:b/>
          <w:bCs/>
          <w:sz w:val="24"/>
          <w:szCs w:val="24"/>
        </w:rPr>
      </w:pPr>
      <w:r>
        <w:rPr>
          <w:rFonts w:ascii="Arial" w:eastAsia="Times New Roman" w:hAnsi="Arial" w:cs="Arial"/>
          <w:b/>
          <w:bCs/>
          <w:sz w:val="24"/>
          <w:szCs w:val="24"/>
        </w:rPr>
        <w:t>For how long theSARS-CoV2 is detectable by PCR tests? A meta-analysis</w:t>
      </w:r>
    </w:p>
    <w:p w14:paraId="378DE209" w14:textId="77777777" w:rsidR="009304D5" w:rsidRDefault="009304D5" w:rsidP="009304D5">
      <w:pPr>
        <w:spacing w:after="0" w:line="240" w:lineRule="auto"/>
        <w:rPr>
          <w:rFonts w:ascii="Arial" w:eastAsia="Times New Roman" w:hAnsi="Arial" w:cs="Arial"/>
          <w:b/>
          <w:bCs/>
          <w:sz w:val="24"/>
          <w:szCs w:val="24"/>
        </w:rPr>
      </w:pPr>
    </w:p>
    <w:p w14:paraId="31F4871F" w14:textId="65BACBBF"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b/>
          <w:bCs/>
          <w:sz w:val="24"/>
          <w:szCs w:val="24"/>
        </w:rPr>
        <w:t>Impetus for project:</w:t>
      </w:r>
      <w:r w:rsidRPr="009304D5">
        <w:rPr>
          <w:rFonts w:ascii="Arial" w:eastAsia="Times New Roman" w:hAnsi="Arial" w:cs="Arial"/>
          <w:sz w:val="24"/>
          <w:szCs w:val="24"/>
        </w:rPr>
        <w:t xml:space="preserve"> I</w:t>
      </w:r>
      <w:r>
        <w:rPr>
          <w:rFonts w:ascii="Arial" w:eastAsia="Times New Roman" w:hAnsi="Arial" w:cs="Arial"/>
          <w:sz w:val="24"/>
          <w:szCs w:val="24"/>
        </w:rPr>
        <w:t xml:space="preserve"> a</w:t>
      </w:r>
      <w:r w:rsidRPr="009304D5">
        <w:rPr>
          <w:rFonts w:ascii="Arial" w:eastAsia="Times New Roman" w:hAnsi="Arial" w:cs="Arial"/>
          <w:sz w:val="24"/>
          <w:szCs w:val="24"/>
        </w:rPr>
        <w:t xml:space="preserve">m interested in finding for how long the SARS-CoV-2 is detectable by PCR. Originally, I wanted to create a Kaplan-Meir type of graph with "days" on the x-axis, and "percentage of the detectable infections" in the y-axis. </w:t>
      </w:r>
      <w:proofErr w:type="gramStart"/>
      <w:r>
        <w:rPr>
          <w:rFonts w:ascii="Arial" w:eastAsia="Times New Roman" w:hAnsi="Arial" w:cs="Arial"/>
          <w:sz w:val="24"/>
          <w:szCs w:val="24"/>
        </w:rPr>
        <w:t>Similar to</w:t>
      </w:r>
      <w:proofErr w:type="gramEnd"/>
      <w:r>
        <w:rPr>
          <w:rFonts w:ascii="Arial" w:eastAsia="Times New Roman" w:hAnsi="Arial" w:cs="Arial"/>
          <w:sz w:val="24"/>
          <w:szCs w:val="24"/>
        </w:rPr>
        <w:t xml:space="preserve"> the following </w:t>
      </w:r>
      <w:r w:rsidRPr="009304D5">
        <w:rPr>
          <w:rFonts w:ascii="Arial" w:eastAsia="Times New Roman" w:hAnsi="Arial" w:cs="Arial"/>
          <w:sz w:val="24"/>
          <w:szCs w:val="24"/>
        </w:rPr>
        <w:t>picture:</w:t>
      </w:r>
    </w:p>
    <w:p w14:paraId="0CF0902C" w14:textId="7061BDAD" w:rsidR="009304D5" w:rsidRPr="009304D5" w:rsidRDefault="009304D5" w:rsidP="009304D5">
      <w:pPr>
        <w:spacing w:after="0" w:line="240" w:lineRule="auto"/>
        <w:rPr>
          <w:rFonts w:ascii="Arial" w:eastAsia="Times New Roman" w:hAnsi="Arial" w:cs="Arial"/>
          <w:sz w:val="24"/>
          <w:szCs w:val="24"/>
        </w:rPr>
      </w:pPr>
      <w:r w:rsidRPr="009304D5">
        <w:rPr>
          <w:rFonts w:ascii="Arial" w:hAnsi="Arial" w:cs="Arial"/>
          <w:noProof/>
        </w:rPr>
        <w:drawing>
          <wp:inline distT="0" distB="0" distL="0" distR="0" wp14:anchorId="21D99183" wp14:editId="050DFE9F">
            <wp:extent cx="4533900" cy="3467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5722" cy="3468664"/>
                    </a:xfrm>
                    <a:prstGeom prst="rect">
                      <a:avLst/>
                    </a:prstGeom>
                    <a:noFill/>
                    <a:ln>
                      <a:noFill/>
                    </a:ln>
                  </pic:spPr>
                </pic:pic>
              </a:graphicData>
            </a:graphic>
          </wp:inline>
        </w:drawing>
      </w:r>
    </w:p>
    <w:p w14:paraId="03D7AEA5" w14:textId="77777777" w:rsidR="009304D5" w:rsidRPr="009304D5" w:rsidRDefault="009304D5" w:rsidP="009304D5">
      <w:pPr>
        <w:spacing w:after="0" w:line="240" w:lineRule="auto"/>
        <w:rPr>
          <w:rFonts w:ascii="Arial" w:eastAsia="Times New Roman" w:hAnsi="Arial" w:cs="Arial"/>
          <w:sz w:val="24"/>
          <w:szCs w:val="24"/>
        </w:rPr>
      </w:pPr>
    </w:p>
    <w:p w14:paraId="0453AE70" w14:textId="7E4D02BD"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Turns out, there</w:t>
      </w:r>
      <w:r>
        <w:rPr>
          <w:rFonts w:ascii="Arial" w:eastAsia="Times New Roman" w:hAnsi="Arial" w:cs="Arial"/>
          <w:sz w:val="24"/>
          <w:szCs w:val="24"/>
        </w:rPr>
        <w:t xml:space="preserve"> i</w:t>
      </w:r>
      <w:r w:rsidRPr="009304D5">
        <w:rPr>
          <w:rFonts w:ascii="Arial" w:eastAsia="Times New Roman" w:hAnsi="Arial" w:cs="Arial"/>
          <w:sz w:val="24"/>
          <w:szCs w:val="24"/>
        </w:rPr>
        <w:t xml:space="preserve">s </w:t>
      </w:r>
      <w:proofErr w:type="gramStart"/>
      <w:r w:rsidRPr="009304D5">
        <w:rPr>
          <w:rFonts w:ascii="Arial" w:eastAsia="Times New Roman" w:hAnsi="Arial" w:cs="Arial"/>
          <w:sz w:val="24"/>
          <w:szCs w:val="24"/>
        </w:rPr>
        <w:t>really not</w:t>
      </w:r>
      <w:proofErr w:type="gramEnd"/>
      <w:r w:rsidRPr="009304D5">
        <w:rPr>
          <w:rFonts w:ascii="Arial" w:eastAsia="Times New Roman" w:hAnsi="Arial" w:cs="Arial"/>
          <w:sz w:val="24"/>
          <w:szCs w:val="24"/>
        </w:rPr>
        <w:t xml:space="preserve"> much information to make such a graph - at least that I could find. There are estimates from experts saying that after 8 days, only 10% would be detectable, and after 10 days, almost none will be. But that</w:t>
      </w:r>
      <w:r>
        <w:rPr>
          <w:rFonts w:ascii="Arial" w:eastAsia="Times New Roman" w:hAnsi="Arial" w:cs="Arial"/>
          <w:sz w:val="24"/>
          <w:szCs w:val="24"/>
        </w:rPr>
        <w:t xml:space="preserve"> i</w:t>
      </w:r>
      <w:r w:rsidRPr="009304D5">
        <w:rPr>
          <w:rFonts w:ascii="Arial" w:eastAsia="Times New Roman" w:hAnsi="Arial" w:cs="Arial"/>
          <w:sz w:val="24"/>
          <w:szCs w:val="24"/>
        </w:rPr>
        <w:t>s it. </w:t>
      </w:r>
    </w:p>
    <w:p w14:paraId="19579E89" w14:textId="77777777" w:rsidR="009304D5" w:rsidRPr="009304D5" w:rsidRDefault="009304D5" w:rsidP="009304D5">
      <w:pPr>
        <w:spacing w:after="0" w:line="240" w:lineRule="auto"/>
        <w:rPr>
          <w:rFonts w:ascii="Arial" w:eastAsia="Times New Roman" w:hAnsi="Arial" w:cs="Arial"/>
          <w:sz w:val="24"/>
          <w:szCs w:val="24"/>
        </w:rPr>
      </w:pPr>
    </w:p>
    <w:p w14:paraId="5169A8D0" w14:textId="66674D13"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What I did find was a pa</w:t>
      </w:r>
      <w:r w:rsidRPr="009304D5">
        <w:rPr>
          <w:rFonts w:ascii="Arial" w:eastAsia="Times New Roman" w:hAnsi="Arial" w:cs="Arial"/>
          <w:sz w:val="24"/>
          <w:szCs w:val="24"/>
        </w:rPr>
        <w:t>p</w:t>
      </w:r>
      <w:r w:rsidRPr="009304D5">
        <w:rPr>
          <w:rFonts w:ascii="Arial" w:eastAsia="Times New Roman" w:hAnsi="Arial" w:cs="Arial"/>
          <w:sz w:val="24"/>
          <w:szCs w:val="24"/>
        </w:rPr>
        <w:t xml:space="preserve">er from the Journal of Infectious Disease </w:t>
      </w:r>
      <w:r>
        <w:rPr>
          <w:rFonts w:ascii="Arial" w:eastAsia="Times New Roman" w:hAnsi="Arial" w:cs="Arial"/>
          <w:sz w:val="24"/>
          <w:szCs w:val="24"/>
        </w:rPr>
        <w:t>(Walsh, et al 2020</w:t>
      </w:r>
      <w:r>
        <w:rPr>
          <w:rFonts w:ascii="Arial" w:eastAsia="Times New Roman" w:hAnsi="Arial" w:cs="Arial"/>
          <w:sz w:val="24"/>
          <w:szCs w:val="24"/>
        </w:rPr>
        <w:fldChar w:fldCharType="begin"/>
      </w:r>
      <w:r>
        <w:rPr>
          <w:rFonts w:ascii="Arial" w:eastAsia="Times New Roman" w:hAnsi="Arial" w:cs="Arial"/>
          <w:sz w:val="24"/>
          <w:szCs w:val="24"/>
        </w:rPr>
        <w:instrText xml:space="preserve"> ADDIN ZOTERO_ITEM CSL_CITATION {"citationID":"pAy33u3b","properties":{"formattedCitation":"\\super 1\\nosupersub{}","plainCitation":"1","noteIndex":0},"citationItems":[{"id":5729,"uris":["http://zotero.org/users/1992989/items/H7Y92EQ9"],"uri":["http://zotero.org/users/1992989/items/H7Y92EQ9"],"itemData":{"id":5729,"type":"article-journal","abstract":"•\n              SARS-CoV-2 viral loads peak from upper respiratory tract samples around symptom onset.\n            \n            \n              •\n              Viral loads from sputum samples may be higher than upper respiratory tract samples.\n            \n            \n              •\n              Viral loads appear to be similar between asymptomatic and symptomatic patients.\n            \n            \n              •\n              The prolonged virus detection in stool samples has unclear clinical significance.\n            \n            \n              •\n              Patients may not be infectious for the entire duration of virus detection.","container-title":"The Journal of Infection","DOI":"10.1016/j.jinf.2020.06.067","ISSN":"0163-4453","issue":"3","journalAbbreviation":"J Infect","note":"PMID: 32615199\nPMCID: PMC7323671","page":"357-371","source":"PubMed Central","title":"SARS-CoV-2 detection, viral load and infectivity over the course of an infection","volume":"81","author":[{"family":"Walsh","given":"Kieran A."},{"family":"Jordan","given":"Karen"},{"family":"Clyne","given":"Barbara"},{"family":"Rohde","given":"Daniela"},{"family":"Drummond","given":"Linda"},{"family":"Byrne","given":"Paula"},{"family":"Ahern","given":"Susan"},{"family":"Carty","given":"Paul G."},{"family":"O'Brien","given":"Kirsty K."},{"family":"O'Murchu","given":"Eamon"},{"family":"O'Neill","given":"Michelle"},{"family":"Smith","given":"Susan M."},{"family":"Ryan","given":"Máirín"},{"family":"Harrington","given":"Patricia"}],"issued":{"date-parts":[["2020",9]]}}}],"schema":"https://github.com/citation-style-language/schema/raw/master/csl-citation.json"} </w:instrText>
      </w:r>
      <w:r>
        <w:rPr>
          <w:rFonts w:ascii="Arial" w:eastAsia="Times New Roman" w:hAnsi="Arial" w:cs="Arial"/>
          <w:sz w:val="24"/>
          <w:szCs w:val="24"/>
        </w:rPr>
        <w:fldChar w:fldCharType="separate"/>
      </w:r>
      <w:r w:rsidRPr="009304D5">
        <w:rPr>
          <w:rFonts w:ascii="Arial" w:hAnsi="Arial" w:cs="Arial"/>
          <w:sz w:val="24"/>
          <w:szCs w:val="24"/>
          <w:vertAlign w:val="superscript"/>
        </w:rPr>
        <w:t>1</w:t>
      </w:r>
      <w:r>
        <w:rPr>
          <w:rFonts w:ascii="Arial" w:eastAsia="Times New Roman" w:hAnsi="Arial" w:cs="Arial"/>
          <w:sz w:val="24"/>
          <w:szCs w:val="24"/>
        </w:rPr>
        <w:fldChar w:fldCharType="end"/>
      </w:r>
      <w:r>
        <w:rPr>
          <w:rFonts w:ascii="Arial" w:eastAsia="Times New Roman" w:hAnsi="Arial" w:cs="Arial"/>
          <w:sz w:val="24"/>
          <w:szCs w:val="24"/>
        </w:rPr>
        <w:t xml:space="preserve">) </w:t>
      </w:r>
      <w:r w:rsidRPr="009304D5">
        <w:rPr>
          <w:rFonts w:ascii="Arial" w:eastAsia="Times New Roman" w:hAnsi="Arial" w:cs="Arial"/>
          <w:sz w:val="24"/>
          <w:szCs w:val="24"/>
        </w:rPr>
        <w:t>where the authors conducted a literature review of detection-period for SARS-COV2 from Upper and Lower Respiratory Tract, and Stool. They reviewed over 100 papers but did not perform a meta-analysis.</w:t>
      </w:r>
    </w:p>
    <w:p w14:paraId="5D7E127F" w14:textId="77777777" w:rsidR="009304D5" w:rsidRPr="009304D5" w:rsidRDefault="009304D5" w:rsidP="009304D5">
      <w:pPr>
        <w:spacing w:after="0" w:line="240" w:lineRule="auto"/>
        <w:rPr>
          <w:rFonts w:ascii="Arial" w:eastAsia="Times New Roman" w:hAnsi="Arial" w:cs="Arial"/>
          <w:sz w:val="24"/>
          <w:szCs w:val="24"/>
        </w:rPr>
      </w:pPr>
    </w:p>
    <w:p w14:paraId="4898714C" w14:textId="285E7820"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 xml:space="preserve">Hence, the purpose of this project was to </w:t>
      </w:r>
      <w:r>
        <w:rPr>
          <w:rFonts w:ascii="Arial" w:eastAsia="Times New Roman" w:hAnsi="Arial" w:cs="Arial"/>
          <w:sz w:val="24"/>
          <w:szCs w:val="24"/>
        </w:rPr>
        <w:t>scrap</w:t>
      </w:r>
      <w:r w:rsidRPr="009304D5">
        <w:rPr>
          <w:rFonts w:ascii="Arial" w:eastAsia="Times New Roman" w:hAnsi="Arial" w:cs="Arial"/>
          <w:sz w:val="24"/>
          <w:szCs w:val="24"/>
        </w:rPr>
        <w:t xml:space="preserve"> the data from the paper and estimate a pooled estimate for the detection period of SARS-COV2. </w:t>
      </w:r>
    </w:p>
    <w:p w14:paraId="1B3F3E50" w14:textId="77777777" w:rsidR="009304D5" w:rsidRPr="009304D5" w:rsidRDefault="009304D5" w:rsidP="009304D5">
      <w:pPr>
        <w:spacing w:after="0" w:line="240" w:lineRule="auto"/>
        <w:rPr>
          <w:rFonts w:ascii="Arial" w:eastAsia="Times New Roman" w:hAnsi="Arial" w:cs="Arial"/>
          <w:sz w:val="24"/>
          <w:szCs w:val="24"/>
        </w:rPr>
      </w:pPr>
    </w:p>
    <w:p w14:paraId="64464466" w14:textId="77777777"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b/>
          <w:bCs/>
          <w:sz w:val="24"/>
          <w:szCs w:val="24"/>
        </w:rPr>
        <w:t>Methods:</w:t>
      </w:r>
    </w:p>
    <w:p w14:paraId="76BAE5E0" w14:textId="5C5F5753" w:rsid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 xml:space="preserve">Inclusion criteria for papers. </w:t>
      </w:r>
      <w:r>
        <w:rPr>
          <w:rFonts w:ascii="Arial" w:eastAsia="Times New Roman" w:hAnsi="Arial" w:cs="Arial"/>
          <w:sz w:val="24"/>
          <w:szCs w:val="24"/>
        </w:rPr>
        <w:t xml:space="preserve">1. </w:t>
      </w:r>
      <w:r w:rsidRPr="009304D5">
        <w:rPr>
          <w:rFonts w:ascii="Arial" w:eastAsia="Times New Roman" w:hAnsi="Arial" w:cs="Arial"/>
          <w:sz w:val="24"/>
          <w:szCs w:val="24"/>
        </w:rPr>
        <w:t xml:space="preserve">point-estimate (mean or median), </w:t>
      </w:r>
      <w:r>
        <w:rPr>
          <w:rFonts w:ascii="Arial" w:eastAsia="Times New Roman" w:hAnsi="Arial" w:cs="Arial"/>
          <w:sz w:val="24"/>
          <w:szCs w:val="24"/>
        </w:rPr>
        <w:t xml:space="preserve">2. </w:t>
      </w:r>
      <w:r w:rsidRPr="009304D5">
        <w:rPr>
          <w:rFonts w:ascii="Arial" w:eastAsia="Times New Roman" w:hAnsi="Arial" w:cs="Arial"/>
          <w:sz w:val="24"/>
          <w:szCs w:val="24"/>
        </w:rPr>
        <w:t>uncertainty assessment (95%CI, IQR, or Range). I</w:t>
      </w:r>
      <w:r>
        <w:rPr>
          <w:rFonts w:ascii="Arial" w:eastAsia="Times New Roman" w:hAnsi="Arial" w:cs="Arial"/>
          <w:sz w:val="24"/>
          <w:szCs w:val="24"/>
        </w:rPr>
        <w:t xml:space="preserve"> am</w:t>
      </w:r>
      <w:r w:rsidRPr="009304D5">
        <w:rPr>
          <w:rFonts w:ascii="Arial" w:eastAsia="Times New Roman" w:hAnsi="Arial" w:cs="Arial"/>
          <w:sz w:val="24"/>
          <w:szCs w:val="24"/>
        </w:rPr>
        <w:t xml:space="preserve"> only analyzing the data of the Upper Respiratory Tract studie</w:t>
      </w:r>
      <w:r>
        <w:rPr>
          <w:rFonts w:ascii="Arial" w:eastAsia="Times New Roman" w:hAnsi="Arial" w:cs="Arial"/>
          <w:sz w:val="24"/>
          <w:szCs w:val="24"/>
        </w:rPr>
        <w:t>s, but certainly a similar analysis is possible for Lower Respiratory Tact and Stool. Would be interesting to compare the results.</w:t>
      </w:r>
    </w:p>
    <w:p w14:paraId="69A568B3" w14:textId="77777777" w:rsidR="009304D5" w:rsidRPr="009304D5" w:rsidRDefault="009304D5" w:rsidP="009304D5">
      <w:pPr>
        <w:spacing w:after="0" w:line="240" w:lineRule="auto"/>
        <w:rPr>
          <w:rFonts w:ascii="Arial" w:eastAsia="Times New Roman" w:hAnsi="Arial" w:cs="Arial"/>
          <w:sz w:val="24"/>
          <w:szCs w:val="24"/>
        </w:rPr>
      </w:pPr>
    </w:p>
    <w:p w14:paraId="7B11C6FF" w14:textId="2614E306"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 xml:space="preserve">Analysis: </w:t>
      </w:r>
      <w:r>
        <w:rPr>
          <w:rFonts w:ascii="Arial" w:eastAsia="Times New Roman" w:hAnsi="Arial" w:cs="Arial"/>
          <w:sz w:val="24"/>
          <w:szCs w:val="24"/>
        </w:rPr>
        <w:t xml:space="preserve">Meta-analysis with </w:t>
      </w:r>
      <w:r w:rsidRPr="009304D5">
        <w:rPr>
          <w:rFonts w:ascii="Arial" w:eastAsia="Times New Roman" w:hAnsi="Arial" w:cs="Arial"/>
          <w:sz w:val="24"/>
          <w:szCs w:val="24"/>
        </w:rPr>
        <w:t xml:space="preserve">Inverse-variance method for polling </w:t>
      </w:r>
      <w:r>
        <w:rPr>
          <w:rFonts w:ascii="Arial" w:eastAsia="Times New Roman" w:hAnsi="Arial" w:cs="Arial"/>
          <w:sz w:val="24"/>
          <w:szCs w:val="24"/>
        </w:rPr>
        <w:t>fitted into a</w:t>
      </w:r>
      <w:r w:rsidRPr="009304D5">
        <w:rPr>
          <w:rFonts w:ascii="Arial" w:eastAsia="Times New Roman" w:hAnsi="Arial" w:cs="Arial"/>
          <w:sz w:val="24"/>
          <w:szCs w:val="24"/>
        </w:rPr>
        <w:t xml:space="preserve"> Random-Effects models. We decided for a RE because there</w:t>
      </w:r>
      <w:r>
        <w:rPr>
          <w:rFonts w:ascii="Arial" w:eastAsia="Times New Roman" w:hAnsi="Arial" w:cs="Arial"/>
          <w:sz w:val="24"/>
          <w:szCs w:val="24"/>
        </w:rPr>
        <w:t xml:space="preserve"> i</w:t>
      </w:r>
      <w:r w:rsidRPr="009304D5">
        <w:rPr>
          <w:rFonts w:ascii="Arial" w:eastAsia="Times New Roman" w:hAnsi="Arial" w:cs="Arial"/>
          <w:sz w:val="24"/>
          <w:szCs w:val="24"/>
        </w:rPr>
        <w:t xml:space="preserve">s really no reason to assume that </w:t>
      </w:r>
      <w:r w:rsidRPr="009304D5">
        <w:rPr>
          <w:rFonts w:ascii="Arial" w:eastAsia="Times New Roman" w:hAnsi="Arial" w:cs="Arial"/>
          <w:sz w:val="24"/>
          <w:szCs w:val="24"/>
        </w:rPr>
        <w:lastRenderedPageBreak/>
        <w:t>all results stem from the same underlying population. Papers' results arise from different countries and different age/gender groups. Everything was coded on R using the m</w:t>
      </w:r>
      <w:r w:rsidRPr="009304D5">
        <w:rPr>
          <w:rFonts w:ascii="Arial" w:eastAsia="Times New Roman" w:hAnsi="Arial" w:cs="Arial"/>
          <w:sz w:val="24"/>
          <w:szCs w:val="24"/>
        </w:rPr>
        <w:t>e</w:t>
      </w:r>
      <w:r w:rsidRPr="009304D5">
        <w:rPr>
          <w:rFonts w:ascii="Arial" w:eastAsia="Times New Roman" w:hAnsi="Arial" w:cs="Arial"/>
          <w:sz w:val="24"/>
          <w:szCs w:val="24"/>
        </w:rPr>
        <w:t>ta package</w:t>
      </w:r>
      <w:r>
        <w:rPr>
          <w:rFonts w:ascii="Arial" w:eastAsia="Times New Roman" w:hAnsi="Arial" w:cs="Arial"/>
          <w:sz w:val="24"/>
          <w:szCs w:val="24"/>
        </w:rPr>
        <w:t>.</w:t>
      </w:r>
      <w:r>
        <w:rPr>
          <w:rFonts w:ascii="Arial" w:eastAsia="Times New Roman" w:hAnsi="Arial" w:cs="Arial"/>
          <w:sz w:val="24"/>
          <w:szCs w:val="24"/>
        </w:rPr>
        <w:fldChar w:fldCharType="begin"/>
      </w:r>
      <w:r>
        <w:rPr>
          <w:rFonts w:ascii="Arial" w:eastAsia="Times New Roman" w:hAnsi="Arial" w:cs="Arial"/>
          <w:sz w:val="24"/>
          <w:szCs w:val="24"/>
        </w:rPr>
        <w:instrText xml:space="preserve"> ADDIN ZOTERO_ITEM CSL_CITATION {"citationID":"mm8laueX","properties":{"formattedCitation":"\\super 2\\nosupersub{}","plainCitation":"2","noteIndex":0},"citationItems":[{"id":5731,"uris":["http://zotero.org/users/1992989/items/CQBYEB7A"],"uri":["http://zotero.org/users/1992989/items/CQBYEB7A"],"itemData":{"id":5731,"type":"book","abstract":"This is a guide on how to conduct Meta-Analyses in R.","source":"bookdown.org","title":"Doing Meta-Analysis in R","URL":"https://bookdown.org/MathiasHarrer/Doing_Meta_Analysis_in_R/","author":[{"family":"Harrer","given":""},{"family":"Cuijpers","given":""},{"family":"Furukawa","given":""},{"family":"Ebert","given":""}],"accessed":{"date-parts":[["2020",9,17]]}}}],"schema":"https://github.com/citation-style-language/schema/raw/master/csl-citation.json"} </w:instrText>
      </w:r>
      <w:r>
        <w:rPr>
          <w:rFonts w:ascii="Arial" w:eastAsia="Times New Roman" w:hAnsi="Arial" w:cs="Arial"/>
          <w:sz w:val="24"/>
          <w:szCs w:val="24"/>
        </w:rPr>
        <w:fldChar w:fldCharType="separate"/>
      </w:r>
      <w:r w:rsidRPr="009304D5">
        <w:rPr>
          <w:rFonts w:ascii="Arial" w:hAnsi="Arial" w:cs="Arial"/>
          <w:sz w:val="24"/>
          <w:szCs w:val="24"/>
          <w:vertAlign w:val="superscript"/>
        </w:rPr>
        <w:t>2</w:t>
      </w:r>
      <w:r>
        <w:rPr>
          <w:rFonts w:ascii="Arial" w:eastAsia="Times New Roman" w:hAnsi="Arial" w:cs="Arial"/>
          <w:sz w:val="24"/>
          <w:szCs w:val="24"/>
        </w:rPr>
        <w:fldChar w:fldCharType="end"/>
      </w:r>
    </w:p>
    <w:p w14:paraId="740C11F4" w14:textId="77777777" w:rsidR="009304D5" w:rsidRPr="009304D5" w:rsidRDefault="009304D5" w:rsidP="009304D5">
      <w:pPr>
        <w:spacing w:after="0" w:line="240" w:lineRule="auto"/>
        <w:rPr>
          <w:rFonts w:ascii="Arial" w:eastAsia="Times New Roman" w:hAnsi="Arial" w:cs="Arial"/>
          <w:sz w:val="24"/>
          <w:szCs w:val="24"/>
        </w:rPr>
      </w:pPr>
    </w:p>
    <w:p w14:paraId="0E19BE72" w14:textId="77777777"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b/>
          <w:bCs/>
          <w:sz w:val="24"/>
          <w:szCs w:val="24"/>
        </w:rPr>
        <w:t>Results:</w:t>
      </w:r>
    </w:p>
    <w:p w14:paraId="4C0377D3" w14:textId="77777777" w:rsid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 xml:space="preserve">The pooled data showed an estimated duration of virus detection of 15.6 (95%CI 12.3, 18.9) days. </w:t>
      </w:r>
    </w:p>
    <w:p w14:paraId="1AA7DA94" w14:textId="72C22A82" w:rsidR="009304D5" w:rsidRDefault="009304D5" w:rsidP="009304D5">
      <w:pPr>
        <w:spacing w:after="0" w:line="240" w:lineRule="auto"/>
        <w:rPr>
          <w:rFonts w:ascii="Arial" w:eastAsia="Times New Roman" w:hAnsi="Arial" w:cs="Arial"/>
          <w:sz w:val="24"/>
          <w:szCs w:val="24"/>
        </w:rPr>
      </w:pPr>
      <w:r>
        <w:rPr>
          <w:noProof/>
        </w:rPr>
        <w:drawing>
          <wp:inline distT="0" distB="0" distL="0" distR="0" wp14:anchorId="18D5B333" wp14:editId="4208F771">
            <wp:extent cx="3676650" cy="413196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24038" t="8120" r="24199" b="5176"/>
                    <a:stretch/>
                  </pic:blipFill>
                  <pic:spPr bwMode="auto">
                    <a:xfrm>
                      <a:off x="0" y="0"/>
                      <a:ext cx="3680205" cy="4135958"/>
                    </a:xfrm>
                    <a:prstGeom prst="rect">
                      <a:avLst/>
                    </a:prstGeom>
                    <a:noFill/>
                    <a:ln>
                      <a:noFill/>
                    </a:ln>
                    <a:extLst>
                      <a:ext uri="{53640926-AAD7-44D8-BBD7-CCE9431645EC}">
                        <a14:shadowObscured xmlns:a14="http://schemas.microsoft.com/office/drawing/2010/main"/>
                      </a:ext>
                    </a:extLst>
                  </pic:spPr>
                </pic:pic>
              </a:graphicData>
            </a:graphic>
          </wp:inline>
        </w:drawing>
      </w:r>
    </w:p>
    <w:p w14:paraId="0CABD82F" w14:textId="0703879D"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This result  can be interpreted as</w:t>
      </w:r>
      <w:r>
        <w:rPr>
          <w:rFonts w:ascii="Arial" w:eastAsia="Times New Roman" w:hAnsi="Arial" w:cs="Arial"/>
          <w:sz w:val="24"/>
          <w:szCs w:val="24"/>
        </w:rPr>
        <w:t xml:space="preserve"> follows</w:t>
      </w:r>
      <w:r w:rsidRPr="009304D5">
        <w:rPr>
          <w:rFonts w:ascii="Arial" w:eastAsia="Times New Roman" w:hAnsi="Arial" w:cs="Arial"/>
          <w:sz w:val="24"/>
          <w:szCs w:val="24"/>
        </w:rPr>
        <w:t>: the SARS-COV2 is detectable by PCR analysis of Upper Respiratory Tract samples for 15.6 days in average. This is consistent with other papers and expert opinion that the virus is undetectable after around 2 weeks of infection.</w:t>
      </w:r>
      <w:r>
        <w:rPr>
          <w:rFonts w:ascii="Arial" w:eastAsia="Times New Roman" w:hAnsi="Arial" w:cs="Arial"/>
          <w:sz w:val="24"/>
          <w:szCs w:val="24"/>
        </w:rPr>
        <w:fldChar w:fldCharType="begin"/>
      </w:r>
      <w:r>
        <w:rPr>
          <w:rFonts w:ascii="Arial" w:eastAsia="Times New Roman" w:hAnsi="Arial" w:cs="Arial"/>
          <w:sz w:val="24"/>
          <w:szCs w:val="24"/>
        </w:rPr>
        <w:instrText xml:space="preserve"> ADDIN ZOTERO_ITEM CSL_CITATION {"citationID":"LBoJtTWI","properties":{"formattedCitation":"\\super 3,4\\nosupersub{}","plainCitation":"3,4","noteIndex":0},"citationItems":[{"id":5740,"uris":["http://zotero.org/users/1992989/items/E2KSJTI2"],"uri":["http://zotero.org/users/1992989/items/E2KSJTI2"],"itemData":{"id":5740,"type":"article-journal","abstract":"Background\nCoronavirus disease 2019 (COVID-19) has become a public health emergency. The widely used reverse transcription PCR (RT-PCR) method has limitations for clinical diagnosis and treatment.\n\nMethods\nA total of 323 samples from 76 COVID-19 confirmed patients were analyzed by droplet digital PCR (ddPCR) and RT-PCR based two target genes (ORF1ab and N). Nasal swabs, throat swabs, sputum, blood, and urine were collected. Clinical and imaging data were obtained for clinical staging.\n\nResults\nIn 95 samples tested positive by both methods, the cycle threshold (Ct) of RT-PCR was highly correlated with the copy numbed of ddPCR (ORF1ab gene, R2 = 0.83; N gene, R2 = 0.87). 4 (4/161) negative and 41 (41/67) single-gene positive samples tested by RT-PCR were positive according to ddPCR with viral load ranging from 11.1 to 123.2 copies/test. Then the viral load of respiratory samples was compared and the average viral load in sputum (17429 ± 6920 copies/test) was found to be significantly higher than in throat swabs (2552 ± 1965 copies/test, p &lt; 0.001) and nasal swabs (651 ± 501 copies/test, p &lt; 0.001). Furthermore, the viral load in the early and progressive stages were significantly higher than that in the recovery stage (46800 ± 17272 vs 1252 ± 1027, p &lt; 0.001) analyzed by sputum samples.\n\nConclusions\nQuantitative monitoring of viral load in lower respiratory tract samples helps to evaluate disease progression, especially in cases of low viral load.","container-title":"Clinical Infectious Diseases: An Official Publication of the Infectious Diseases Society of America","DOI":"10.1093/cid/ciaa345","ISSN":"1058-4838","journalAbbreviation":"Clin Infect Dis","note":"PMID: 32221523\nPMCID: PMC7184442","source":"PubMed Central","title":"Quantitative Detection and Viral Load Analysis of SARS-CoV-2 in Infected Patients","URL":"https://www.ncbi.nlm.nih.gov/pmc/articles/PMC7184442/","author":[{"family":"Yu","given":"Fengting"},{"family":"Yan","given":"Liting"},{"family":"Wang","given":"Nan"},{"family":"Yang","given":"Siyuan"},{"family":"Wang","given":"Linghang"},{"family":"Tang","given":"Yunxia"},{"family":"Gao","given":"Guiju"},{"family":"Wang","given":"Sa"},{"family":"Ma","given":"Chengjie"},{"family":"Xie","given":"Ruming"},{"family":"Wang","given":"Fang"},{"family":"Tan","given":"Chianru"},{"family":"Zhu","given":"Lingxiang"},{"family":"Guo","given":"Yong"},{"family":"Zhang","given":"Fujie"}],"accessed":{"date-parts":[["2020",9,17]]},"issued":{"date-parts":[["2020",3,28]]}}},{"id":5743,"uris":["http://zotero.org/users/1992989/items/NLKZPEJD"],"uri":["http://zotero.org/users/1992989/items/NLKZPEJD"],"itemData":{"id":5743,"type":"article-journal","abstract":"&lt;p&gt;ABSTRACT OBJECTIVE To investigate the dynamics of viral RNA, IgM, and IgG and their relationships in patients with SARS-CoV-2 pneumonia over an 8-week period. DESIGN Retrospective, observational case series. SETTING Wenzhou Sixth Peoples Hospital PARTICIPANTS Thirty-three patients with laboratory confirmed SARS-CoV-2 pneumonia admitted to hospital. Data were collected from January 27 to April 10, 2020. MAIN OUTCOME MEASURES Throat swabs, sputum, stool, and blood samples were collected, and viral load was measured by reverse transcription PCR (RT-PCR). Specific IgM and IgG against spike protein (S), spike protein receptor binding domain (RBD), and nucleocapsid (N) were analyzed. RESULTS At the early stages of symptom onset, SARS-CoV-2 viral load is higher in throat swabs and sputum, but lower in stool. The median (IQR) time of undetectable viral RNA in throat swab, sputum, and stool was 18.5 (13.25-22) days, 22 (18.5-27.5) days, and 17 (11.5-32) days, respectively. In sputum, 17 patients (51.5%) had undetectable viral RNA within 22 days (short persistence), and 16 (48.5%) had persistent viral RNA more than 22 days (long persistence). Three patients (9.1%) had a detectable relapse of viral RNA in sputum within two weeks of their discharge from the hospital. One patient had persistent viral RNA for 59 days or longer. The median (IQR) seroconversion time of anti-S IgM, anti-RBD IgM, and anti-N IgM was 10.5 (7.75-15.5) days, 14 (9-24) days, and 10 (7-14) days, respectively. The median (IQR) seroconversion time of anti-S IgG, anti-RBD IgG, and anti-N IgG was 10 (7.25-16.5) days, 13 (9-17) days, and 10 (7-14) days, respectively. By week 8 after symptom onset, IgM were negative in many of the previously positive patients, and IgG levels remained less than 50% of the peak levels in more than 20% of the patients. In about 40% of the patients, anti-RBD IgG levels were 4-times higher in convalescence than in acute phase. SARS-CoV-2 RNA coexisted with antibodies for more than 50 days. Anti-RBD IgM and IgG levels, including anti-RBD IgM levels at presentation and peak time, were significantly higher in viral RNA short persistence patients than in long persistence patients. CONCLUSION This study adds important new information about the features of viral load and antibody dynamics of SARS-CoV-2. It is clear from these results that the viral RNA persists in sputum and stool specimens for a relatively long time in many patients. Anti-RBD may also serve as a potential protective antibody against SARS-CoV-2 infection, as viral persistence appears to be related to anti-RBD levels. Earlier treatment intervention also appears to be a factor in viral persistence.&lt;/p&gt;","container-title":"medRxiv","DOI":"10.1101/2020.04.22.20071258","language":"en","note":"publisher: Cold Spring Harbor Laboratory Press","page":"2020.04.22.20071258","source":"www.medrxiv.org","title":"Long period dynamics of viral load and antibodies for SARS-CoV-2 infection: an observational cohort study","title-short":"Long period dynamics of viral load and antibodies for SARS-CoV-2 infection","author":[{"family":"Huang","given":"Jianping"},{"family":"Mao","given":"Tingting"},{"family":"Li","given":"Shufei"},{"family":"Wu","given":"Lianpeng"},{"family":"Xu","given":"Xueqin"},{"family":"Li","given":"Huanzheng"},{"family":"Xu","given":"Chenyang"},{"family":"Su","given":"Feifei"},{"family":"Dai","given":"Jianyi"},{"family":"Shi","given":"Jichan"},{"family":"Cai","given":"Jing"},{"family":"Huang","given":"Chongquan"},{"family":"Lin","given":"Xuan"},{"family":"Chen","given":"Dong"},{"family":"Lin","given":"Xiaoling"},{"family":"Sun","given":"Baochang"},{"family":"Tang","given":"Shaohua"}],"issued":{"date-parts":[["2020",4,27]]}}}],"schema":"https://github.com/citation-style-language/schema/raw/master/csl-citation.json"} </w:instrText>
      </w:r>
      <w:r>
        <w:rPr>
          <w:rFonts w:ascii="Arial" w:eastAsia="Times New Roman" w:hAnsi="Arial" w:cs="Arial"/>
          <w:sz w:val="24"/>
          <w:szCs w:val="24"/>
        </w:rPr>
        <w:fldChar w:fldCharType="separate"/>
      </w:r>
      <w:r w:rsidRPr="009304D5">
        <w:rPr>
          <w:rFonts w:ascii="Arial" w:hAnsi="Arial" w:cs="Arial"/>
          <w:sz w:val="24"/>
          <w:szCs w:val="24"/>
          <w:vertAlign w:val="superscript"/>
        </w:rPr>
        <w:t>3,4</w:t>
      </w:r>
      <w:r>
        <w:rPr>
          <w:rFonts w:ascii="Arial" w:eastAsia="Times New Roman" w:hAnsi="Arial" w:cs="Arial"/>
          <w:sz w:val="24"/>
          <w:szCs w:val="24"/>
        </w:rPr>
        <w:fldChar w:fldCharType="end"/>
      </w:r>
    </w:p>
    <w:p w14:paraId="37914277" w14:textId="77777777" w:rsidR="009304D5" w:rsidRPr="009304D5" w:rsidRDefault="009304D5" w:rsidP="009304D5">
      <w:pPr>
        <w:spacing w:after="0" w:line="240" w:lineRule="auto"/>
        <w:rPr>
          <w:rFonts w:ascii="Arial" w:eastAsia="Times New Roman" w:hAnsi="Arial" w:cs="Arial"/>
          <w:sz w:val="24"/>
          <w:szCs w:val="24"/>
        </w:rPr>
      </w:pPr>
    </w:p>
    <w:p w14:paraId="5AAF9C55" w14:textId="77777777" w:rsidR="009304D5" w:rsidRP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b/>
          <w:bCs/>
          <w:sz w:val="24"/>
          <w:szCs w:val="24"/>
        </w:rPr>
        <w:t>Discussion:</w:t>
      </w:r>
    </w:p>
    <w:p w14:paraId="1E0D3F33" w14:textId="0083EEE0" w:rsidR="009304D5" w:rsidRDefault="009304D5" w:rsidP="009304D5">
      <w:pPr>
        <w:spacing w:after="0" w:line="240" w:lineRule="auto"/>
        <w:rPr>
          <w:rFonts w:ascii="Arial" w:eastAsia="Times New Roman" w:hAnsi="Arial" w:cs="Arial"/>
          <w:sz w:val="24"/>
          <w:szCs w:val="24"/>
        </w:rPr>
      </w:pPr>
      <w:r w:rsidRPr="009304D5">
        <w:rPr>
          <w:rFonts w:ascii="Arial" w:eastAsia="Times New Roman" w:hAnsi="Arial" w:cs="Arial"/>
          <w:sz w:val="24"/>
          <w:szCs w:val="24"/>
        </w:rPr>
        <w:t>I have concerns about the methodology where your contribution would be great! First, all papers where a median was reported were converted to mean and Standard deviation using the Wang, et al B</w:t>
      </w:r>
      <w:r w:rsidRPr="009304D5">
        <w:rPr>
          <w:rFonts w:ascii="Arial" w:eastAsia="Times New Roman" w:hAnsi="Arial" w:cs="Arial"/>
          <w:sz w:val="24"/>
          <w:szCs w:val="24"/>
        </w:rPr>
        <w:t>M</w:t>
      </w:r>
      <w:r w:rsidRPr="009304D5">
        <w:rPr>
          <w:rFonts w:ascii="Arial" w:eastAsia="Times New Roman" w:hAnsi="Arial" w:cs="Arial"/>
          <w:sz w:val="24"/>
          <w:szCs w:val="24"/>
        </w:rPr>
        <w:t>C 2014 approximation.</w:t>
      </w:r>
      <w:r>
        <w:rPr>
          <w:rFonts w:ascii="Arial" w:eastAsia="Times New Roman" w:hAnsi="Arial" w:cs="Arial"/>
          <w:sz w:val="24"/>
          <w:szCs w:val="24"/>
        </w:rPr>
        <w:fldChar w:fldCharType="begin"/>
      </w:r>
      <w:r>
        <w:rPr>
          <w:rFonts w:ascii="Arial" w:eastAsia="Times New Roman" w:hAnsi="Arial" w:cs="Arial"/>
          <w:sz w:val="24"/>
          <w:szCs w:val="24"/>
        </w:rPr>
        <w:instrText xml:space="preserve"> ADDIN ZOTERO_ITEM CSL_CITATION {"citationID":"I7hyqg7W","properties":{"formattedCitation":"\\super 5\\nosupersub{}","plainCitation":"5","noteIndex":0},"citationItems":[{"id":5733,"uris":["http://zotero.org/users/1992989/items/KN4BDZ9U"],"uri":["http://zotero.org/users/1992989/items/KN4BDZ9U"],"itemData":{"id":5733,"type":"article-journal","abstract":"In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 </w:instrText>
      </w:r>
      <w:r>
        <w:rPr>
          <w:rFonts w:ascii="Arial" w:eastAsia="Times New Roman" w:hAnsi="Arial" w:cs="Arial"/>
          <w:sz w:val="24"/>
          <w:szCs w:val="24"/>
        </w:rPr>
        <w:fldChar w:fldCharType="separate"/>
      </w:r>
      <w:r w:rsidRPr="009304D5">
        <w:rPr>
          <w:rFonts w:ascii="Arial" w:hAnsi="Arial" w:cs="Arial"/>
          <w:sz w:val="24"/>
          <w:szCs w:val="24"/>
          <w:vertAlign w:val="superscript"/>
        </w:rPr>
        <w:t>5</w:t>
      </w:r>
      <w:r>
        <w:rPr>
          <w:rFonts w:ascii="Arial" w:eastAsia="Times New Roman" w:hAnsi="Arial" w:cs="Arial"/>
          <w:sz w:val="24"/>
          <w:szCs w:val="24"/>
        </w:rPr>
        <w:fldChar w:fldCharType="end"/>
      </w:r>
      <w:r w:rsidRPr="009304D5">
        <w:rPr>
          <w:rFonts w:ascii="Arial" w:eastAsia="Times New Roman" w:hAnsi="Arial" w:cs="Arial"/>
          <w:sz w:val="24"/>
          <w:szCs w:val="24"/>
        </w:rPr>
        <w:t xml:space="preserve"> This approximation makes assumptions about the underlying distribution for the median that might bias the estimated mean. Second, we used </w:t>
      </w:r>
      <w:proofErr w:type="gramStart"/>
      <w:r w:rsidRPr="009304D5">
        <w:rPr>
          <w:rFonts w:ascii="Arial" w:eastAsia="Times New Roman" w:hAnsi="Arial" w:cs="Arial"/>
          <w:sz w:val="24"/>
          <w:szCs w:val="24"/>
        </w:rPr>
        <w:t>means instead</w:t>
      </w:r>
      <w:proofErr w:type="gramEnd"/>
      <w:r w:rsidRPr="009304D5">
        <w:rPr>
          <w:rFonts w:ascii="Arial" w:eastAsia="Times New Roman" w:hAnsi="Arial" w:cs="Arial"/>
          <w:sz w:val="24"/>
          <w:szCs w:val="24"/>
        </w:rPr>
        <w:t xml:space="preserve"> of medians for the meta-analysis because the methods are better established for the former. However, there's evidence (see McGrath, </w:t>
      </w:r>
      <w:proofErr w:type="spellStart"/>
      <w:r w:rsidRPr="009304D5">
        <w:rPr>
          <w:rFonts w:ascii="Arial" w:eastAsia="Times New Roman" w:hAnsi="Arial" w:cs="Arial"/>
          <w:sz w:val="24"/>
          <w:szCs w:val="24"/>
        </w:rPr>
        <w:t>B</w:t>
      </w:r>
      <w:r w:rsidRPr="009304D5">
        <w:rPr>
          <w:rFonts w:ascii="Arial" w:eastAsia="Times New Roman" w:hAnsi="Arial" w:cs="Arial"/>
          <w:sz w:val="24"/>
          <w:szCs w:val="24"/>
        </w:rPr>
        <w:t>iom</w:t>
      </w:r>
      <w:proofErr w:type="spellEnd"/>
      <w:r w:rsidRPr="009304D5">
        <w:rPr>
          <w:rFonts w:ascii="Arial" w:eastAsia="Times New Roman" w:hAnsi="Arial" w:cs="Arial"/>
          <w:sz w:val="24"/>
          <w:szCs w:val="24"/>
        </w:rPr>
        <w:t xml:space="preserve"> J. 2020</w:t>
      </w:r>
      <w:r>
        <w:rPr>
          <w:rFonts w:ascii="Arial" w:eastAsia="Times New Roman" w:hAnsi="Arial" w:cs="Arial"/>
          <w:sz w:val="24"/>
          <w:szCs w:val="24"/>
        </w:rPr>
        <w:fldChar w:fldCharType="begin"/>
      </w:r>
      <w:r>
        <w:rPr>
          <w:rFonts w:ascii="Arial" w:eastAsia="Times New Roman" w:hAnsi="Arial" w:cs="Arial"/>
          <w:sz w:val="24"/>
          <w:szCs w:val="24"/>
        </w:rPr>
        <w:instrText xml:space="preserve"> ADDIN ZOTERO_ITEM CSL_CITATION {"citationID":"7Eub47W1","properties":{"formattedCitation":"\\super 6\\nosupersub{}","plainCitation":"6","noteIndex":0},"citationItems":[{"id":5734,"uris":["http://zotero.org/users/1992989/items/9B8QRYJH"],"uri":["http://zotero.org/users/1992989/items/9B8QRYJH"],"itemData":{"id":5734,"type":"article-journal","abstract":"We consider the problem of meta-analyzing two-group studies that report the median of the outcome. Often, these studies are excluded from meta-analysis because there are no well-established statistical methods to pool the difference of medians. To include these studies in meta-analysis, several authors have recently proposed methods to estimate the sample mean and standard deviation from the median, sample size, and several commonly reported measures of spread. Researchers frequently apply these methods to estimate the difference of means and its variance for each primary study and pool the difference of means using inverse variance weighting. In this work, we develop several methods to directly meta-analyze the difference of medians. We conduct a simulation study evaluating the performance of the proposed median-based methods and the competing transformation-based methods. The simulation results show that the median-based methods outperform the transformation-based methods when meta-analyzing studies that report the median of the outcome, especially when the outcome is skewed. Moreover, we illustrate the various methods on a real-life data set.","container-title":"Biometrical Journal. Biometrische Zeitschrift","DOI":"10.1002/bimj.201900036","ISSN":"1521-4036","issue":"1","journalAbbreviation":"Biom J","language":"eng","note":"PMID: 31553488","page":"69-98","source":"PubMed","title":"Meta-analysis of the difference of medians","volume":"62","author":[{"family":"McGrath","given":"Sean"},{"family":"Sohn","given":"Hojoon"},{"family":"Steele","given":"Russell"},{"family":"Benedetti","given":"Andrea"}],"issued":{"date-parts":[["2020"]]}}}],"schema":"https://github.com/citation-style-language/schema/raw/master/csl-citation.json"} </w:instrText>
      </w:r>
      <w:r>
        <w:rPr>
          <w:rFonts w:ascii="Arial" w:eastAsia="Times New Roman" w:hAnsi="Arial" w:cs="Arial"/>
          <w:sz w:val="24"/>
          <w:szCs w:val="24"/>
        </w:rPr>
        <w:fldChar w:fldCharType="separate"/>
      </w:r>
      <w:r w:rsidRPr="009304D5">
        <w:rPr>
          <w:rFonts w:ascii="Arial" w:hAnsi="Arial" w:cs="Arial"/>
          <w:sz w:val="24"/>
          <w:szCs w:val="24"/>
          <w:vertAlign w:val="superscript"/>
        </w:rPr>
        <w:t>6</w:t>
      </w:r>
      <w:r>
        <w:rPr>
          <w:rFonts w:ascii="Arial" w:eastAsia="Times New Roman" w:hAnsi="Arial" w:cs="Arial"/>
          <w:sz w:val="24"/>
          <w:szCs w:val="24"/>
        </w:rPr>
        <w:fldChar w:fldCharType="end"/>
      </w:r>
      <w:r w:rsidRPr="009304D5">
        <w:rPr>
          <w:rFonts w:ascii="Arial" w:eastAsia="Times New Roman" w:hAnsi="Arial" w:cs="Arial"/>
          <w:sz w:val="24"/>
          <w:szCs w:val="24"/>
        </w:rPr>
        <w:t>) that median-based estimations out-perform transformation-based ones. The problem is that out of the 32 studies included in this analysis 9 estimated mean, so a transformation would be needed in any case. Finally, I</w:t>
      </w:r>
      <w:r>
        <w:rPr>
          <w:rFonts w:ascii="Arial" w:eastAsia="Times New Roman" w:hAnsi="Arial" w:cs="Arial"/>
          <w:sz w:val="24"/>
          <w:szCs w:val="24"/>
        </w:rPr>
        <w:t xml:space="preserve"> am</w:t>
      </w:r>
      <w:r w:rsidRPr="009304D5">
        <w:rPr>
          <w:rFonts w:ascii="Arial" w:eastAsia="Times New Roman" w:hAnsi="Arial" w:cs="Arial"/>
          <w:sz w:val="24"/>
          <w:szCs w:val="24"/>
        </w:rPr>
        <w:t xml:space="preserve"> using a method for pooling data from single mean studies, which seems to be the </w:t>
      </w:r>
      <w:r w:rsidRPr="009304D5">
        <w:rPr>
          <w:rFonts w:ascii="Arial" w:eastAsia="Times New Roman" w:hAnsi="Arial" w:cs="Arial"/>
          <w:sz w:val="24"/>
          <w:szCs w:val="24"/>
        </w:rPr>
        <w:lastRenderedPageBreak/>
        <w:t>best match considering the data I have. However, I</w:t>
      </w:r>
      <w:r w:rsidR="003F2296">
        <w:rPr>
          <w:rFonts w:ascii="Arial" w:eastAsia="Times New Roman" w:hAnsi="Arial" w:cs="Arial"/>
          <w:sz w:val="24"/>
          <w:szCs w:val="24"/>
        </w:rPr>
        <w:t xml:space="preserve"> a</w:t>
      </w:r>
      <w:r w:rsidRPr="009304D5">
        <w:rPr>
          <w:rFonts w:ascii="Arial" w:eastAsia="Times New Roman" w:hAnsi="Arial" w:cs="Arial"/>
          <w:sz w:val="24"/>
          <w:szCs w:val="24"/>
        </w:rPr>
        <w:t>m not fully aware of the limitations of this method and under which circumstance a method for Mean Differences (that assumes at least two arms of treatment) would be equivalent or even preferred, if any. </w:t>
      </w:r>
    </w:p>
    <w:p w14:paraId="606FB8D3" w14:textId="3912725C" w:rsidR="003F2296" w:rsidRDefault="003F2296" w:rsidP="009304D5">
      <w:pPr>
        <w:spacing w:after="0" w:line="240" w:lineRule="auto"/>
        <w:rPr>
          <w:rFonts w:ascii="Arial" w:eastAsia="Times New Roman" w:hAnsi="Arial" w:cs="Arial"/>
          <w:sz w:val="24"/>
          <w:szCs w:val="24"/>
        </w:rPr>
      </w:pPr>
    </w:p>
    <w:p w14:paraId="13BA1475" w14:textId="38D834EE" w:rsidR="003F2296" w:rsidRDefault="003F2296" w:rsidP="009304D5">
      <w:pPr>
        <w:spacing w:after="0" w:line="240" w:lineRule="auto"/>
        <w:rPr>
          <w:rFonts w:ascii="Arial" w:eastAsia="Times New Roman" w:hAnsi="Arial" w:cs="Arial"/>
          <w:b/>
          <w:bCs/>
          <w:sz w:val="24"/>
          <w:szCs w:val="24"/>
        </w:rPr>
      </w:pPr>
      <w:r w:rsidRPr="003F2296">
        <w:rPr>
          <w:rFonts w:ascii="Arial" w:eastAsia="Times New Roman" w:hAnsi="Arial" w:cs="Arial"/>
          <w:b/>
          <w:bCs/>
          <w:sz w:val="24"/>
          <w:szCs w:val="24"/>
        </w:rPr>
        <w:t>References</w:t>
      </w:r>
    </w:p>
    <w:p w14:paraId="59735D22" w14:textId="77777777" w:rsidR="003F2296" w:rsidRPr="009304D5" w:rsidRDefault="003F2296" w:rsidP="003F2296">
      <w:pPr>
        <w:spacing w:after="0" w:line="240" w:lineRule="auto"/>
        <w:rPr>
          <w:rFonts w:ascii="Arial" w:eastAsia="Times New Roman" w:hAnsi="Arial" w:cs="Arial"/>
          <w:b/>
          <w:bCs/>
          <w:sz w:val="24"/>
          <w:szCs w:val="24"/>
        </w:rPr>
      </w:pPr>
    </w:p>
    <w:p w14:paraId="48B71404" w14:textId="77777777" w:rsidR="003F2296" w:rsidRPr="003F2296" w:rsidRDefault="003F2296" w:rsidP="003F2296">
      <w:pPr>
        <w:pStyle w:val="Bibliography"/>
        <w:spacing w:line="240" w:lineRule="auto"/>
        <w:rPr>
          <w:rFonts w:ascii="Arial" w:hAnsi="Arial" w:cs="Arial"/>
          <w:sz w:val="24"/>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Pr="003F2296">
        <w:rPr>
          <w:rFonts w:ascii="Arial" w:hAnsi="Arial" w:cs="Arial"/>
          <w:sz w:val="24"/>
        </w:rPr>
        <w:t>1.</w:t>
      </w:r>
      <w:r w:rsidRPr="003F2296">
        <w:rPr>
          <w:rFonts w:ascii="Arial" w:hAnsi="Arial" w:cs="Arial"/>
          <w:sz w:val="24"/>
        </w:rPr>
        <w:tab/>
        <w:t xml:space="preserve">Walsh, K. A. </w:t>
      </w:r>
      <w:r w:rsidRPr="003F2296">
        <w:rPr>
          <w:rFonts w:ascii="Arial" w:hAnsi="Arial" w:cs="Arial"/>
          <w:i/>
          <w:iCs/>
          <w:sz w:val="24"/>
        </w:rPr>
        <w:t>et al.</w:t>
      </w:r>
      <w:r w:rsidRPr="003F2296">
        <w:rPr>
          <w:rFonts w:ascii="Arial" w:hAnsi="Arial" w:cs="Arial"/>
          <w:sz w:val="24"/>
        </w:rPr>
        <w:t xml:space="preserve"> SARS-CoV-2 detection, viral </w:t>
      </w:r>
      <w:proofErr w:type="gramStart"/>
      <w:r w:rsidRPr="003F2296">
        <w:rPr>
          <w:rFonts w:ascii="Arial" w:hAnsi="Arial" w:cs="Arial"/>
          <w:sz w:val="24"/>
        </w:rPr>
        <w:t>load</w:t>
      </w:r>
      <w:proofErr w:type="gramEnd"/>
      <w:r w:rsidRPr="003F2296">
        <w:rPr>
          <w:rFonts w:ascii="Arial" w:hAnsi="Arial" w:cs="Arial"/>
          <w:sz w:val="24"/>
        </w:rPr>
        <w:t xml:space="preserve"> and infectivity over the course of an infection. </w:t>
      </w:r>
      <w:r w:rsidRPr="003F2296">
        <w:rPr>
          <w:rFonts w:ascii="Arial" w:hAnsi="Arial" w:cs="Arial"/>
          <w:i/>
          <w:iCs/>
          <w:sz w:val="24"/>
        </w:rPr>
        <w:t>J. Infect.</w:t>
      </w:r>
      <w:r w:rsidRPr="003F2296">
        <w:rPr>
          <w:rFonts w:ascii="Arial" w:hAnsi="Arial" w:cs="Arial"/>
          <w:sz w:val="24"/>
        </w:rPr>
        <w:t xml:space="preserve"> </w:t>
      </w:r>
      <w:r w:rsidRPr="003F2296">
        <w:rPr>
          <w:rFonts w:ascii="Arial" w:hAnsi="Arial" w:cs="Arial"/>
          <w:b/>
          <w:bCs/>
          <w:sz w:val="24"/>
        </w:rPr>
        <w:t>81</w:t>
      </w:r>
      <w:r w:rsidRPr="003F2296">
        <w:rPr>
          <w:rFonts w:ascii="Arial" w:hAnsi="Arial" w:cs="Arial"/>
          <w:sz w:val="24"/>
        </w:rPr>
        <w:t>, 357–371 (2020).</w:t>
      </w:r>
    </w:p>
    <w:p w14:paraId="3287AF47" w14:textId="77777777" w:rsidR="003F2296" w:rsidRPr="003F2296" w:rsidRDefault="003F2296" w:rsidP="003F2296">
      <w:pPr>
        <w:pStyle w:val="Bibliography"/>
        <w:spacing w:line="240" w:lineRule="auto"/>
        <w:rPr>
          <w:rFonts w:ascii="Arial" w:hAnsi="Arial" w:cs="Arial"/>
          <w:sz w:val="24"/>
        </w:rPr>
      </w:pPr>
      <w:r w:rsidRPr="003F2296">
        <w:rPr>
          <w:rFonts w:ascii="Arial" w:hAnsi="Arial" w:cs="Arial"/>
          <w:sz w:val="24"/>
        </w:rPr>
        <w:t>2.</w:t>
      </w:r>
      <w:r w:rsidRPr="003F2296">
        <w:rPr>
          <w:rFonts w:ascii="Arial" w:hAnsi="Arial" w:cs="Arial"/>
          <w:sz w:val="24"/>
        </w:rPr>
        <w:tab/>
      </w:r>
      <w:proofErr w:type="spellStart"/>
      <w:r w:rsidRPr="003F2296">
        <w:rPr>
          <w:rFonts w:ascii="Arial" w:hAnsi="Arial" w:cs="Arial"/>
          <w:sz w:val="24"/>
        </w:rPr>
        <w:t>Harrer</w:t>
      </w:r>
      <w:proofErr w:type="spellEnd"/>
      <w:r w:rsidRPr="003F2296">
        <w:rPr>
          <w:rFonts w:ascii="Arial" w:hAnsi="Arial" w:cs="Arial"/>
          <w:sz w:val="24"/>
        </w:rPr>
        <w:t xml:space="preserve">, </w:t>
      </w:r>
      <w:proofErr w:type="spellStart"/>
      <w:r w:rsidRPr="003F2296">
        <w:rPr>
          <w:rFonts w:ascii="Arial" w:hAnsi="Arial" w:cs="Arial"/>
          <w:sz w:val="24"/>
        </w:rPr>
        <w:t>Cuijpers</w:t>
      </w:r>
      <w:proofErr w:type="spellEnd"/>
      <w:r w:rsidRPr="003F2296">
        <w:rPr>
          <w:rFonts w:ascii="Arial" w:hAnsi="Arial" w:cs="Arial"/>
          <w:sz w:val="24"/>
        </w:rPr>
        <w:t xml:space="preserve">, Furukawa &amp; Ebert. </w:t>
      </w:r>
      <w:r w:rsidRPr="003F2296">
        <w:rPr>
          <w:rFonts w:ascii="Arial" w:hAnsi="Arial" w:cs="Arial"/>
          <w:i/>
          <w:iCs/>
          <w:sz w:val="24"/>
        </w:rPr>
        <w:t>Doing Meta-Analysis in R</w:t>
      </w:r>
      <w:r w:rsidRPr="003F2296">
        <w:rPr>
          <w:rFonts w:ascii="Arial" w:hAnsi="Arial" w:cs="Arial"/>
          <w:sz w:val="24"/>
        </w:rPr>
        <w:t>.</w:t>
      </w:r>
    </w:p>
    <w:p w14:paraId="1A5BF7C2" w14:textId="77777777" w:rsidR="003F2296" w:rsidRPr="003F2296" w:rsidRDefault="003F2296" w:rsidP="003F2296">
      <w:pPr>
        <w:pStyle w:val="Bibliography"/>
        <w:spacing w:line="240" w:lineRule="auto"/>
        <w:rPr>
          <w:rFonts w:ascii="Arial" w:hAnsi="Arial" w:cs="Arial"/>
          <w:sz w:val="24"/>
        </w:rPr>
      </w:pPr>
      <w:r w:rsidRPr="003F2296">
        <w:rPr>
          <w:rFonts w:ascii="Arial" w:hAnsi="Arial" w:cs="Arial"/>
          <w:sz w:val="24"/>
        </w:rPr>
        <w:t>3.</w:t>
      </w:r>
      <w:r w:rsidRPr="003F2296">
        <w:rPr>
          <w:rFonts w:ascii="Arial" w:hAnsi="Arial" w:cs="Arial"/>
          <w:sz w:val="24"/>
        </w:rPr>
        <w:tab/>
        <w:t xml:space="preserve">Yu, F. </w:t>
      </w:r>
      <w:r w:rsidRPr="003F2296">
        <w:rPr>
          <w:rFonts w:ascii="Arial" w:hAnsi="Arial" w:cs="Arial"/>
          <w:i/>
          <w:iCs/>
          <w:sz w:val="24"/>
        </w:rPr>
        <w:t>et al.</w:t>
      </w:r>
      <w:r w:rsidRPr="003F2296">
        <w:rPr>
          <w:rFonts w:ascii="Arial" w:hAnsi="Arial" w:cs="Arial"/>
          <w:sz w:val="24"/>
        </w:rPr>
        <w:t xml:space="preserve"> Quantitative Detection and Viral Load Analysis of SARS-CoV-2 in Infected Patients. </w:t>
      </w:r>
      <w:r w:rsidRPr="003F2296">
        <w:rPr>
          <w:rFonts w:ascii="Arial" w:hAnsi="Arial" w:cs="Arial"/>
          <w:i/>
          <w:iCs/>
          <w:sz w:val="24"/>
        </w:rPr>
        <w:t>Clin. Infect. Dis. Off. Publ. Infect. Dis. Soc. Am.</w:t>
      </w:r>
      <w:r w:rsidRPr="003F2296">
        <w:rPr>
          <w:rFonts w:ascii="Arial" w:hAnsi="Arial" w:cs="Arial"/>
          <w:sz w:val="24"/>
        </w:rPr>
        <w:t xml:space="preserve"> (2020) doi:10.1093/</w:t>
      </w:r>
      <w:proofErr w:type="spellStart"/>
      <w:r w:rsidRPr="003F2296">
        <w:rPr>
          <w:rFonts w:ascii="Arial" w:hAnsi="Arial" w:cs="Arial"/>
          <w:sz w:val="24"/>
        </w:rPr>
        <w:t>cid</w:t>
      </w:r>
      <w:proofErr w:type="spellEnd"/>
      <w:r w:rsidRPr="003F2296">
        <w:rPr>
          <w:rFonts w:ascii="Arial" w:hAnsi="Arial" w:cs="Arial"/>
          <w:sz w:val="24"/>
        </w:rPr>
        <w:t>/ciaa345.</w:t>
      </w:r>
    </w:p>
    <w:p w14:paraId="553C9375" w14:textId="77777777" w:rsidR="003F2296" w:rsidRPr="003F2296" w:rsidRDefault="003F2296" w:rsidP="003F2296">
      <w:pPr>
        <w:pStyle w:val="Bibliography"/>
        <w:spacing w:line="240" w:lineRule="auto"/>
        <w:rPr>
          <w:rFonts w:ascii="Arial" w:hAnsi="Arial" w:cs="Arial"/>
          <w:sz w:val="24"/>
        </w:rPr>
      </w:pPr>
      <w:r w:rsidRPr="003F2296">
        <w:rPr>
          <w:rFonts w:ascii="Arial" w:hAnsi="Arial" w:cs="Arial"/>
          <w:sz w:val="24"/>
        </w:rPr>
        <w:t>4.</w:t>
      </w:r>
      <w:r w:rsidRPr="003F2296">
        <w:rPr>
          <w:rFonts w:ascii="Arial" w:hAnsi="Arial" w:cs="Arial"/>
          <w:sz w:val="24"/>
        </w:rPr>
        <w:tab/>
        <w:t xml:space="preserve">Huang, J. </w:t>
      </w:r>
      <w:r w:rsidRPr="003F2296">
        <w:rPr>
          <w:rFonts w:ascii="Arial" w:hAnsi="Arial" w:cs="Arial"/>
          <w:i/>
          <w:iCs/>
          <w:sz w:val="24"/>
        </w:rPr>
        <w:t>et al.</w:t>
      </w:r>
      <w:r w:rsidRPr="003F2296">
        <w:rPr>
          <w:rFonts w:ascii="Arial" w:hAnsi="Arial" w:cs="Arial"/>
          <w:sz w:val="24"/>
        </w:rPr>
        <w:t xml:space="preserve"> Long period dynamics of viral load and antibodies for SARS-CoV-2 infection: an observational cohort study. </w:t>
      </w:r>
      <w:proofErr w:type="spellStart"/>
      <w:r w:rsidRPr="003F2296">
        <w:rPr>
          <w:rFonts w:ascii="Arial" w:hAnsi="Arial" w:cs="Arial"/>
          <w:i/>
          <w:iCs/>
          <w:sz w:val="24"/>
        </w:rPr>
        <w:t>medRxiv</w:t>
      </w:r>
      <w:proofErr w:type="spellEnd"/>
      <w:r w:rsidRPr="003F2296">
        <w:rPr>
          <w:rFonts w:ascii="Arial" w:hAnsi="Arial" w:cs="Arial"/>
          <w:sz w:val="24"/>
        </w:rPr>
        <w:t xml:space="preserve"> 2020.04.22.20071258 (2020) doi:10.1101/2020.04.22.20071258.</w:t>
      </w:r>
    </w:p>
    <w:p w14:paraId="0FF1E25F" w14:textId="77777777" w:rsidR="003F2296" w:rsidRPr="003F2296" w:rsidRDefault="003F2296" w:rsidP="003F2296">
      <w:pPr>
        <w:pStyle w:val="Bibliography"/>
        <w:spacing w:line="240" w:lineRule="auto"/>
        <w:rPr>
          <w:rFonts w:ascii="Arial" w:hAnsi="Arial" w:cs="Arial"/>
          <w:sz w:val="24"/>
        </w:rPr>
      </w:pPr>
      <w:r w:rsidRPr="003F2296">
        <w:rPr>
          <w:rFonts w:ascii="Arial" w:hAnsi="Arial" w:cs="Arial"/>
          <w:sz w:val="24"/>
        </w:rPr>
        <w:t>5.</w:t>
      </w:r>
      <w:r w:rsidRPr="003F2296">
        <w:rPr>
          <w:rFonts w:ascii="Arial" w:hAnsi="Arial" w:cs="Arial"/>
          <w:sz w:val="24"/>
        </w:rPr>
        <w:tab/>
        <w:t xml:space="preserve">Wan, X., Wang, W., Liu, J. &amp; Tong, T. Estimating the sample mean and standard deviation from the sample size, median, range and/or interquartile range. </w:t>
      </w:r>
      <w:r w:rsidRPr="003F2296">
        <w:rPr>
          <w:rFonts w:ascii="Arial" w:hAnsi="Arial" w:cs="Arial"/>
          <w:i/>
          <w:iCs/>
          <w:sz w:val="24"/>
        </w:rPr>
        <w:t xml:space="preserve">BMC Med. Res. </w:t>
      </w:r>
      <w:proofErr w:type="spellStart"/>
      <w:r w:rsidRPr="003F2296">
        <w:rPr>
          <w:rFonts w:ascii="Arial" w:hAnsi="Arial" w:cs="Arial"/>
          <w:i/>
          <w:iCs/>
          <w:sz w:val="24"/>
        </w:rPr>
        <w:t>Methodol</w:t>
      </w:r>
      <w:proofErr w:type="spellEnd"/>
      <w:r w:rsidRPr="003F2296">
        <w:rPr>
          <w:rFonts w:ascii="Arial" w:hAnsi="Arial" w:cs="Arial"/>
          <w:i/>
          <w:iCs/>
          <w:sz w:val="24"/>
        </w:rPr>
        <w:t>.</w:t>
      </w:r>
      <w:r w:rsidRPr="003F2296">
        <w:rPr>
          <w:rFonts w:ascii="Arial" w:hAnsi="Arial" w:cs="Arial"/>
          <w:sz w:val="24"/>
        </w:rPr>
        <w:t xml:space="preserve"> </w:t>
      </w:r>
      <w:r w:rsidRPr="003F2296">
        <w:rPr>
          <w:rFonts w:ascii="Arial" w:hAnsi="Arial" w:cs="Arial"/>
          <w:b/>
          <w:bCs/>
          <w:sz w:val="24"/>
        </w:rPr>
        <w:t>14</w:t>
      </w:r>
      <w:r w:rsidRPr="003F2296">
        <w:rPr>
          <w:rFonts w:ascii="Arial" w:hAnsi="Arial" w:cs="Arial"/>
          <w:sz w:val="24"/>
        </w:rPr>
        <w:t>, 135 (2014).</w:t>
      </w:r>
    </w:p>
    <w:p w14:paraId="4D861B72" w14:textId="77777777" w:rsidR="003F2296" w:rsidRPr="003F2296" w:rsidRDefault="003F2296" w:rsidP="003F2296">
      <w:pPr>
        <w:pStyle w:val="Bibliography"/>
        <w:spacing w:line="240" w:lineRule="auto"/>
        <w:rPr>
          <w:rFonts w:ascii="Arial" w:hAnsi="Arial" w:cs="Arial"/>
          <w:sz w:val="24"/>
        </w:rPr>
      </w:pPr>
      <w:r w:rsidRPr="003F2296">
        <w:rPr>
          <w:rFonts w:ascii="Arial" w:hAnsi="Arial" w:cs="Arial"/>
          <w:sz w:val="24"/>
        </w:rPr>
        <w:t>6.</w:t>
      </w:r>
      <w:r w:rsidRPr="003F2296">
        <w:rPr>
          <w:rFonts w:ascii="Arial" w:hAnsi="Arial" w:cs="Arial"/>
          <w:sz w:val="24"/>
        </w:rPr>
        <w:tab/>
        <w:t xml:space="preserve">McGrath, S., Sohn, H., Steele, R. &amp; Benedetti, A. Meta-analysis of the difference of medians. </w:t>
      </w:r>
      <w:proofErr w:type="spellStart"/>
      <w:r w:rsidRPr="003F2296">
        <w:rPr>
          <w:rFonts w:ascii="Arial" w:hAnsi="Arial" w:cs="Arial"/>
          <w:i/>
          <w:iCs/>
          <w:sz w:val="24"/>
        </w:rPr>
        <w:t>Biom</w:t>
      </w:r>
      <w:proofErr w:type="spellEnd"/>
      <w:r w:rsidRPr="003F2296">
        <w:rPr>
          <w:rFonts w:ascii="Arial" w:hAnsi="Arial" w:cs="Arial"/>
          <w:i/>
          <w:iCs/>
          <w:sz w:val="24"/>
        </w:rPr>
        <w:t xml:space="preserve">. J. </w:t>
      </w:r>
      <w:proofErr w:type="spellStart"/>
      <w:r w:rsidRPr="003F2296">
        <w:rPr>
          <w:rFonts w:ascii="Arial" w:hAnsi="Arial" w:cs="Arial"/>
          <w:i/>
          <w:iCs/>
          <w:sz w:val="24"/>
        </w:rPr>
        <w:t>Biom</w:t>
      </w:r>
      <w:proofErr w:type="spellEnd"/>
      <w:r w:rsidRPr="003F2296">
        <w:rPr>
          <w:rFonts w:ascii="Arial" w:hAnsi="Arial" w:cs="Arial"/>
          <w:i/>
          <w:iCs/>
          <w:sz w:val="24"/>
        </w:rPr>
        <w:t>. Z.</w:t>
      </w:r>
      <w:r w:rsidRPr="003F2296">
        <w:rPr>
          <w:rFonts w:ascii="Arial" w:hAnsi="Arial" w:cs="Arial"/>
          <w:sz w:val="24"/>
        </w:rPr>
        <w:t xml:space="preserve"> </w:t>
      </w:r>
      <w:r w:rsidRPr="003F2296">
        <w:rPr>
          <w:rFonts w:ascii="Arial" w:hAnsi="Arial" w:cs="Arial"/>
          <w:b/>
          <w:bCs/>
          <w:sz w:val="24"/>
        </w:rPr>
        <w:t>62</w:t>
      </w:r>
      <w:r w:rsidRPr="003F2296">
        <w:rPr>
          <w:rFonts w:ascii="Arial" w:hAnsi="Arial" w:cs="Arial"/>
          <w:sz w:val="24"/>
        </w:rPr>
        <w:t>, 69–98 (2020).</w:t>
      </w:r>
    </w:p>
    <w:p w14:paraId="24A048FB" w14:textId="7258C9D8" w:rsidR="007C4065" w:rsidRPr="003F2296" w:rsidRDefault="003F2296" w:rsidP="003F2296">
      <w:pPr>
        <w:spacing w:after="0" w:line="240" w:lineRule="auto"/>
        <w:rPr>
          <w:rFonts w:ascii="Arial" w:eastAsia="Times New Roman" w:hAnsi="Arial" w:cs="Arial"/>
          <w:sz w:val="24"/>
          <w:szCs w:val="24"/>
        </w:rPr>
      </w:pPr>
      <w:r>
        <w:rPr>
          <w:rFonts w:ascii="Arial" w:eastAsia="Times New Roman" w:hAnsi="Arial" w:cs="Arial"/>
          <w:sz w:val="24"/>
          <w:szCs w:val="24"/>
        </w:rPr>
        <w:fldChar w:fldCharType="end"/>
      </w:r>
    </w:p>
    <w:sectPr w:rsidR="007C4065" w:rsidRPr="003F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D5"/>
    <w:rsid w:val="003F2296"/>
    <w:rsid w:val="007C4065"/>
    <w:rsid w:val="0093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DC46"/>
  <w15:chartTrackingRefBased/>
  <w15:docId w15:val="{6F7DCA18-7251-49D3-B306-DE052F61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4D5"/>
    <w:rPr>
      <w:color w:val="0000FF"/>
      <w:u w:val="single"/>
    </w:rPr>
  </w:style>
  <w:style w:type="paragraph" w:styleId="Bibliography">
    <w:name w:val="Bibliography"/>
    <w:basedOn w:val="Normal"/>
    <w:next w:val="Normal"/>
    <w:uiPriority w:val="37"/>
    <w:unhideWhenUsed/>
    <w:rsid w:val="003F2296"/>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66072">
      <w:bodyDiv w:val="1"/>
      <w:marLeft w:val="0"/>
      <w:marRight w:val="0"/>
      <w:marTop w:val="0"/>
      <w:marBottom w:val="0"/>
      <w:divBdr>
        <w:top w:val="none" w:sz="0" w:space="0" w:color="auto"/>
        <w:left w:val="none" w:sz="0" w:space="0" w:color="auto"/>
        <w:bottom w:val="none" w:sz="0" w:space="0" w:color="auto"/>
        <w:right w:val="none" w:sz="0" w:space="0" w:color="auto"/>
      </w:divBdr>
      <w:divsChild>
        <w:div w:id="537670832">
          <w:marLeft w:val="0"/>
          <w:marRight w:val="0"/>
          <w:marTop w:val="0"/>
          <w:marBottom w:val="0"/>
          <w:divBdr>
            <w:top w:val="none" w:sz="0" w:space="0" w:color="auto"/>
            <w:left w:val="none" w:sz="0" w:space="0" w:color="auto"/>
            <w:bottom w:val="none" w:sz="0" w:space="0" w:color="auto"/>
            <w:right w:val="none" w:sz="0" w:space="0" w:color="auto"/>
          </w:divBdr>
        </w:div>
        <w:div w:id="1364132820">
          <w:marLeft w:val="0"/>
          <w:marRight w:val="0"/>
          <w:marTop w:val="0"/>
          <w:marBottom w:val="0"/>
          <w:divBdr>
            <w:top w:val="none" w:sz="0" w:space="0" w:color="auto"/>
            <w:left w:val="none" w:sz="0" w:space="0" w:color="auto"/>
            <w:bottom w:val="none" w:sz="0" w:space="0" w:color="auto"/>
            <w:right w:val="none" w:sz="0" w:space="0" w:color="auto"/>
          </w:divBdr>
        </w:div>
        <w:div w:id="1840076321">
          <w:marLeft w:val="0"/>
          <w:marRight w:val="0"/>
          <w:marTop w:val="0"/>
          <w:marBottom w:val="0"/>
          <w:divBdr>
            <w:top w:val="none" w:sz="0" w:space="0" w:color="auto"/>
            <w:left w:val="none" w:sz="0" w:space="0" w:color="auto"/>
            <w:bottom w:val="none" w:sz="0" w:space="0" w:color="auto"/>
            <w:right w:val="none" w:sz="0" w:space="0" w:color="auto"/>
          </w:divBdr>
        </w:div>
        <w:div w:id="1667979615">
          <w:marLeft w:val="0"/>
          <w:marRight w:val="0"/>
          <w:marTop w:val="0"/>
          <w:marBottom w:val="0"/>
          <w:divBdr>
            <w:top w:val="none" w:sz="0" w:space="0" w:color="auto"/>
            <w:left w:val="none" w:sz="0" w:space="0" w:color="auto"/>
            <w:bottom w:val="none" w:sz="0" w:space="0" w:color="auto"/>
            <w:right w:val="none" w:sz="0" w:space="0" w:color="auto"/>
          </w:divBdr>
        </w:div>
        <w:div w:id="1144279313">
          <w:marLeft w:val="0"/>
          <w:marRight w:val="0"/>
          <w:marTop w:val="0"/>
          <w:marBottom w:val="0"/>
          <w:divBdr>
            <w:top w:val="none" w:sz="0" w:space="0" w:color="auto"/>
            <w:left w:val="none" w:sz="0" w:space="0" w:color="auto"/>
            <w:bottom w:val="none" w:sz="0" w:space="0" w:color="auto"/>
            <w:right w:val="none" w:sz="0" w:space="0" w:color="auto"/>
          </w:divBdr>
        </w:div>
        <w:div w:id="280843930">
          <w:marLeft w:val="0"/>
          <w:marRight w:val="0"/>
          <w:marTop w:val="0"/>
          <w:marBottom w:val="0"/>
          <w:divBdr>
            <w:top w:val="none" w:sz="0" w:space="0" w:color="auto"/>
            <w:left w:val="none" w:sz="0" w:space="0" w:color="auto"/>
            <w:bottom w:val="none" w:sz="0" w:space="0" w:color="auto"/>
            <w:right w:val="none" w:sz="0" w:space="0" w:color="auto"/>
          </w:divBdr>
        </w:div>
        <w:div w:id="1865169340">
          <w:marLeft w:val="0"/>
          <w:marRight w:val="0"/>
          <w:marTop w:val="0"/>
          <w:marBottom w:val="0"/>
          <w:divBdr>
            <w:top w:val="none" w:sz="0" w:space="0" w:color="auto"/>
            <w:left w:val="none" w:sz="0" w:space="0" w:color="auto"/>
            <w:bottom w:val="none" w:sz="0" w:space="0" w:color="auto"/>
            <w:right w:val="none" w:sz="0" w:space="0" w:color="auto"/>
          </w:divBdr>
        </w:div>
        <w:div w:id="2026595781">
          <w:marLeft w:val="0"/>
          <w:marRight w:val="0"/>
          <w:marTop w:val="0"/>
          <w:marBottom w:val="0"/>
          <w:divBdr>
            <w:top w:val="none" w:sz="0" w:space="0" w:color="auto"/>
            <w:left w:val="none" w:sz="0" w:space="0" w:color="auto"/>
            <w:bottom w:val="none" w:sz="0" w:space="0" w:color="auto"/>
            <w:right w:val="none" w:sz="0" w:space="0" w:color="auto"/>
          </w:divBdr>
        </w:div>
        <w:div w:id="1739592086">
          <w:marLeft w:val="0"/>
          <w:marRight w:val="0"/>
          <w:marTop w:val="0"/>
          <w:marBottom w:val="0"/>
          <w:divBdr>
            <w:top w:val="none" w:sz="0" w:space="0" w:color="auto"/>
            <w:left w:val="none" w:sz="0" w:space="0" w:color="auto"/>
            <w:bottom w:val="none" w:sz="0" w:space="0" w:color="auto"/>
            <w:right w:val="none" w:sz="0" w:space="0" w:color="auto"/>
          </w:divBdr>
        </w:div>
        <w:div w:id="973409045">
          <w:marLeft w:val="0"/>
          <w:marRight w:val="0"/>
          <w:marTop w:val="0"/>
          <w:marBottom w:val="0"/>
          <w:divBdr>
            <w:top w:val="none" w:sz="0" w:space="0" w:color="auto"/>
            <w:left w:val="none" w:sz="0" w:space="0" w:color="auto"/>
            <w:bottom w:val="none" w:sz="0" w:space="0" w:color="auto"/>
            <w:right w:val="none" w:sz="0" w:space="0" w:color="auto"/>
          </w:divBdr>
        </w:div>
        <w:div w:id="505442331">
          <w:marLeft w:val="0"/>
          <w:marRight w:val="0"/>
          <w:marTop w:val="0"/>
          <w:marBottom w:val="0"/>
          <w:divBdr>
            <w:top w:val="none" w:sz="0" w:space="0" w:color="auto"/>
            <w:left w:val="none" w:sz="0" w:space="0" w:color="auto"/>
            <w:bottom w:val="none" w:sz="0" w:space="0" w:color="auto"/>
            <w:right w:val="none" w:sz="0" w:space="0" w:color="auto"/>
          </w:divBdr>
        </w:div>
        <w:div w:id="1984000521">
          <w:marLeft w:val="0"/>
          <w:marRight w:val="0"/>
          <w:marTop w:val="0"/>
          <w:marBottom w:val="0"/>
          <w:divBdr>
            <w:top w:val="none" w:sz="0" w:space="0" w:color="auto"/>
            <w:left w:val="none" w:sz="0" w:space="0" w:color="auto"/>
            <w:bottom w:val="none" w:sz="0" w:space="0" w:color="auto"/>
            <w:right w:val="none" w:sz="0" w:space="0" w:color="auto"/>
          </w:divBdr>
        </w:div>
        <w:div w:id="1818956490">
          <w:marLeft w:val="0"/>
          <w:marRight w:val="0"/>
          <w:marTop w:val="0"/>
          <w:marBottom w:val="0"/>
          <w:divBdr>
            <w:top w:val="none" w:sz="0" w:space="0" w:color="auto"/>
            <w:left w:val="none" w:sz="0" w:space="0" w:color="auto"/>
            <w:bottom w:val="none" w:sz="0" w:space="0" w:color="auto"/>
            <w:right w:val="none" w:sz="0" w:space="0" w:color="auto"/>
          </w:divBdr>
        </w:div>
        <w:div w:id="1436484883">
          <w:marLeft w:val="0"/>
          <w:marRight w:val="0"/>
          <w:marTop w:val="0"/>
          <w:marBottom w:val="0"/>
          <w:divBdr>
            <w:top w:val="none" w:sz="0" w:space="0" w:color="auto"/>
            <w:left w:val="none" w:sz="0" w:space="0" w:color="auto"/>
            <w:bottom w:val="none" w:sz="0" w:space="0" w:color="auto"/>
            <w:right w:val="none" w:sz="0" w:space="0" w:color="auto"/>
          </w:divBdr>
        </w:div>
        <w:div w:id="879828832">
          <w:marLeft w:val="0"/>
          <w:marRight w:val="0"/>
          <w:marTop w:val="0"/>
          <w:marBottom w:val="0"/>
          <w:divBdr>
            <w:top w:val="none" w:sz="0" w:space="0" w:color="auto"/>
            <w:left w:val="none" w:sz="0" w:space="0" w:color="auto"/>
            <w:bottom w:val="none" w:sz="0" w:space="0" w:color="auto"/>
            <w:right w:val="none" w:sz="0" w:space="0" w:color="auto"/>
          </w:divBdr>
        </w:div>
        <w:div w:id="1203906442">
          <w:marLeft w:val="0"/>
          <w:marRight w:val="0"/>
          <w:marTop w:val="0"/>
          <w:marBottom w:val="0"/>
          <w:divBdr>
            <w:top w:val="none" w:sz="0" w:space="0" w:color="auto"/>
            <w:left w:val="none" w:sz="0" w:space="0" w:color="auto"/>
            <w:bottom w:val="none" w:sz="0" w:space="0" w:color="auto"/>
            <w:right w:val="none" w:sz="0" w:space="0" w:color="auto"/>
          </w:divBdr>
        </w:div>
        <w:div w:id="1615793249">
          <w:marLeft w:val="0"/>
          <w:marRight w:val="0"/>
          <w:marTop w:val="0"/>
          <w:marBottom w:val="0"/>
          <w:divBdr>
            <w:top w:val="none" w:sz="0" w:space="0" w:color="auto"/>
            <w:left w:val="none" w:sz="0" w:space="0" w:color="auto"/>
            <w:bottom w:val="none" w:sz="0" w:space="0" w:color="auto"/>
            <w:right w:val="none" w:sz="0" w:space="0" w:color="auto"/>
          </w:divBdr>
        </w:div>
        <w:div w:id="1727102172">
          <w:marLeft w:val="0"/>
          <w:marRight w:val="0"/>
          <w:marTop w:val="0"/>
          <w:marBottom w:val="0"/>
          <w:divBdr>
            <w:top w:val="none" w:sz="0" w:space="0" w:color="auto"/>
            <w:left w:val="none" w:sz="0" w:space="0" w:color="auto"/>
            <w:bottom w:val="none" w:sz="0" w:space="0" w:color="auto"/>
            <w:right w:val="none" w:sz="0" w:space="0" w:color="auto"/>
          </w:divBdr>
        </w:div>
        <w:div w:id="780491452">
          <w:marLeft w:val="0"/>
          <w:marRight w:val="0"/>
          <w:marTop w:val="0"/>
          <w:marBottom w:val="0"/>
          <w:divBdr>
            <w:top w:val="none" w:sz="0" w:space="0" w:color="auto"/>
            <w:left w:val="none" w:sz="0" w:space="0" w:color="auto"/>
            <w:bottom w:val="none" w:sz="0" w:space="0" w:color="auto"/>
            <w:right w:val="none" w:sz="0" w:space="0" w:color="auto"/>
          </w:divBdr>
        </w:div>
        <w:div w:id="1984692280">
          <w:marLeft w:val="0"/>
          <w:marRight w:val="0"/>
          <w:marTop w:val="0"/>
          <w:marBottom w:val="0"/>
          <w:divBdr>
            <w:top w:val="none" w:sz="0" w:space="0" w:color="auto"/>
            <w:left w:val="none" w:sz="0" w:space="0" w:color="auto"/>
            <w:bottom w:val="none" w:sz="0" w:space="0" w:color="auto"/>
            <w:right w:val="none" w:sz="0" w:space="0" w:color="auto"/>
          </w:divBdr>
        </w:div>
        <w:div w:id="1584072636">
          <w:marLeft w:val="0"/>
          <w:marRight w:val="0"/>
          <w:marTop w:val="0"/>
          <w:marBottom w:val="0"/>
          <w:divBdr>
            <w:top w:val="none" w:sz="0" w:space="0" w:color="auto"/>
            <w:left w:val="none" w:sz="0" w:space="0" w:color="auto"/>
            <w:bottom w:val="none" w:sz="0" w:space="0" w:color="auto"/>
            <w:right w:val="none" w:sz="0" w:space="0" w:color="auto"/>
          </w:divBdr>
        </w:div>
        <w:div w:id="1017538750">
          <w:marLeft w:val="0"/>
          <w:marRight w:val="0"/>
          <w:marTop w:val="0"/>
          <w:marBottom w:val="0"/>
          <w:divBdr>
            <w:top w:val="none" w:sz="0" w:space="0" w:color="auto"/>
            <w:left w:val="none" w:sz="0" w:space="0" w:color="auto"/>
            <w:bottom w:val="none" w:sz="0" w:space="0" w:color="auto"/>
            <w:right w:val="none" w:sz="0" w:space="0" w:color="auto"/>
          </w:divBdr>
        </w:div>
        <w:div w:id="1875926380">
          <w:marLeft w:val="0"/>
          <w:marRight w:val="0"/>
          <w:marTop w:val="0"/>
          <w:marBottom w:val="0"/>
          <w:divBdr>
            <w:top w:val="none" w:sz="0" w:space="0" w:color="auto"/>
            <w:left w:val="none" w:sz="0" w:space="0" w:color="auto"/>
            <w:bottom w:val="none" w:sz="0" w:space="0" w:color="auto"/>
            <w:right w:val="none" w:sz="0" w:space="0" w:color="auto"/>
          </w:divBdr>
        </w:div>
        <w:div w:id="55380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 Saldarriaga</dc:creator>
  <cp:keywords/>
  <dc:description/>
  <cp:lastModifiedBy>Enrique M Saldarriaga</cp:lastModifiedBy>
  <cp:revision>1</cp:revision>
  <dcterms:created xsi:type="dcterms:W3CDTF">2020-09-17T23:59:00Z</dcterms:created>
  <dcterms:modified xsi:type="dcterms:W3CDTF">2020-09-18T00:14:00Z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id="ANje8iqi"/&gt;&lt;style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