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EF1B" w14:textId="77777777" w:rsidR="002A44AE" w:rsidRPr="007D70CF" w:rsidRDefault="00000000">
      <w:pPr>
        <w:spacing w:after="80"/>
        <w:jc w:val="center"/>
        <w:rPr>
          <w:lang w:val="en-GB"/>
        </w:rPr>
      </w:pPr>
      <w:r w:rsidRPr="007D70CF">
        <w:rPr>
          <w:b/>
          <w:bCs/>
          <w:color w:val="2E5090"/>
          <w:sz w:val="36"/>
          <w:szCs w:val="36"/>
          <w:lang w:val="en-GB"/>
        </w:rPr>
        <w:t>Part A</w:t>
      </w:r>
    </w:p>
    <w:p w14:paraId="45E7D412" w14:textId="77777777" w:rsidR="002A44AE" w:rsidRPr="007D70CF" w:rsidRDefault="00000000">
      <w:pPr>
        <w:spacing w:after="80"/>
        <w:jc w:val="center"/>
        <w:rPr>
          <w:lang w:val="en-GB"/>
        </w:rPr>
      </w:pPr>
      <w:r w:rsidRPr="007D70CF">
        <w:rPr>
          <w:b/>
          <w:bCs/>
          <w:sz w:val="28"/>
          <w:szCs w:val="28"/>
          <w:lang w:val="en-GB"/>
        </w:rPr>
        <w:t>Ukraine’s Monetary Regime: A Documented Chronology (2000–2025)</w:t>
      </w:r>
    </w:p>
    <w:p w14:paraId="69BF9AA4" w14:textId="13E59E18" w:rsidR="002A44AE" w:rsidRPr="007D70CF" w:rsidRDefault="00EF295F">
      <w:pPr>
        <w:spacing w:after="400"/>
        <w:jc w:val="center"/>
        <w:rPr>
          <w:lang w:val="en-GB"/>
        </w:rPr>
      </w:pPr>
      <w:r w:rsidRPr="007D70CF">
        <w:rPr>
          <w:i/>
          <w:iCs/>
          <w:color w:val="666666"/>
          <w:lang w:val="en-GB"/>
        </w:rPr>
        <w:t>Eduardo Medina Schutt — Final Exam of Quantitative Methods in Finance</w:t>
      </w:r>
    </w:p>
    <w:p w14:paraId="769C7931" w14:textId="77777777" w:rsidR="002A44AE" w:rsidRPr="007D70CF" w:rsidRDefault="00000000">
      <w:pPr>
        <w:pStyle w:val="Ttulo1"/>
        <w:rPr>
          <w:lang w:val="en-GB"/>
        </w:rPr>
      </w:pPr>
      <w:r w:rsidRPr="007D70CF">
        <w:rPr>
          <w:lang w:val="en-GB"/>
        </w:rPr>
        <w:t>1. Summary Table: NBU Exchange Rate Regime</w:t>
      </w:r>
    </w:p>
    <w:p w14:paraId="6BE2310D" w14:textId="77777777" w:rsidR="002A44AE" w:rsidRPr="007D70CF" w:rsidRDefault="00000000">
      <w:pPr>
        <w:spacing w:after="200"/>
        <w:rPr>
          <w:lang w:val="en-GB"/>
        </w:rPr>
      </w:pPr>
      <w:r w:rsidRPr="007D70CF">
        <w:rPr>
          <w:lang w:val="en-GB"/>
        </w:rPr>
        <w:t>Table 1 documents the eight distinct regime periods identified for the NBU between 2000 and 2025, drawing on IMF AREAER classifications</w:t>
      </w:r>
      <w:r w:rsidRPr="007D70CF">
        <w:rPr>
          <w:rStyle w:val="Refdenotaderodap"/>
          <w:lang w:val="en-GB"/>
        </w:rPr>
        <w:footnoteReference w:id="1"/>
      </w:r>
      <w:r w:rsidRPr="007D70CF">
        <w:rPr>
          <w:lang w:val="en-GB"/>
        </w:rPr>
        <w:t>, NBU official communications, and the academic literature.</w:t>
      </w:r>
      <w:r w:rsidRPr="007D70CF">
        <w:rPr>
          <w:rStyle w:val="Refdenotaderodap"/>
          <w:lang w:val="en-GB"/>
        </w:rPr>
        <w:footnoteReference w:id="2"/>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692"/>
        <w:gridCol w:w="1021"/>
        <w:gridCol w:w="1497"/>
        <w:gridCol w:w="2851"/>
        <w:gridCol w:w="1400"/>
      </w:tblGrid>
      <w:tr w:rsidR="002A44AE" w:rsidRPr="007D70CF" w14:paraId="0B9985F9" w14:textId="77777777">
        <w:trPr>
          <w:tblHeader/>
        </w:trPr>
        <w:tc>
          <w:tcPr>
            <w:tcW w:w="9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5F80C146" w14:textId="77777777" w:rsidR="002A44AE" w:rsidRPr="007D70CF" w:rsidRDefault="00000000">
            <w:pPr>
              <w:jc w:val="center"/>
              <w:rPr>
                <w:lang w:val="en-GB"/>
              </w:rPr>
            </w:pPr>
            <w:r w:rsidRPr="007D70CF">
              <w:rPr>
                <w:b/>
                <w:bCs/>
                <w:color w:val="FFFFFF"/>
                <w:sz w:val="18"/>
                <w:szCs w:val="18"/>
                <w:lang w:val="en-GB"/>
              </w:rPr>
              <w:t>Period</w:t>
            </w:r>
          </w:p>
        </w:tc>
        <w:tc>
          <w:tcPr>
            <w:tcW w:w="17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69837684" w14:textId="77777777" w:rsidR="002A44AE" w:rsidRPr="007D70CF" w:rsidRDefault="00000000">
            <w:pPr>
              <w:jc w:val="center"/>
              <w:rPr>
                <w:lang w:val="en-GB"/>
              </w:rPr>
            </w:pPr>
            <w:r w:rsidRPr="007D70CF">
              <w:rPr>
                <w:b/>
                <w:bCs/>
                <w:color w:val="FFFFFF"/>
                <w:sz w:val="18"/>
                <w:szCs w:val="18"/>
                <w:lang w:val="en-GB"/>
              </w:rPr>
              <w:t>Dates</w:t>
            </w:r>
          </w:p>
        </w:tc>
        <w:tc>
          <w:tcPr>
            <w:tcW w:w="10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736688DB" w14:textId="77777777" w:rsidR="002A44AE" w:rsidRPr="007D70CF" w:rsidRDefault="00000000">
            <w:pPr>
              <w:jc w:val="center"/>
              <w:rPr>
                <w:lang w:val="en-GB"/>
              </w:rPr>
            </w:pPr>
            <w:r w:rsidRPr="007D70CF">
              <w:rPr>
                <w:b/>
                <w:bCs/>
                <w:color w:val="FFFFFF"/>
                <w:sz w:val="18"/>
                <w:szCs w:val="18"/>
                <w:lang w:val="en-GB"/>
              </w:rPr>
              <w:t>UAH/USD</w:t>
            </w:r>
          </w:p>
        </w:tc>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3F9D30C5" w14:textId="77777777" w:rsidR="002A44AE" w:rsidRPr="007D70CF" w:rsidRDefault="00000000">
            <w:pPr>
              <w:jc w:val="center"/>
              <w:rPr>
                <w:lang w:val="en-GB"/>
              </w:rPr>
            </w:pPr>
            <w:r w:rsidRPr="007D70CF">
              <w:rPr>
                <w:b/>
                <w:bCs/>
                <w:color w:val="FFFFFF"/>
                <w:sz w:val="18"/>
                <w:szCs w:val="18"/>
                <w:lang w:val="en-GB"/>
              </w:rPr>
              <w:t>De Facto Regime (IMF)</w:t>
            </w:r>
          </w:p>
        </w:tc>
        <w:tc>
          <w:tcPr>
            <w:tcW w:w="2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0C64CF1C" w14:textId="77777777" w:rsidR="002A44AE" w:rsidRPr="007D70CF" w:rsidRDefault="00000000">
            <w:pPr>
              <w:jc w:val="center"/>
              <w:rPr>
                <w:lang w:val="en-GB"/>
              </w:rPr>
            </w:pPr>
            <w:r w:rsidRPr="007D70CF">
              <w:rPr>
                <w:b/>
                <w:bCs/>
                <w:color w:val="FFFFFF"/>
                <w:sz w:val="18"/>
                <w:szCs w:val="18"/>
                <w:lang w:val="en-GB"/>
              </w:rPr>
              <w:t>Key Events &amp; Triggers</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126A1AF9" w14:textId="77777777" w:rsidR="002A44AE" w:rsidRPr="007D70CF" w:rsidRDefault="00000000">
            <w:pPr>
              <w:jc w:val="center"/>
              <w:rPr>
                <w:lang w:val="en-GB"/>
              </w:rPr>
            </w:pPr>
            <w:r w:rsidRPr="007D70CF">
              <w:rPr>
                <w:b/>
                <w:bCs/>
                <w:color w:val="FFFFFF"/>
                <w:sz w:val="18"/>
                <w:szCs w:val="18"/>
                <w:lang w:val="en-GB"/>
              </w:rPr>
              <w:t>Capital Controls</w:t>
            </w:r>
          </w:p>
        </w:tc>
      </w:tr>
      <w:tr w:rsidR="002A44AE" w:rsidRPr="007D70CF" w14:paraId="2686288F"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547D3" w14:textId="77777777" w:rsidR="002A44AE" w:rsidRPr="007D70CF" w:rsidRDefault="00000000">
            <w:pPr>
              <w:spacing w:before="20" w:after="20"/>
              <w:rPr>
                <w:lang w:val="en-GB"/>
              </w:rPr>
            </w:pPr>
            <w:r w:rsidRPr="007D70CF">
              <w:rPr>
                <w:sz w:val="17"/>
                <w:szCs w:val="17"/>
                <w:lang w:val="en-GB"/>
              </w:rPr>
              <w:t>1</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911D22" w14:textId="77777777" w:rsidR="002A44AE" w:rsidRPr="007D70CF" w:rsidRDefault="00000000">
            <w:pPr>
              <w:spacing w:before="20" w:after="20"/>
              <w:rPr>
                <w:lang w:val="en-GB"/>
              </w:rPr>
            </w:pPr>
            <w:r w:rsidRPr="007D70CF">
              <w:rPr>
                <w:sz w:val="17"/>
                <w:szCs w:val="17"/>
                <w:lang w:val="en-GB"/>
              </w:rPr>
              <w:t>2000 – Apr 2005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174CAA" w14:textId="77777777" w:rsidR="002A44AE" w:rsidRPr="007D70CF" w:rsidRDefault="00000000">
            <w:pPr>
              <w:spacing w:before="20" w:after="20"/>
              <w:rPr>
                <w:lang w:val="en-GB"/>
              </w:rPr>
            </w:pPr>
            <w:r w:rsidRPr="007D70CF">
              <w:rPr>
                <w:sz w:val="17"/>
                <w:szCs w:val="17"/>
                <w:lang w:val="en-GB"/>
              </w:rPr>
              <w:t>≈5.4–5.6</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E4C8C8" w14:textId="77777777" w:rsidR="002A44AE" w:rsidRPr="007D70CF" w:rsidRDefault="00000000">
            <w:pPr>
              <w:spacing w:before="20" w:after="20"/>
              <w:rPr>
                <w:lang w:val="en-GB"/>
              </w:rPr>
            </w:pPr>
            <w:r w:rsidRPr="007D70CF">
              <w:rPr>
                <w:i/>
                <w:iCs/>
                <w:sz w:val="17"/>
                <w:szCs w:val="17"/>
                <w:lang w:val="en-GB"/>
              </w:rPr>
              <w:t>De facto peg to USD</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F7953F" w14:textId="77777777" w:rsidR="002A44AE" w:rsidRPr="007D70CF" w:rsidRDefault="00000000">
            <w:pPr>
              <w:spacing w:before="20" w:after="20"/>
              <w:rPr>
                <w:lang w:val="en-GB"/>
              </w:rPr>
            </w:pPr>
            <w:r w:rsidRPr="007D70CF">
              <w:rPr>
                <w:sz w:val="17"/>
                <w:szCs w:val="17"/>
                <w:lang w:val="en-GB"/>
              </w:rPr>
              <w:t>Post-1998 stabilisation; NBU heavy FX intervention; no formal anchor; inflation 12–28%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255DA4" w14:textId="77777777" w:rsidR="002A44AE" w:rsidRPr="007D70CF" w:rsidRDefault="00000000">
            <w:pPr>
              <w:spacing w:before="20" w:after="20"/>
              <w:rPr>
                <w:lang w:val="en-GB"/>
              </w:rPr>
            </w:pPr>
            <w:r w:rsidRPr="007D70CF">
              <w:rPr>
                <w:sz w:val="17"/>
                <w:szCs w:val="17"/>
                <w:lang w:val="en-GB"/>
              </w:rPr>
              <w:t>Minimal</w:t>
            </w:r>
          </w:p>
        </w:tc>
      </w:tr>
      <w:tr w:rsidR="002A44AE" w:rsidRPr="007D70CF" w14:paraId="07E9B26A"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CEB079" w14:textId="77777777" w:rsidR="002A44AE" w:rsidRPr="007D70CF" w:rsidRDefault="00000000">
            <w:pPr>
              <w:spacing w:before="20" w:after="20"/>
              <w:rPr>
                <w:lang w:val="en-GB"/>
              </w:rPr>
            </w:pPr>
            <w:r w:rsidRPr="007D70CF">
              <w:rPr>
                <w:sz w:val="17"/>
                <w:szCs w:val="17"/>
                <w:lang w:val="en-GB"/>
              </w:rPr>
              <w:t>2</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54C01D" w14:textId="77777777" w:rsidR="002A44AE" w:rsidRPr="007D70CF" w:rsidRDefault="00000000">
            <w:pPr>
              <w:spacing w:before="20" w:after="20"/>
              <w:rPr>
                <w:lang w:val="en-GB"/>
              </w:rPr>
            </w:pPr>
            <w:r w:rsidRPr="007D70CF">
              <w:rPr>
                <w:sz w:val="17"/>
                <w:szCs w:val="17"/>
                <w:lang w:val="en-GB"/>
              </w:rPr>
              <w:t>Apr 2005 – Sept 2008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5AEE2D" w14:textId="77777777" w:rsidR="002A44AE" w:rsidRPr="007D70CF" w:rsidRDefault="00000000">
            <w:pPr>
              <w:spacing w:before="20" w:after="20"/>
              <w:rPr>
                <w:lang w:val="en-GB"/>
              </w:rPr>
            </w:pPr>
            <w:r w:rsidRPr="007D70CF">
              <w:rPr>
                <w:sz w:val="17"/>
                <w:szCs w:val="17"/>
                <w:lang w:val="en-GB"/>
              </w:rPr>
              <w:t>5.05 (fixed)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7025CA" w14:textId="77777777" w:rsidR="002A44AE" w:rsidRPr="007D70CF" w:rsidRDefault="00000000">
            <w:pPr>
              <w:spacing w:before="20" w:after="20"/>
              <w:rPr>
                <w:lang w:val="en-GB"/>
              </w:rPr>
            </w:pPr>
            <w:r w:rsidRPr="007D70CF">
              <w:rPr>
                <w:i/>
                <w:iCs/>
                <w:sz w:val="17"/>
                <w:szCs w:val="17"/>
                <w:lang w:val="en-GB"/>
              </w:rPr>
              <w:t>Conventional peg to USD</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6905F" w14:textId="77777777" w:rsidR="002A44AE" w:rsidRPr="007D70CF" w:rsidRDefault="00000000">
            <w:pPr>
              <w:spacing w:before="20" w:after="20"/>
              <w:rPr>
                <w:lang w:val="en-GB"/>
              </w:rPr>
            </w:pPr>
            <w:r w:rsidRPr="007D70CF">
              <w:rPr>
                <w:sz w:val="17"/>
                <w:szCs w:val="17"/>
                <w:lang w:val="en-GB"/>
              </w:rPr>
              <w:t>Formal peg at 5.05 (21 Apr 2005); commodity boom; demand overheating; inflation reached 31% by mid-2008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BD6C20" w14:textId="77777777" w:rsidR="002A44AE" w:rsidRPr="007D70CF" w:rsidRDefault="00000000">
            <w:pPr>
              <w:spacing w:before="20" w:after="20"/>
              <w:rPr>
                <w:lang w:val="en-GB"/>
              </w:rPr>
            </w:pPr>
            <w:r w:rsidRPr="007D70CF">
              <w:rPr>
                <w:sz w:val="17"/>
                <w:szCs w:val="17"/>
                <w:lang w:val="en-GB"/>
              </w:rPr>
              <w:t>Minimal</w:t>
            </w:r>
          </w:p>
        </w:tc>
      </w:tr>
      <w:tr w:rsidR="002A44AE" w:rsidRPr="007D70CF" w14:paraId="54BF3175"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E351F" w14:textId="77777777" w:rsidR="002A44AE" w:rsidRPr="007D70CF" w:rsidRDefault="00000000">
            <w:pPr>
              <w:spacing w:before="20" w:after="20"/>
              <w:rPr>
                <w:lang w:val="en-GB"/>
              </w:rPr>
            </w:pPr>
            <w:r w:rsidRPr="007D70CF">
              <w:rPr>
                <w:sz w:val="17"/>
                <w:szCs w:val="17"/>
                <w:lang w:val="en-GB"/>
              </w:rPr>
              <w:t>3</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F8AAF9" w14:textId="77777777" w:rsidR="002A44AE" w:rsidRPr="007D70CF" w:rsidRDefault="00000000">
            <w:pPr>
              <w:spacing w:before="20" w:after="20"/>
              <w:rPr>
                <w:lang w:val="en-GB"/>
              </w:rPr>
            </w:pPr>
            <w:r w:rsidRPr="007D70CF">
              <w:rPr>
                <w:sz w:val="17"/>
                <w:szCs w:val="17"/>
                <w:lang w:val="en-GB"/>
              </w:rPr>
              <w:t>Oct 2008 – Dec 2011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C3DB97" w14:textId="77777777" w:rsidR="002A44AE" w:rsidRPr="007D70CF" w:rsidRDefault="00000000">
            <w:pPr>
              <w:spacing w:before="20" w:after="20"/>
              <w:rPr>
                <w:lang w:val="en-GB"/>
              </w:rPr>
            </w:pPr>
            <w:r w:rsidRPr="007D70CF">
              <w:rPr>
                <w:sz w:val="17"/>
                <w:szCs w:val="17"/>
                <w:lang w:val="en-GB"/>
              </w:rPr>
              <w:t>7.7–8.0 (re-pegged)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CBEE1E" w14:textId="77777777" w:rsidR="002A44AE" w:rsidRPr="007D70CF" w:rsidRDefault="00000000">
            <w:pPr>
              <w:spacing w:before="20" w:after="20"/>
              <w:rPr>
                <w:lang w:val="en-GB"/>
              </w:rPr>
            </w:pPr>
            <w:r w:rsidRPr="007D70CF">
              <w:rPr>
                <w:i/>
                <w:iCs/>
                <w:sz w:val="17"/>
                <w:szCs w:val="17"/>
                <w:lang w:val="en-GB"/>
              </w:rPr>
              <w:t>Stabilised arrangement (peg to USD at new level)</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7AF2ED" w14:textId="77777777" w:rsidR="002A44AE" w:rsidRPr="007D70CF" w:rsidRDefault="00000000">
            <w:pPr>
              <w:spacing w:before="20" w:after="20"/>
              <w:rPr>
                <w:lang w:val="en-GB"/>
              </w:rPr>
            </w:pPr>
            <w:r w:rsidRPr="007D70CF">
              <w:rPr>
                <w:sz w:val="17"/>
                <w:szCs w:val="17"/>
                <w:lang w:val="en-GB"/>
              </w:rPr>
              <w:t>GFC: ≈38% depreciation (Sept–Dec 2008); new peg at ~8.0; FX reserves fell from $38B; IMF SBA activated</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C65BDF" w14:textId="77777777" w:rsidR="002A44AE" w:rsidRPr="007D70CF" w:rsidRDefault="00000000">
            <w:pPr>
              <w:spacing w:before="20" w:after="20"/>
              <w:rPr>
                <w:lang w:val="en-GB"/>
              </w:rPr>
            </w:pPr>
            <w:r w:rsidRPr="007D70CF">
              <w:rPr>
                <w:sz w:val="17"/>
                <w:szCs w:val="17"/>
                <w:lang w:val="en-GB"/>
              </w:rPr>
              <w:t>Temporary restrictions during crisis</w:t>
            </w:r>
          </w:p>
        </w:tc>
      </w:tr>
      <w:tr w:rsidR="002A44AE" w:rsidRPr="007D70CF" w14:paraId="5F854545"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D93F3B" w14:textId="77777777" w:rsidR="002A44AE" w:rsidRPr="007D70CF" w:rsidRDefault="00000000">
            <w:pPr>
              <w:spacing w:before="20" w:after="20"/>
              <w:rPr>
                <w:lang w:val="en-GB"/>
              </w:rPr>
            </w:pPr>
            <w:r w:rsidRPr="007D70CF">
              <w:rPr>
                <w:sz w:val="17"/>
                <w:szCs w:val="17"/>
                <w:lang w:val="en-GB"/>
              </w:rPr>
              <w:t>4</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5B84B0" w14:textId="77777777" w:rsidR="002A44AE" w:rsidRPr="007D70CF" w:rsidRDefault="00000000">
            <w:pPr>
              <w:spacing w:before="20" w:after="20"/>
              <w:rPr>
                <w:lang w:val="en-GB"/>
              </w:rPr>
            </w:pPr>
            <w:r w:rsidRPr="007D70CF">
              <w:rPr>
                <w:sz w:val="17"/>
                <w:szCs w:val="17"/>
                <w:lang w:val="en-GB"/>
              </w:rPr>
              <w:t>2012 – Jan 2014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FE2E00" w14:textId="77777777" w:rsidR="002A44AE" w:rsidRPr="007D70CF" w:rsidRDefault="00000000">
            <w:pPr>
              <w:spacing w:before="20" w:after="20"/>
              <w:rPr>
                <w:lang w:val="en-GB"/>
              </w:rPr>
            </w:pPr>
            <w:r w:rsidRPr="007D70CF">
              <w:rPr>
                <w:sz w:val="17"/>
                <w:szCs w:val="17"/>
                <w:lang w:val="en-GB"/>
              </w:rPr>
              <w:t>≈8.1–8.2</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379C94" w14:textId="77777777" w:rsidR="002A44AE" w:rsidRPr="007D70CF" w:rsidRDefault="00000000">
            <w:pPr>
              <w:spacing w:before="20" w:after="20"/>
              <w:rPr>
                <w:lang w:val="en-GB"/>
              </w:rPr>
            </w:pPr>
            <w:r w:rsidRPr="007D70CF">
              <w:rPr>
                <w:i/>
                <w:iCs/>
                <w:sz w:val="17"/>
                <w:szCs w:val="17"/>
                <w:lang w:val="en-GB"/>
              </w:rPr>
              <w:t>Other managed arrangement</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7EA6CA" w14:textId="77777777" w:rsidR="002A44AE" w:rsidRPr="007D70CF" w:rsidRDefault="00000000">
            <w:pPr>
              <w:spacing w:before="20" w:after="20"/>
              <w:rPr>
                <w:lang w:val="en-GB"/>
              </w:rPr>
            </w:pPr>
            <w:r w:rsidRPr="007D70CF">
              <w:rPr>
                <w:sz w:val="17"/>
                <w:szCs w:val="17"/>
                <w:lang w:val="en-GB"/>
              </w:rPr>
              <w:t>NBU smooths FX rate; euro weakness; reserves partially rebuilt; no IT framework; pre-Maidan political instability</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D18918" w14:textId="77777777" w:rsidR="002A44AE" w:rsidRPr="007D70CF" w:rsidRDefault="00000000">
            <w:pPr>
              <w:spacing w:before="20" w:after="20"/>
              <w:rPr>
                <w:lang w:val="en-GB"/>
              </w:rPr>
            </w:pPr>
            <w:r w:rsidRPr="007D70CF">
              <w:rPr>
                <w:sz w:val="17"/>
                <w:szCs w:val="17"/>
                <w:lang w:val="en-GB"/>
              </w:rPr>
              <w:t>Minimal</w:t>
            </w:r>
          </w:p>
        </w:tc>
      </w:tr>
      <w:tr w:rsidR="002A44AE" w:rsidRPr="007D70CF" w14:paraId="22B77A11"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BF42F5" w14:textId="77777777" w:rsidR="002A44AE" w:rsidRPr="007D70CF" w:rsidRDefault="00000000">
            <w:pPr>
              <w:spacing w:before="20" w:after="20"/>
              <w:rPr>
                <w:lang w:val="en-GB"/>
              </w:rPr>
            </w:pPr>
            <w:r w:rsidRPr="007D70CF">
              <w:rPr>
                <w:sz w:val="17"/>
                <w:szCs w:val="17"/>
                <w:lang w:val="en-GB"/>
              </w:rPr>
              <w:t>5</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787125" w14:textId="77777777" w:rsidR="002A44AE" w:rsidRPr="007D70CF" w:rsidRDefault="00000000">
            <w:pPr>
              <w:spacing w:before="20" w:after="20"/>
              <w:rPr>
                <w:lang w:val="en-GB"/>
              </w:rPr>
            </w:pPr>
            <w:r w:rsidRPr="007D70CF">
              <w:rPr>
                <w:sz w:val="17"/>
                <w:szCs w:val="17"/>
                <w:lang w:val="en-GB"/>
              </w:rPr>
              <w:t>Feb 2014 – mid-2015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995E80" w14:textId="77777777" w:rsidR="002A44AE" w:rsidRPr="007D70CF" w:rsidRDefault="00000000">
            <w:pPr>
              <w:spacing w:before="20" w:after="20"/>
              <w:rPr>
                <w:lang w:val="en-GB"/>
              </w:rPr>
            </w:pPr>
            <w:r w:rsidRPr="007D70CF">
              <w:rPr>
                <w:sz w:val="17"/>
                <w:szCs w:val="17"/>
                <w:lang w:val="en-GB"/>
              </w:rPr>
              <w:t>8.2 → 33 (peak Feb 2015)</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CB27F9" w14:textId="77777777" w:rsidR="002A44AE" w:rsidRPr="007D70CF" w:rsidRDefault="00000000">
            <w:pPr>
              <w:spacing w:before="20" w:after="20"/>
              <w:rPr>
                <w:lang w:val="en-GB"/>
              </w:rPr>
            </w:pPr>
            <w:r w:rsidRPr="007D70CF">
              <w:rPr>
                <w:i/>
                <w:iCs/>
                <w:sz w:val="17"/>
                <w:szCs w:val="17"/>
                <w:lang w:val="en-GB"/>
              </w:rPr>
              <w:t>Floating (de jure from 7 Feb 2014)</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C93C44" w14:textId="77777777" w:rsidR="002A44AE" w:rsidRPr="007D70CF" w:rsidRDefault="00000000">
            <w:pPr>
              <w:spacing w:before="20" w:after="20"/>
              <w:rPr>
                <w:lang w:val="en-GB"/>
              </w:rPr>
            </w:pPr>
            <w:r w:rsidRPr="007D70CF">
              <w:rPr>
                <w:sz w:val="17"/>
                <w:szCs w:val="17"/>
                <w:lang w:val="en-GB"/>
              </w:rPr>
              <w:t>Euromaidan/Crimea annexation; ~70% cumulative depreciation; reserves collapse; IMF EFF ($17.5B, Mar 2015)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1A017B" w14:textId="77777777" w:rsidR="002A44AE" w:rsidRPr="007D70CF" w:rsidRDefault="00000000">
            <w:pPr>
              <w:spacing w:before="20" w:after="20"/>
              <w:rPr>
                <w:lang w:val="en-GB"/>
              </w:rPr>
            </w:pPr>
            <w:r w:rsidRPr="007D70CF">
              <w:rPr>
                <w:sz w:val="17"/>
                <w:szCs w:val="17"/>
                <w:lang w:val="en-GB"/>
              </w:rPr>
              <w:t>Severe (from Mar 2015): 75% mandatory FX sale; dividend ban; Reg. No. 160</w:t>
            </w:r>
          </w:p>
        </w:tc>
      </w:tr>
      <w:tr w:rsidR="002A44AE" w:rsidRPr="007D70CF" w14:paraId="127E7B93"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D2A25C" w14:textId="77777777" w:rsidR="002A44AE" w:rsidRPr="007D70CF" w:rsidRDefault="00000000">
            <w:pPr>
              <w:spacing w:before="20" w:after="20"/>
              <w:rPr>
                <w:lang w:val="en-GB"/>
              </w:rPr>
            </w:pPr>
            <w:r w:rsidRPr="007D70CF">
              <w:rPr>
                <w:sz w:val="17"/>
                <w:szCs w:val="17"/>
                <w:lang w:val="en-GB"/>
              </w:rPr>
              <w:t>6</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AB887F" w14:textId="77777777" w:rsidR="002A44AE" w:rsidRPr="007D70CF" w:rsidRDefault="00000000">
            <w:pPr>
              <w:spacing w:before="20" w:after="20"/>
              <w:rPr>
                <w:lang w:val="en-GB"/>
              </w:rPr>
            </w:pPr>
            <w:r w:rsidRPr="007D70CF">
              <w:rPr>
                <w:sz w:val="17"/>
                <w:szCs w:val="17"/>
                <w:lang w:val="en-GB"/>
              </w:rPr>
              <w:t>Aug 2015 – Feb 2022</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A071B0" w14:textId="77777777" w:rsidR="002A44AE" w:rsidRPr="007D70CF" w:rsidRDefault="00000000">
            <w:pPr>
              <w:spacing w:before="20" w:after="20"/>
              <w:rPr>
                <w:lang w:val="en-GB"/>
              </w:rPr>
            </w:pPr>
            <w:r w:rsidRPr="007D70CF">
              <w:rPr>
                <w:sz w:val="17"/>
                <w:szCs w:val="17"/>
                <w:lang w:val="en-GB"/>
              </w:rPr>
              <w:t>≈25–28</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364906" w14:textId="77777777" w:rsidR="002A44AE" w:rsidRPr="007D70CF" w:rsidRDefault="00000000">
            <w:pPr>
              <w:spacing w:before="20" w:after="20"/>
              <w:rPr>
                <w:lang w:val="en-GB"/>
              </w:rPr>
            </w:pPr>
            <w:r w:rsidRPr="007D70CF">
              <w:rPr>
                <w:i/>
                <w:iCs/>
                <w:sz w:val="17"/>
                <w:szCs w:val="17"/>
                <w:lang w:val="en-GB"/>
              </w:rPr>
              <w:t>Floating with inflation targeting</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9C4E16" w14:textId="77777777" w:rsidR="002A44AE" w:rsidRPr="007D70CF" w:rsidRDefault="00000000">
            <w:pPr>
              <w:spacing w:before="20" w:after="20"/>
              <w:rPr>
                <w:lang w:val="en-GB"/>
              </w:rPr>
            </w:pPr>
            <w:r w:rsidRPr="007D70CF">
              <w:rPr>
                <w:sz w:val="17"/>
                <w:szCs w:val="17"/>
                <w:lang w:val="en-GB"/>
              </w:rPr>
              <w:t>IT adopted 18 Aug 2015 (Res. 541); target path: 8% → 5%; NBU independence law (Sep 2015); gradual disinflation; by 2019–20 inflation near 5% target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6C72D8" w14:textId="77777777" w:rsidR="002A44AE" w:rsidRPr="007D70CF" w:rsidRDefault="00000000">
            <w:pPr>
              <w:spacing w:before="20" w:after="20"/>
              <w:rPr>
                <w:lang w:val="en-GB"/>
              </w:rPr>
            </w:pPr>
            <w:r w:rsidRPr="007D70CF">
              <w:rPr>
                <w:sz w:val="17"/>
                <w:szCs w:val="17"/>
                <w:lang w:val="en-GB"/>
              </w:rPr>
              <w:t>Gradually eased (2015–2021); phased FX liberalisation</w:t>
            </w:r>
          </w:p>
        </w:tc>
      </w:tr>
      <w:tr w:rsidR="002A44AE" w:rsidRPr="007D70CF" w14:paraId="2A41A5A5"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57653C" w14:textId="77777777" w:rsidR="002A44AE" w:rsidRPr="007D70CF" w:rsidRDefault="00000000">
            <w:pPr>
              <w:spacing w:before="20" w:after="20"/>
              <w:rPr>
                <w:lang w:val="en-GB"/>
              </w:rPr>
            </w:pPr>
            <w:r w:rsidRPr="007D70CF">
              <w:rPr>
                <w:sz w:val="17"/>
                <w:szCs w:val="17"/>
                <w:lang w:val="en-GB"/>
              </w:rPr>
              <w:t>7</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D3766E" w14:textId="77777777" w:rsidR="002A44AE" w:rsidRPr="007D70CF" w:rsidRDefault="00000000">
            <w:pPr>
              <w:spacing w:before="20" w:after="20"/>
              <w:rPr>
                <w:lang w:val="en-GB"/>
              </w:rPr>
            </w:pPr>
            <w:r w:rsidRPr="007D70CF">
              <w:rPr>
                <w:sz w:val="17"/>
                <w:szCs w:val="17"/>
                <w:lang w:val="en-GB"/>
              </w:rPr>
              <w:t>24 Feb 2022 – 2 Oct 2023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73264F" w14:textId="77777777" w:rsidR="002A44AE" w:rsidRPr="007D70CF" w:rsidRDefault="00000000">
            <w:pPr>
              <w:spacing w:before="20" w:after="20"/>
              <w:rPr>
                <w:lang w:val="en-GB"/>
              </w:rPr>
            </w:pPr>
            <w:r w:rsidRPr="007D70CF">
              <w:rPr>
                <w:sz w:val="17"/>
                <w:szCs w:val="17"/>
                <w:lang w:val="en-GB"/>
              </w:rPr>
              <w:t>29.25 → 36.57 (fixed)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91A86D" w14:textId="77777777" w:rsidR="002A44AE" w:rsidRPr="007D70CF" w:rsidRDefault="00000000">
            <w:pPr>
              <w:spacing w:before="20" w:after="20"/>
              <w:rPr>
                <w:lang w:val="en-GB"/>
              </w:rPr>
            </w:pPr>
            <w:r w:rsidRPr="007D70CF">
              <w:rPr>
                <w:i/>
                <w:iCs/>
                <w:sz w:val="17"/>
                <w:szCs w:val="17"/>
                <w:lang w:val="en-GB"/>
              </w:rPr>
              <w:t>Pegged (wartime emergency)</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F71D83" w14:textId="77777777" w:rsidR="002A44AE" w:rsidRPr="007D70CF" w:rsidRDefault="00000000">
            <w:pPr>
              <w:spacing w:before="20" w:after="20"/>
              <w:rPr>
                <w:lang w:val="en-GB"/>
              </w:rPr>
            </w:pPr>
            <w:r w:rsidRPr="007D70CF">
              <w:rPr>
                <w:sz w:val="17"/>
                <w:szCs w:val="17"/>
                <w:lang w:val="en-GB"/>
              </w:rPr>
              <w:t>Full-scale invasion; FX rate fixed at 29.25; IT suspended; 25% devaluation to 36.57 (21 Jul 2022); inflation peaked ~27%</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34021C" w14:textId="77777777" w:rsidR="002A44AE" w:rsidRPr="007D70CF" w:rsidRDefault="00000000">
            <w:pPr>
              <w:spacing w:before="20" w:after="20"/>
              <w:rPr>
                <w:lang w:val="en-GB"/>
              </w:rPr>
            </w:pPr>
            <w:r w:rsidRPr="007D70CF">
              <w:rPr>
                <w:sz w:val="17"/>
                <w:szCs w:val="17"/>
                <w:lang w:val="en-GB"/>
              </w:rPr>
              <w:t>Severe (Res. No. 18): comprehensive FX restrictions; mandatory sale requirements</w:t>
            </w:r>
          </w:p>
        </w:tc>
      </w:tr>
      <w:tr w:rsidR="002A44AE" w:rsidRPr="007D70CF" w14:paraId="6F7C89F2"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7C6AA2" w14:textId="77777777" w:rsidR="002A44AE" w:rsidRPr="007D70CF" w:rsidRDefault="00000000">
            <w:pPr>
              <w:spacing w:before="20" w:after="20"/>
              <w:rPr>
                <w:lang w:val="en-GB"/>
              </w:rPr>
            </w:pPr>
            <w:r w:rsidRPr="007D70CF">
              <w:rPr>
                <w:sz w:val="17"/>
                <w:szCs w:val="17"/>
                <w:lang w:val="en-GB"/>
              </w:rPr>
              <w:t>8</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138B76" w14:textId="77777777" w:rsidR="002A44AE" w:rsidRPr="007D70CF" w:rsidRDefault="00000000">
            <w:pPr>
              <w:spacing w:before="20" w:after="20"/>
              <w:rPr>
                <w:lang w:val="en-GB"/>
              </w:rPr>
            </w:pPr>
            <w:r w:rsidRPr="007D70CF">
              <w:rPr>
                <w:sz w:val="17"/>
                <w:szCs w:val="17"/>
                <w:lang w:val="en-GB"/>
              </w:rPr>
              <w:t>3 Oct 2023 – present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DA1A10" w14:textId="77777777" w:rsidR="002A44AE" w:rsidRPr="007D70CF" w:rsidRDefault="00000000">
            <w:pPr>
              <w:spacing w:before="20" w:after="20"/>
              <w:rPr>
                <w:lang w:val="en-GB"/>
              </w:rPr>
            </w:pPr>
            <w:r w:rsidRPr="007D70CF">
              <w:rPr>
                <w:sz w:val="17"/>
                <w:szCs w:val="17"/>
                <w:lang w:val="en-GB"/>
              </w:rPr>
              <w:t>≈37–42 (floating)</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26BCBD" w14:textId="77777777" w:rsidR="002A44AE" w:rsidRPr="007D70CF" w:rsidRDefault="00000000">
            <w:pPr>
              <w:spacing w:before="20" w:after="20"/>
              <w:rPr>
                <w:lang w:val="en-GB"/>
              </w:rPr>
            </w:pPr>
            <w:r w:rsidRPr="007D70CF">
              <w:rPr>
                <w:i/>
                <w:iCs/>
                <w:sz w:val="17"/>
                <w:szCs w:val="17"/>
                <w:lang w:val="en-GB"/>
              </w:rPr>
              <w:t>Managed float / Flexible IT</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239232" w14:textId="77777777" w:rsidR="002A44AE" w:rsidRPr="007D70CF" w:rsidRDefault="00000000">
            <w:pPr>
              <w:spacing w:before="20" w:after="20"/>
              <w:rPr>
                <w:lang w:val="en-GB"/>
              </w:rPr>
            </w:pPr>
            <w:r w:rsidRPr="007D70CF">
              <w:rPr>
                <w:sz w:val="17"/>
                <w:szCs w:val="17"/>
                <w:lang w:val="en-GB"/>
              </w:rPr>
              <w:t>Managed flexibility (3 Oct 2023); flexible IT framework adopted (Sep 2024); 5% target, 3-year horizon; phased normalisation</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AC8BD0" w14:textId="77777777" w:rsidR="002A44AE" w:rsidRPr="007D70CF" w:rsidRDefault="00000000">
            <w:pPr>
              <w:spacing w:before="20" w:after="20"/>
              <w:rPr>
                <w:lang w:val="en-GB"/>
              </w:rPr>
            </w:pPr>
            <w:r w:rsidRPr="007D70CF">
              <w:rPr>
                <w:sz w:val="17"/>
                <w:szCs w:val="17"/>
                <w:lang w:val="en-GB"/>
              </w:rPr>
              <w:t>Gradually easing; phased liberalisation ongoing</w:t>
            </w:r>
          </w:p>
        </w:tc>
      </w:tr>
    </w:tbl>
    <w:p w14:paraId="17C4EB86" w14:textId="77777777" w:rsidR="002A44AE" w:rsidRPr="007D70CF" w:rsidRDefault="00000000">
      <w:pPr>
        <w:rPr>
          <w:lang w:val="en-GB"/>
        </w:rPr>
      </w:pPr>
      <w:r w:rsidRPr="007D70CF">
        <w:rPr>
          <w:lang w:val="en-GB"/>
        </w:rPr>
        <w:br w:type="page"/>
      </w:r>
    </w:p>
    <w:p w14:paraId="788C28A7" w14:textId="77777777" w:rsidR="002A44AE" w:rsidRPr="007D70CF" w:rsidRDefault="00000000">
      <w:pPr>
        <w:pStyle w:val="Ttulo1"/>
        <w:rPr>
          <w:lang w:val="en-GB"/>
        </w:rPr>
      </w:pPr>
      <w:r w:rsidRPr="007D70CF">
        <w:rPr>
          <w:lang w:val="en-GB"/>
        </w:rPr>
        <w:lastRenderedPageBreak/>
        <w:t>2. Detailed Discussion of Key Periods</w:t>
      </w:r>
    </w:p>
    <w:p w14:paraId="3400789E" w14:textId="77777777" w:rsidR="002A44AE" w:rsidRPr="007D70CF" w:rsidRDefault="00000000">
      <w:pPr>
        <w:pStyle w:val="Ttulo2"/>
        <w:rPr>
          <w:lang w:val="en-GB"/>
        </w:rPr>
      </w:pPr>
      <w:r w:rsidRPr="007D70CF">
        <w:rPr>
          <w:lang w:val="en-GB"/>
        </w:rPr>
        <w:t>2.1 The Dollar Peg Era (2000–2008)</w:t>
      </w:r>
    </w:p>
    <w:p w14:paraId="11201919" w14:textId="39EED2BE" w:rsidR="002A44AE" w:rsidRPr="007D70CF" w:rsidRDefault="00000000" w:rsidP="007D70CF">
      <w:pPr>
        <w:spacing w:after="200" w:line="360" w:lineRule="auto"/>
        <w:rPr>
          <w:lang w:val="en-GB"/>
        </w:rPr>
      </w:pPr>
      <w:r w:rsidRPr="007D70CF">
        <w:rPr>
          <w:lang w:val="en-GB"/>
        </w:rPr>
        <w:t>Throughout 2000–2008, the NBU maintained what Calvo and Reinhart (2002) would classify as a textbook case of “fear of floating.”</w:t>
      </w:r>
      <w:r w:rsidRPr="007D70CF">
        <w:rPr>
          <w:rStyle w:val="Refdenotaderodap"/>
          <w:lang w:val="en-GB"/>
        </w:rPr>
        <w:footnoteReference w:id="3"/>
      </w:r>
      <w:r w:rsidRPr="007D70CF">
        <w:rPr>
          <w:lang w:val="en-GB"/>
        </w:rPr>
        <w:t xml:space="preserve"> While the de jure regime was described as “managed floating,” the NBU intervened heavily in the FX market to maintain the hryvnia within a narrow band around the US dollar. The rate stabilised at approximately UAH 5.4/USD after the 1998–99 </w:t>
      </w:r>
      <w:r w:rsidR="007D70CF" w:rsidRPr="007D70CF">
        <w:rPr>
          <w:lang w:val="en-GB"/>
        </w:rPr>
        <w:t>crisis and</w:t>
      </w:r>
      <w:r w:rsidRPr="007D70CF">
        <w:rPr>
          <w:lang w:val="en-GB"/>
        </w:rPr>
        <w:t xml:space="preserve"> was formalised as an official peg at UAH 5.05/USD on 21 April 2005. During this period, the impossible trinity was binding: with the exchange rate anchored and capital flows increasingly open, the NBU effectively surrendered independent monetary policy. Interest rates were subordinated to the exchange-rate target, and domestic inflation</w:t>
      </w:r>
      <w:r w:rsidR="007D70CF">
        <w:rPr>
          <w:lang w:val="en-GB"/>
        </w:rPr>
        <w:t xml:space="preserve">, </w:t>
      </w:r>
      <w:r w:rsidRPr="007D70CF">
        <w:rPr>
          <w:lang w:val="en-GB"/>
        </w:rPr>
        <w:t>which averaged 9–12% annually and spiked above 25% in 2008</w:t>
      </w:r>
      <w:r w:rsidR="007D70CF">
        <w:rPr>
          <w:lang w:val="en-GB"/>
        </w:rPr>
        <w:t xml:space="preserve">, </w:t>
      </w:r>
      <w:r w:rsidRPr="007D70CF">
        <w:rPr>
          <w:lang w:val="en-GB"/>
        </w:rPr>
        <w:t>was largely determined by external commodity prices and the expansionary fiscal stance, not by active NBU policy.</w:t>
      </w:r>
    </w:p>
    <w:p w14:paraId="176F8371" w14:textId="77777777" w:rsidR="002A44AE" w:rsidRPr="007D70CF" w:rsidRDefault="00000000">
      <w:pPr>
        <w:pStyle w:val="Ttulo2"/>
        <w:rPr>
          <w:lang w:val="en-GB"/>
        </w:rPr>
      </w:pPr>
      <w:r w:rsidRPr="007D70CF">
        <w:rPr>
          <w:lang w:val="en-GB"/>
        </w:rPr>
        <w:t>2.2 The 2008–2009 Crisis and Forced Devaluation</w:t>
      </w:r>
    </w:p>
    <w:p w14:paraId="2C1231BC" w14:textId="77777777" w:rsidR="002A44AE" w:rsidRPr="007D70CF" w:rsidRDefault="00000000" w:rsidP="007D70CF">
      <w:pPr>
        <w:spacing w:after="200" w:line="360" w:lineRule="auto"/>
        <w:rPr>
          <w:lang w:val="en-GB"/>
        </w:rPr>
      </w:pPr>
      <w:r w:rsidRPr="007D70CF">
        <w:rPr>
          <w:lang w:val="en-GB"/>
        </w:rPr>
        <w:t>The global financial crisis triggered a sudden stop in capital flows and a collapse in steel and commodity export revenues. The NBU was forced to abandon the peg in October 2008, and the hryvnia depreciated approximately 38% in under three months (from UAH 4.85 to UAH 7.88/USD). A new de facto peg was established at approximately UAH 8.0/USD, which would hold until 2014. This episode demonstrated the fundamental vulnerability of Ukraine’s peg regime: the exchange rate served as a shock absorber of last resort, but only through disorderly, large devaluations rather than gradual adjustment. FX reserves, which had peaked near $38 billion, were depleted rapidly. An IMF Stand-By Arrangement was activated to support the balance of payments.</w:t>
      </w:r>
    </w:p>
    <w:p w14:paraId="510ACF2A" w14:textId="77777777" w:rsidR="002A44AE" w:rsidRPr="007D70CF" w:rsidRDefault="00000000">
      <w:pPr>
        <w:pStyle w:val="Ttulo2"/>
        <w:rPr>
          <w:lang w:val="en-GB"/>
        </w:rPr>
      </w:pPr>
      <w:r w:rsidRPr="007D70CF">
        <w:rPr>
          <w:lang w:val="en-GB"/>
        </w:rPr>
        <w:t>2.3 The 2014–2015 Crisis: Euromaidan, Crimea, and the Float</w:t>
      </w:r>
    </w:p>
    <w:p w14:paraId="26BA5E3E" w14:textId="4DAFB998" w:rsidR="002A44AE" w:rsidRPr="007D70CF" w:rsidRDefault="00000000" w:rsidP="007D70CF">
      <w:pPr>
        <w:spacing w:after="200" w:line="360" w:lineRule="auto"/>
        <w:rPr>
          <w:lang w:val="en-GB"/>
        </w:rPr>
      </w:pPr>
      <w:r w:rsidRPr="007D70CF">
        <w:rPr>
          <w:lang w:val="en-GB"/>
        </w:rPr>
        <w:t xml:space="preserve">The most dramatic regime </w:t>
      </w:r>
      <w:proofErr w:type="gramStart"/>
      <w:r w:rsidRPr="007D70CF">
        <w:rPr>
          <w:lang w:val="en-GB"/>
        </w:rPr>
        <w:t>change</w:t>
      </w:r>
      <w:proofErr w:type="gramEnd"/>
      <w:r w:rsidRPr="007D70CF">
        <w:rPr>
          <w:lang w:val="en-GB"/>
        </w:rPr>
        <w:t xml:space="preserve"> in the sample period occurred in February 2014. Following the Euromaidan revolution and the Russian annexation of Crimea, capital flight accelerated and the NBU was forced to allow the hryvnia to float (7 February 2014). The currency depreciated from UAH 8.15/USD to a record low of approximately UAH 33/USD by late February 2015</w:t>
      </w:r>
      <w:r w:rsidR="007D70CF">
        <w:rPr>
          <w:lang w:val="en-GB"/>
        </w:rPr>
        <w:t xml:space="preserve">, </w:t>
      </w:r>
      <w:r w:rsidRPr="007D70CF">
        <w:rPr>
          <w:lang w:val="en-GB"/>
        </w:rPr>
        <w:t xml:space="preserve">a cumulative depreciation exceeding 70%. This crisis marked the definitive end of the dollar-peg era. The NBU introduced severe capital controls in March 2015, including a 75% mandatory FX sale requirement and a ban on dividend repatriation. Year-on-year inflation reached 60.9% in </w:t>
      </w:r>
      <w:r w:rsidRPr="007D70CF">
        <w:rPr>
          <w:lang w:val="en-GB"/>
        </w:rPr>
        <w:lastRenderedPageBreak/>
        <w:t>April 2015—the highest in the sample. A $17.5 billion IMF Extended Fund Facility was approved in March 2015, conditional on the NBU’s commitment to adopt inflation targeting.</w:t>
      </w:r>
    </w:p>
    <w:p w14:paraId="56BE3E26" w14:textId="77777777" w:rsidR="002A44AE" w:rsidRPr="007D70CF" w:rsidRDefault="00000000">
      <w:pPr>
        <w:pStyle w:val="Ttulo2"/>
        <w:rPr>
          <w:lang w:val="en-GB"/>
        </w:rPr>
      </w:pPr>
      <w:r w:rsidRPr="007D70CF">
        <w:rPr>
          <w:lang w:val="en-GB"/>
        </w:rPr>
        <w:t>2.4 Inflation Targeting Adoption (2015–2022)</w:t>
      </w:r>
    </w:p>
    <w:p w14:paraId="5B631889" w14:textId="77777777" w:rsidR="002A44AE" w:rsidRPr="007D70CF" w:rsidRDefault="00000000" w:rsidP="007D70CF">
      <w:pPr>
        <w:spacing w:after="200" w:line="360" w:lineRule="auto"/>
        <w:rPr>
          <w:lang w:val="en-GB"/>
        </w:rPr>
      </w:pPr>
      <w:r w:rsidRPr="007D70CF">
        <w:rPr>
          <w:lang w:val="en-GB"/>
        </w:rPr>
        <w:t>The NBU formally adopted an inflation-targeting framework on 18 August 2015 (Board Resolution No. 541).</w:t>
      </w:r>
      <w:r w:rsidRPr="007D70CF">
        <w:rPr>
          <w:rStyle w:val="Refdenotaderodap"/>
          <w:lang w:val="en-GB"/>
        </w:rPr>
        <w:footnoteReference w:id="4"/>
      </w:r>
      <w:r w:rsidRPr="007D70CF">
        <w:rPr>
          <w:lang w:val="en-GB"/>
        </w:rPr>
        <w:t xml:space="preserve"> The initial target was 8% ±2 percentage points, with a convergence path toward 5% by 2019–2020. The NBU’s institutional independence was strengthened by law in September 2015. This represents the only sustained period in the sample where Ukraine exercised genuine monetary sovereignty: the key policy rate became the primary instrument, the exchange rate floated (though with occasional smoothing interventions), and capital controls were progressively eased. By 2019–2020, inflation had converged near the 5% target—a remarkable achievement. The monetary transmission mechanism functioned through the interest rate channel, as documented by Nikolaychuk and </w:t>
      </w:r>
      <w:proofErr w:type="spellStart"/>
      <w:r w:rsidRPr="007D70CF">
        <w:rPr>
          <w:lang w:val="en-GB"/>
        </w:rPr>
        <w:t>Shpanel</w:t>
      </w:r>
      <w:proofErr w:type="spellEnd"/>
      <w:r w:rsidRPr="007D70CF">
        <w:rPr>
          <w:lang w:val="en-GB"/>
        </w:rPr>
        <w:t xml:space="preserve"> (2016) and subsequent NBU research on neutral rates (</w:t>
      </w:r>
      <w:proofErr w:type="spellStart"/>
      <w:r w:rsidRPr="007D70CF">
        <w:rPr>
          <w:lang w:val="en-GB"/>
        </w:rPr>
        <w:t>Grui</w:t>
      </w:r>
      <w:proofErr w:type="spellEnd"/>
      <w:r w:rsidRPr="007D70CF">
        <w:rPr>
          <w:lang w:val="en-GB"/>
        </w:rPr>
        <w:t xml:space="preserve">, </w:t>
      </w:r>
      <w:proofErr w:type="spellStart"/>
      <w:r w:rsidRPr="007D70CF">
        <w:rPr>
          <w:lang w:val="en-GB"/>
        </w:rPr>
        <w:t>Lepushynskyi</w:t>
      </w:r>
      <w:proofErr w:type="spellEnd"/>
      <w:r w:rsidRPr="007D70CF">
        <w:rPr>
          <w:lang w:val="en-GB"/>
        </w:rPr>
        <w:t>, and Nikolaychuk, 2018).</w:t>
      </w:r>
    </w:p>
    <w:p w14:paraId="03B12CB8" w14:textId="77777777" w:rsidR="002A44AE" w:rsidRPr="007D70CF" w:rsidRDefault="00000000">
      <w:pPr>
        <w:pStyle w:val="Ttulo2"/>
        <w:rPr>
          <w:lang w:val="en-GB"/>
        </w:rPr>
      </w:pPr>
      <w:r w:rsidRPr="007D70CF">
        <w:rPr>
          <w:lang w:val="en-GB"/>
        </w:rPr>
        <w:t>2.5 Wartime Fixed Rate and Return to Managed Flexibility (2022–present)</w:t>
      </w:r>
    </w:p>
    <w:p w14:paraId="3F0D465E" w14:textId="77777777" w:rsidR="002A44AE" w:rsidRPr="007D70CF" w:rsidRDefault="00000000" w:rsidP="009B48B6">
      <w:pPr>
        <w:spacing w:after="200" w:line="360" w:lineRule="auto"/>
        <w:rPr>
          <w:lang w:val="en-GB"/>
        </w:rPr>
      </w:pPr>
      <w:r w:rsidRPr="007D70CF">
        <w:rPr>
          <w:lang w:val="en-GB"/>
        </w:rPr>
        <w:t>Russia’s full-scale invasion on 24 February 2022 prompted the NBU to suspend inflation targeting and fix the exchange rate at UAH 29.25/USD as an emergency anchor.</w:t>
      </w:r>
      <w:r w:rsidRPr="007D70CF">
        <w:rPr>
          <w:rStyle w:val="Refdenotaderodap"/>
          <w:lang w:val="en-GB"/>
        </w:rPr>
        <w:footnoteReference w:id="5"/>
      </w:r>
      <w:r w:rsidRPr="007D70CF">
        <w:rPr>
          <w:lang w:val="en-GB"/>
        </w:rPr>
        <w:t xml:space="preserve"> Comprehensive capital controls were reimposed (Resolution No. 18). On 21 July 2022, the rate was devalued by 25% to UAH 36.57/USD to reduce the gap with the parallel market. Inflation peaked near 27% in late 2022. From 3 October 2023, the NBU transitioned to managed flexibility, allowing the rate to be determined in the interbank market. A revised “flexible inflation targeting” framework was adopted in September 2024 with a </w:t>
      </w:r>
      <w:proofErr w:type="gramStart"/>
      <w:r w:rsidRPr="007D70CF">
        <w:rPr>
          <w:lang w:val="en-GB"/>
        </w:rPr>
        <w:t>5% point</w:t>
      </w:r>
      <w:proofErr w:type="gramEnd"/>
      <w:r w:rsidRPr="007D70CF">
        <w:rPr>
          <w:lang w:val="en-GB"/>
        </w:rPr>
        <w:t xml:space="preserve"> target and an extended 3-year policy horizon.</w:t>
      </w:r>
      <w:r w:rsidRPr="007D70CF">
        <w:rPr>
          <w:rStyle w:val="Refdenotaderodap"/>
          <w:lang w:val="en-GB"/>
        </w:rPr>
        <w:footnoteReference w:id="6"/>
      </w:r>
      <w:r w:rsidRPr="007D70CF">
        <w:rPr>
          <w:lang w:val="en-GB"/>
        </w:rPr>
        <w:t xml:space="preserve"> Capital controls continue to be eased gradually.</w:t>
      </w:r>
    </w:p>
    <w:p w14:paraId="7B514E79" w14:textId="77777777" w:rsidR="002A44AE" w:rsidRPr="007D70CF" w:rsidRDefault="00000000">
      <w:pPr>
        <w:rPr>
          <w:lang w:val="en-GB"/>
        </w:rPr>
      </w:pPr>
      <w:r w:rsidRPr="007D70CF">
        <w:rPr>
          <w:lang w:val="en-GB"/>
        </w:rPr>
        <w:br w:type="page"/>
      </w:r>
    </w:p>
    <w:p w14:paraId="793C7F59" w14:textId="77777777" w:rsidR="002A44AE" w:rsidRPr="007D70CF" w:rsidRDefault="00000000">
      <w:pPr>
        <w:pStyle w:val="Ttulo1"/>
        <w:rPr>
          <w:lang w:val="en-GB"/>
        </w:rPr>
      </w:pPr>
      <w:r w:rsidRPr="007D70CF">
        <w:rPr>
          <w:lang w:val="en-GB"/>
        </w:rPr>
        <w:lastRenderedPageBreak/>
        <w:t>3. Monetary Sovereignty and Implications for the Counterfactual</w:t>
      </w:r>
    </w:p>
    <w:p w14:paraId="20EE823A" w14:textId="575C35B4" w:rsidR="002A44AE" w:rsidRPr="007D70CF" w:rsidRDefault="00000000" w:rsidP="009B48B6">
      <w:pPr>
        <w:spacing w:after="200" w:line="360" w:lineRule="auto"/>
        <w:rPr>
          <w:lang w:val="en-GB"/>
        </w:rPr>
      </w:pPr>
      <w:r w:rsidRPr="007D70CF">
        <w:rPr>
          <w:lang w:val="en-GB"/>
        </w:rPr>
        <w:t xml:space="preserve">The chronology reveals a critical asymmetry for the counterfactual exercise. Ukraine had </w:t>
      </w:r>
      <w:r w:rsidR="009B48B6">
        <w:rPr>
          <w:b/>
          <w:bCs/>
          <w:lang w:val="en-GB"/>
        </w:rPr>
        <w:t xml:space="preserve">an </w:t>
      </w:r>
      <w:r w:rsidR="009B48B6" w:rsidRPr="009B48B6">
        <w:rPr>
          <w:lang w:val="en-GB"/>
        </w:rPr>
        <w:t>actual</w:t>
      </w:r>
      <w:r w:rsidRPr="009B48B6">
        <w:rPr>
          <w:lang w:val="en-GB"/>
        </w:rPr>
        <w:t xml:space="preserve"> monetary sovereignty for only a brief window</w:t>
      </w:r>
      <w:r w:rsidR="009B48B6">
        <w:rPr>
          <w:lang w:val="en-GB"/>
        </w:rPr>
        <w:t xml:space="preserve"> (</w:t>
      </w:r>
      <w:r w:rsidRPr="007D70CF">
        <w:rPr>
          <w:lang w:val="en-GB"/>
        </w:rPr>
        <w:t>approximately 2016–2022</w:t>
      </w:r>
      <w:r w:rsidR="009B48B6">
        <w:rPr>
          <w:lang w:val="en-GB"/>
        </w:rPr>
        <w:t xml:space="preserve">) </w:t>
      </w:r>
      <w:r w:rsidRPr="007D70CF">
        <w:rPr>
          <w:lang w:val="en-GB"/>
        </w:rPr>
        <w:t xml:space="preserve">when the inflation-targeting framework was operational and the exchange rate floated. During the long dollar-peg </w:t>
      </w:r>
      <w:r w:rsidR="009B48B6" w:rsidRPr="007D70CF">
        <w:rPr>
          <w:lang w:val="en-GB"/>
        </w:rPr>
        <w:t>periods, the</w:t>
      </w:r>
      <w:r w:rsidRPr="007D70CF">
        <w:rPr>
          <w:lang w:val="en-GB"/>
        </w:rPr>
        <w:t xml:space="preserve"> NBU’s monetary policy was </w:t>
      </w:r>
      <w:r w:rsidRPr="007D70CF">
        <w:rPr>
          <w:i/>
          <w:iCs/>
          <w:lang w:val="en-GB"/>
        </w:rPr>
        <w:t>de facto constrained by the exchange-rate anchor</w:t>
      </w:r>
      <w:r w:rsidRPr="007D70CF">
        <w:rPr>
          <w:lang w:val="en-GB"/>
        </w:rPr>
        <w:t xml:space="preserve">. Under the peg, the impossible trinity </w:t>
      </w:r>
      <w:proofErr w:type="gramStart"/>
      <w:r w:rsidRPr="007D70CF">
        <w:rPr>
          <w:lang w:val="en-GB"/>
        </w:rPr>
        <w:t>bound:</w:t>
      </w:r>
      <w:proofErr w:type="gramEnd"/>
      <w:r w:rsidRPr="007D70CF">
        <w:rPr>
          <w:lang w:val="en-GB"/>
        </w:rPr>
        <w:t xml:space="preserve"> with open (or opening) capital flows, fixing the exchange rate meant forfeiting independent interest-rate policy. In these periods, Ukraine’s monetary regime was already functionally similar to a fixed exchange-rate arrangement</w:t>
      </w:r>
      <w:r w:rsidR="009B48B6">
        <w:rPr>
          <w:lang w:val="en-GB"/>
        </w:rPr>
        <w:t>.</w:t>
      </w:r>
    </w:p>
    <w:p w14:paraId="7906BF83" w14:textId="4B354194" w:rsidR="002A44AE" w:rsidRPr="007D70CF" w:rsidRDefault="00000000" w:rsidP="009B48B6">
      <w:pPr>
        <w:spacing w:after="200" w:line="360" w:lineRule="auto"/>
        <w:rPr>
          <w:lang w:val="en-GB"/>
        </w:rPr>
      </w:pPr>
      <w:r w:rsidRPr="007D70CF">
        <w:rPr>
          <w:lang w:val="en-GB"/>
        </w:rPr>
        <w:t>This has a direct implication for the counterfactual “treatment” of Euro Area membership. During the peg periods, hypothetical euro adoption would not have represented a large change in monetary regime</w:t>
      </w:r>
      <w:r w:rsidR="009B48B6">
        <w:rPr>
          <w:lang w:val="en-GB"/>
        </w:rPr>
        <w:t xml:space="preserve">, as </w:t>
      </w:r>
      <w:r w:rsidRPr="007D70CF">
        <w:rPr>
          <w:lang w:val="en-GB"/>
        </w:rPr>
        <w:t>Ukraine was already constrained</w:t>
      </w:r>
      <w:r w:rsidR="009B48B6">
        <w:rPr>
          <w:lang w:val="en-GB"/>
        </w:rPr>
        <w:t xml:space="preserve"> by the peg</w:t>
      </w:r>
      <w:r w:rsidRPr="007D70CF">
        <w:rPr>
          <w:lang w:val="en-GB"/>
        </w:rPr>
        <w:t xml:space="preserve">. </w:t>
      </w:r>
      <w:r w:rsidRPr="009B48B6">
        <w:rPr>
          <w:lang w:val="en-GB"/>
        </w:rPr>
        <w:t>The counterfactual treatment is therefore concentrated in the episodes where Ukraine deviated from its peg</w:t>
      </w:r>
      <w:r w:rsidRPr="007D70CF">
        <w:rPr>
          <w:lang w:val="en-GB"/>
        </w:rPr>
        <w:t>: the three major devaluation crises (2008, 2014–2015, 2022) and the post-2016 inflation-targeting period. Under Euro Area membership, these devaluations would have been impossible; adjustment would instead have occurred through internal devaluation (wage and price deflation)—as experienced by Greece, Ireland, and the Baltic states. The identification strategy for Part B must account for this time-varying treatment intensity.</w:t>
      </w:r>
    </w:p>
    <w:p w14:paraId="12EDF9A2" w14:textId="77777777" w:rsidR="002A44AE" w:rsidRPr="007D70CF" w:rsidRDefault="00000000">
      <w:pPr>
        <w:pStyle w:val="Ttulo1"/>
        <w:rPr>
          <w:lang w:val="en-GB"/>
        </w:rPr>
      </w:pPr>
      <w:r w:rsidRPr="007D70CF">
        <w:rPr>
          <w:lang w:val="en-GB"/>
        </w:rPr>
        <w:t>4. Sources</w:t>
      </w:r>
    </w:p>
    <w:p w14:paraId="4E8E64B0" w14:textId="77777777" w:rsidR="002A44AE" w:rsidRPr="007D70CF" w:rsidRDefault="00000000" w:rsidP="009B48B6">
      <w:pPr>
        <w:spacing w:before="40" w:after="40" w:line="360" w:lineRule="auto"/>
        <w:ind w:left="360" w:hanging="360"/>
        <w:rPr>
          <w:lang w:val="en-GB"/>
        </w:rPr>
      </w:pPr>
      <w:r w:rsidRPr="007D70CF">
        <w:rPr>
          <w:sz w:val="20"/>
          <w:szCs w:val="20"/>
          <w:lang w:val="en-GB"/>
        </w:rPr>
        <w:t>Banque de France (2023), “Monetary policy in times of war: the case of Ukraine.”</w:t>
      </w:r>
    </w:p>
    <w:p w14:paraId="47B98D8D" w14:textId="77777777" w:rsidR="002A44AE" w:rsidRPr="007D70CF" w:rsidRDefault="00000000" w:rsidP="009B48B6">
      <w:pPr>
        <w:spacing w:before="40" w:after="40" w:line="360" w:lineRule="auto"/>
        <w:ind w:left="360" w:hanging="360"/>
        <w:rPr>
          <w:lang w:val="en-GB"/>
        </w:rPr>
      </w:pPr>
      <w:r w:rsidRPr="007D70CF">
        <w:rPr>
          <w:sz w:val="20"/>
          <w:szCs w:val="20"/>
          <w:lang w:val="en-GB"/>
        </w:rPr>
        <w:t>Calvo, G. and Reinhart, C. (2002), “Fear of Floating,” Quarterly Journal of Economics, 117(2), pp. 379–408.</w:t>
      </w:r>
    </w:p>
    <w:p w14:paraId="34783D5B" w14:textId="77777777" w:rsidR="002A44AE" w:rsidRPr="007D70CF" w:rsidRDefault="00000000" w:rsidP="009B48B6">
      <w:pPr>
        <w:spacing w:before="40" w:after="40" w:line="360" w:lineRule="auto"/>
        <w:ind w:left="360" w:hanging="360"/>
        <w:rPr>
          <w:lang w:val="en-GB"/>
        </w:rPr>
      </w:pPr>
      <w:r w:rsidRPr="007D70CF">
        <w:rPr>
          <w:sz w:val="20"/>
          <w:szCs w:val="20"/>
          <w:lang w:val="en-GB"/>
        </w:rPr>
        <w:t xml:space="preserve">Grui, A., </w:t>
      </w:r>
      <w:proofErr w:type="spellStart"/>
      <w:r w:rsidRPr="007D70CF">
        <w:rPr>
          <w:sz w:val="20"/>
          <w:szCs w:val="20"/>
          <w:lang w:val="en-GB"/>
        </w:rPr>
        <w:t>Lepushynskyi</w:t>
      </w:r>
      <w:proofErr w:type="spellEnd"/>
      <w:r w:rsidRPr="007D70CF">
        <w:rPr>
          <w:sz w:val="20"/>
          <w:szCs w:val="20"/>
          <w:lang w:val="en-GB"/>
        </w:rPr>
        <w:t xml:space="preserve">, V. and Nikolaychuk, S. (2018), “A Neutral Real Interest Rate in a Small Open Economy: Application to Ukraine,” </w:t>
      </w:r>
      <w:proofErr w:type="spellStart"/>
      <w:r w:rsidRPr="007D70CF">
        <w:rPr>
          <w:sz w:val="20"/>
          <w:szCs w:val="20"/>
          <w:lang w:val="en-GB"/>
        </w:rPr>
        <w:t>Visnyk</w:t>
      </w:r>
      <w:proofErr w:type="spellEnd"/>
      <w:r w:rsidRPr="007D70CF">
        <w:rPr>
          <w:sz w:val="20"/>
          <w:szCs w:val="20"/>
          <w:lang w:val="en-GB"/>
        </w:rPr>
        <w:t xml:space="preserve"> of the National Bank of Ukraine.</w:t>
      </w:r>
    </w:p>
    <w:p w14:paraId="03D68B74" w14:textId="77777777" w:rsidR="002A44AE" w:rsidRPr="007D70CF" w:rsidRDefault="00000000" w:rsidP="009B48B6">
      <w:pPr>
        <w:spacing w:before="40" w:after="40" w:line="360" w:lineRule="auto"/>
        <w:ind w:left="360" w:hanging="360"/>
        <w:rPr>
          <w:lang w:val="en-GB"/>
        </w:rPr>
      </w:pPr>
      <w:r w:rsidRPr="007D70CF">
        <w:rPr>
          <w:sz w:val="20"/>
          <w:szCs w:val="20"/>
          <w:lang w:val="en-GB"/>
        </w:rPr>
        <w:t>IMF, Annual Report on Exchange Arrangements and Exchange Restrictions (AREAER), various years.</w:t>
      </w:r>
    </w:p>
    <w:p w14:paraId="58B087E1" w14:textId="77777777" w:rsidR="002A44AE" w:rsidRPr="007D70CF" w:rsidRDefault="00000000" w:rsidP="009B48B6">
      <w:pPr>
        <w:spacing w:before="40" w:after="40" w:line="360" w:lineRule="auto"/>
        <w:ind w:left="360" w:hanging="360"/>
        <w:rPr>
          <w:lang w:val="en-GB"/>
        </w:rPr>
      </w:pPr>
      <w:r w:rsidRPr="007D70CF">
        <w:rPr>
          <w:sz w:val="20"/>
          <w:szCs w:val="20"/>
          <w:lang w:val="en-GB"/>
        </w:rPr>
        <w:t>IMF, Ukraine: Article IV Consultation Staff Reports, 2004, 2008, 2013, 2016.</w:t>
      </w:r>
    </w:p>
    <w:p w14:paraId="0759990F" w14:textId="77777777" w:rsidR="002A44AE" w:rsidRPr="007D70CF" w:rsidRDefault="00000000" w:rsidP="009B48B6">
      <w:pPr>
        <w:spacing w:before="40" w:after="40" w:line="360" w:lineRule="auto"/>
        <w:ind w:left="360" w:hanging="360"/>
        <w:rPr>
          <w:lang w:val="en-GB"/>
        </w:rPr>
      </w:pPr>
      <w:r w:rsidRPr="007D70CF">
        <w:rPr>
          <w:sz w:val="20"/>
          <w:szCs w:val="20"/>
          <w:lang w:val="en-GB"/>
        </w:rPr>
        <w:t>National Bank of Ukraine (2015), Resolution No. 541 on Inflation Targeting.</w:t>
      </w:r>
    </w:p>
    <w:p w14:paraId="13519185" w14:textId="77777777" w:rsidR="002A44AE" w:rsidRPr="007D70CF" w:rsidRDefault="00000000" w:rsidP="009B48B6">
      <w:pPr>
        <w:spacing w:before="40" w:after="40" w:line="360" w:lineRule="auto"/>
        <w:ind w:left="360" w:hanging="360"/>
        <w:rPr>
          <w:lang w:val="en-GB"/>
        </w:rPr>
      </w:pPr>
      <w:r w:rsidRPr="007D70CF">
        <w:rPr>
          <w:sz w:val="20"/>
          <w:szCs w:val="20"/>
          <w:lang w:val="en-GB"/>
        </w:rPr>
        <w:t>National Bank of Ukraine (2024), Key Principles of Monetary Policy (Flexible IT framework).</w:t>
      </w:r>
    </w:p>
    <w:p w14:paraId="3B485037" w14:textId="77777777" w:rsidR="002A44AE" w:rsidRPr="007D70CF" w:rsidRDefault="00000000" w:rsidP="009B48B6">
      <w:pPr>
        <w:spacing w:before="40" w:after="40" w:line="360" w:lineRule="auto"/>
        <w:ind w:left="360" w:hanging="360"/>
        <w:rPr>
          <w:lang w:val="en-GB"/>
        </w:rPr>
      </w:pPr>
      <w:r w:rsidRPr="007D70CF">
        <w:rPr>
          <w:sz w:val="20"/>
          <w:szCs w:val="20"/>
          <w:lang w:val="en-GB"/>
        </w:rPr>
        <w:t xml:space="preserve">Nikolaychuk, S. and </w:t>
      </w:r>
      <w:proofErr w:type="spellStart"/>
      <w:r w:rsidRPr="007D70CF">
        <w:rPr>
          <w:sz w:val="20"/>
          <w:szCs w:val="20"/>
          <w:lang w:val="en-GB"/>
        </w:rPr>
        <w:t>Shpanel</w:t>
      </w:r>
      <w:proofErr w:type="spellEnd"/>
      <w:r w:rsidRPr="007D70CF">
        <w:rPr>
          <w:sz w:val="20"/>
          <w:szCs w:val="20"/>
          <w:lang w:val="en-GB"/>
        </w:rPr>
        <w:t xml:space="preserve">, Y. (2016), “Using Macroeconomic Models for Monetary Policy in Ukraine,” </w:t>
      </w:r>
      <w:proofErr w:type="spellStart"/>
      <w:r w:rsidRPr="007D70CF">
        <w:rPr>
          <w:sz w:val="20"/>
          <w:szCs w:val="20"/>
          <w:lang w:val="en-GB"/>
        </w:rPr>
        <w:t>Visnyk</w:t>
      </w:r>
      <w:proofErr w:type="spellEnd"/>
      <w:r w:rsidRPr="007D70CF">
        <w:rPr>
          <w:sz w:val="20"/>
          <w:szCs w:val="20"/>
          <w:lang w:val="en-GB"/>
        </w:rPr>
        <w:t xml:space="preserve"> of the National Bank of Ukraine.</w:t>
      </w:r>
    </w:p>
    <w:p w14:paraId="603A30F6" w14:textId="77777777" w:rsidR="002A44AE" w:rsidRPr="007D70CF" w:rsidRDefault="00000000" w:rsidP="009B48B6">
      <w:pPr>
        <w:spacing w:before="40" w:after="40" w:line="360" w:lineRule="auto"/>
        <w:ind w:left="360" w:hanging="360"/>
        <w:rPr>
          <w:lang w:val="en-GB"/>
        </w:rPr>
      </w:pPr>
      <w:r w:rsidRPr="007D70CF">
        <w:rPr>
          <w:sz w:val="20"/>
          <w:szCs w:val="20"/>
          <w:lang w:val="en-GB"/>
        </w:rPr>
        <w:t>Petryk, O. (2006), “History of Monetary Development in Ukraine,” Bank and Credit, National Bank of Poland.</w:t>
      </w:r>
    </w:p>
    <w:p w14:paraId="3375252F" w14:textId="77777777" w:rsidR="002A44AE" w:rsidRPr="007D70CF" w:rsidRDefault="00000000" w:rsidP="009B48B6">
      <w:pPr>
        <w:spacing w:before="40" w:after="40" w:line="360" w:lineRule="auto"/>
        <w:ind w:left="360" w:hanging="360"/>
        <w:rPr>
          <w:lang w:val="en-GB"/>
        </w:rPr>
      </w:pPr>
      <w:proofErr w:type="spellStart"/>
      <w:r w:rsidRPr="007D70CF">
        <w:rPr>
          <w:sz w:val="20"/>
          <w:szCs w:val="20"/>
          <w:lang w:val="en-GB"/>
        </w:rPr>
        <w:t>VoxUkraine</w:t>
      </w:r>
      <w:proofErr w:type="spellEnd"/>
      <w:r w:rsidRPr="007D70CF">
        <w:rPr>
          <w:sz w:val="20"/>
          <w:szCs w:val="20"/>
          <w:lang w:val="en-GB"/>
        </w:rPr>
        <w:t xml:space="preserve"> (2025), “A Decade of Inflation Targeting in Ukraine: Lessons for a New Era of Uncertainty.”</w:t>
      </w:r>
    </w:p>
    <w:sectPr w:rsidR="002A44AE" w:rsidRPr="007D70C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6CB4" w14:textId="77777777" w:rsidR="004547B3" w:rsidRDefault="004547B3">
      <w:r>
        <w:separator/>
      </w:r>
    </w:p>
  </w:endnote>
  <w:endnote w:type="continuationSeparator" w:id="0">
    <w:p w14:paraId="5DC0734B" w14:textId="77777777" w:rsidR="004547B3" w:rsidRDefault="00454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E7E6" w14:textId="77777777" w:rsidR="002A44A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F295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E7CE" w14:textId="77777777" w:rsidR="004547B3" w:rsidRDefault="004547B3">
      <w:r>
        <w:separator/>
      </w:r>
    </w:p>
  </w:footnote>
  <w:footnote w:type="continuationSeparator" w:id="0">
    <w:p w14:paraId="06F0FCD2" w14:textId="77777777" w:rsidR="004547B3" w:rsidRDefault="004547B3">
      <w:r>
        <w:continuationSeparator/>
      </w:r>
    </w:p>
  </w:footnote>
  <w:footnote w:id="1">
    <w:p w14:paraId="1B8CAE89" w14:textId="77777777" w:rsidR="002A44AE" w:rsidRDefault="00000000">
      <w:r>
        <w:rPr>
          <w:rStyle w:val="Refdenotaderodap"/>
        </w:rPr>
        <w:footnoteRef/>
      </w:r>
      <w:r>
        <w:rPr>
          <w:i/>
          <w:iCs/>
          <w:sz w:val="18"/>
          <w:szCs w:val="18"/>
        </w:rPr>
        <w:t xml:space="preserve">IMF, Annual Report </w:t>
      </w:r>
      <w:proofErr w:type="spellStart"/>
      <w:r>
        <w:rPr>
          <w:i/>
          <w:iCs/>
          <w:sz w:val="18"/>
          <w:szCs w:val="18"/>
        </w:rPr>
        <w:t>on</w:t>
      </w:r>
      <w:proofErr w:type="spellEnd"/>
      <w:r>
        <w:rPr>
          <w:i/>
          <w:iCs/>
          <w:sz w:val="18"/>
          <w:szCs w:val="18"/>
        </w:rPr>
        <w:t xml:space="preserve"> Exchange </w:t>
      </w:r>
      <w:proofErr w:type="spellStart"/>
      <w:r>
        <w:rPr>
          <w:i/>
          <w:iCs/>
          <w:sz w:val="18"/>
          <w:szCs w:val="18"/>
        </w:rPr>
        <w:t>Arrangements</w:t>
      </w:r>
      <w:proofErr w:type="spellEnd"/>
      <w:r>
        <w:rPr>
          <w:i/>
          <w:iCs/>
          <w:sz w:val="18"/>
          <w:szCs w:val="18"/>
        </w:rPr>
        <w:t xml:space="preserve"> </w:t>
      </w:r>
      <w:proofErr w:type="spellStart"/>
      <w:r>
        <w:rPr>
          <w:i/>
          <w:iCs/>
          <w:sz w:val="18"/>
          <w:szCs w:val="18"/>
        </w:rPr>
        <w:t>and</w:t>
      </w:r>
      <w:proofErr w:type="spellEnd"/>
      <w:r>
        <w:rPr>
          <w:i/>
          <w:iCs/>
          <w:sz w:val="18"/>
          <w:szCs w:val="18"/>
        </w:rPr>
        <w:t xml:space="preserve"> Exchange </w:t>
      </w:r>
      <w:proofErr w:type="spellStart"/>
      <w:r>
        <w:rPr>
          <w:i/>
          <w:iCs/>
          <w:sz w:val="18"/>
          <w:szCs w:val="18"/>
        </w:rPr>
        <w:t>Restrictions</w:t>
      </w:r>
      <w:proofErr w:type="spellEnd"/>
      <w:r>
        <w:rPr>
          <w:sz w:val="18"/>
          <w:szCs w:val="18"/>
        </w:rPr>
        <w:t xml:space="preserve">, </w:t>
      </w:r>
      <w:proofErr w:type="spellStart"/>
      <w:r>
        <w:rPr>
          <w:sz w:val="18"/>
          <w:szCs w:val="18"/>
        </w:rPr>
        <w:t>various</w:t>
      </w:r>
      <w:proofErr w:type="spellEnd"/>
      <w:r>
        <w:rPr>
          <w:sz w:val="18"/>
          <w:szCs w:val="18"/>
        </w:rPr>
        <w:t xml:space="preserve"> </w:t>
      </w:r>
      <w:proofErr w:type="spellStart"/>
      <w:r>
        <w:rPr>
          <w:sz w:val="18"/>
          <w:szCs w:val="18"/>
        </w:rPr>
        <w:t>years</w:t>
      </w:r>
      <w:proofErr w:type="spellEnd"/>
      <w:r>
        <w:rPr>
          <w:sz w:val="18"/>
          <w:szCs w:val="18"/>
        </w:rPr>
        <w:t xml:space="preserve"> (2001–2025).</w:t>
      </w:r>
    </w:p>
  </w:footnote>
  <w:footnote w:id="2">
    <w:p w14:paraId="7F106E9F" w14:textId="77777777" w:rsidR="002A44AE" w:rsidRDefault="00000000">
      <w:r>
        <w:rPr>
          <w:rStyle w:val="Refdenotaderodap"/>
        </w:rPr>
        <w:footnoteRef/>
      </w:r>
      <w:proofErr w:type="spellStart"/>
      <w:r>
        <w:rPr>
          <w:sz w:val="18"/>
          <w:szCs w:val="18"/>
        </w:rPr>
        <w:t>Petryk</w:t>
      </w:r>
      <w:proofErr w:type="spellEnd"/>
      <w:r>
        <w:rPr>
          <w:sz w:val="18"/>
          <w:szCs w:val="18"/>
        </w:rPr>
        <w:t>, O. (2006), “</w:t>
      </w:r>
      <w:proofErr w:type="spellStart"/>
      <w:r>
        <w:rPr>
          <w:sz w:val="18"/>
          <w:szCs w:val="18"/>
        </w:rPr>
        <w:t>History</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Monetary</w:t>
      </w:r>
      <w:proofErr w:type="spellEnd"/>
      <w:r>
        <w:rPr>
          <w:sz w:val="18"/>
          <w:szCs w:val="18"/>
        </w:rPr>
        <w:t xml:space="preserve"> </w:t>
      </w:r>
      <w:proofErr w:type="spellStart"/>
      <w:r>
        <w:rPr>
          <w:sz w:val="18"/>
          <w:szCs w:val="18"/>
        </w:rPr>
        <w:t>Development</w:t>
      </w:r>
      <w:proofErr w:type="spellEnd"/>
      <w:r>
        <w:rPr>
          <w:sz w:val="18"/>
          <w:szCs w:val="18"/>
        </w:rPr>
        <w:t xml:space="preserve"> in </w:t>
      </w:r>
      <w:proofErr w:type="spellStart"/>
      <w:r>
        <w:rPr>
          <w:sz w:val="18"/>
          <w:szCs w:val="18"/>
        </w:rPr>
        <w:t>Ukraine</w:t>
      </w:r>
      <w:proofErr w:type="spellEnd"/>
      <w:r>
        <w:rPr>
          <w:sz w:val="18"/>
          <w:szCs w:val="18"/>
        </w:rPr>
        <w:t xml:space="preserve">,” </w:t>
      </w:r>
      <w:r>
        <w:rPr>
          <w:i/>
          <w:iCs/>
          <w:sz w:val="18"/>
          <w:szCs w:val="18"/>
        </w:rPr>
        <w:t xml:space="preserve">Bank </w:t>
      </w:r>
      <w:proofErr w:type="spellStart"/>
      <w:r>
        <w:rPr>
          <w:i/>
          <w:iCs/>
          <w:sz w:val="18"/>
          <w:szCs w:val="18"/>
        </w:rPr>
        <w:t>and</w:t>
      </w:r>
      <w:proofErr w:type="spellEnd"/>
      <w:r>
        <w:rPr>
          <w:i/>
          <w:iCs/>
          <w:sz w:val="18"/>
          <w:szCs w:val="18"/>
        </w:rPr>
        <w:t xml:space="preserve"> </w:t>
      </w:r>
      <w:proofErr w:type="spellStart"/>
      <w:r>
        <w:rPr>
          <w:i/>
          <w:iCs/>
          <w:sz w:val="18"/>
          <w:szCs w:val="18"/>
        </w:rPr>
        <w:t>Credit</w:t>
      </w:r>
      <w:proofErr w:type="spellEnd"/>
      <w:r>
        <w:rPr>
          <w:sz w:val="18"/>
          <w:szCs w:val="18"/>
        </w:rPr>
        <w:t xml:space="preserve">, </w:t>
      </w:r>
      <w:proofErr w:type="spellStart"/>
      <w:r>
        <w:rPr>
          <w:sz w:val="18"/>
          <w:szCs w:val="18"/>
        </w:rPr>
        <w:t>National</w:t>
      </w:r>
      <w:proofErr w:type="spellEnd"/>
      <w:r>
        <w:rPr>
          <w:sz w:val="18"/>
          <w:szCs w:val="18"/>
        </w:rPr>
        <w:t xml:space="preserve"> Bank </w:t>
      </w:r>
      <w:proofErr w:type="spellStart"/>
      <w:r>
        <w:rPr>
          <w:sz w:val="18"/>
          <w:szCs w:val="18"/>
        </w:rPr>
        <w:t>of</w:t>
      </w:r>
      <w:proofErr w:type="spellEnd"/>
      <w:r>
        <w:rPr>
          <w:sz w:val="18"/>
          <w:szCs w:val="18"/>
        </w:rPr>
        <w:t xml:space="preserve"> </w:t>
      </w:r>
      <w:proofErr w:type="spellStart"/>
      <w:r>
        <w:rPr>
          <w:sz w:val="18"/>
          <w:szCs w:val="18"/>
        </w:rPr>
        <w:t>Poland</w:t>
      </w:r>
      <w:proofErr w:type="spellEnd"/>
      <w:r>
        <w:rPr>
          <w:sz w:val="18"/>
          <w:szCs w:val="18"/>
        </w:rPr>
        <w:t>.</w:t>
      </w:r>
    </w:p>
  </w:footnote>
  <w:footnote w:id="3">
    <w:p w14:paraId="3470B416" w14:textId="77777777" w:rsidR="002A44AE" w:rsidRDefault="00000000">
      <w:r>
        <w:rPr>
          <w:rStyle w:val="Refdenotaderodap"/>
        </w:rPr>
        <w:footnoteRef/>
      </w:r>
      <w:r>
        <w:rPr>
          <w:sz w:val="18"/>
          <w:szCs w:val="18"/>
        </w:rPr>
        <w:t xml:space="preserve">Calvo, G. </w:t>
      </w:r>
      <w:proofErr w:type="spellStart"/>
      <w:r>
        <w:rPr>
          <w:sz w:val="18"/>
          <w:szCs w:val="18"/>
        </w:rPr>
        <w:t>and</w:t>
      </w:r>
      <w:proofErr w:type="spellEnd"/>
      <w:r>
        <w:rPr>
          <w:sz w:val="18"/>
          <w:szCs w:val="18"/>
        </w:rPr>
        <w:t xml:space="preserve"> Reinhart, C. (2002), “Fear </w:t>
      </w:r>
      <w:proofErr w:type="spellStart"/>
      <w:r>
        <w:rPr>
          <w:sz w:val="18"/>
          <w:szCs w:val="18"/>
        </w:rPr>
        <w:t>of</w:t>
      </w:r>
      <w:proofErr w:type="spellEnd"/>
      <w:r>
        <w:rPr>
          <w:sz w:val="18"/>
          <w:szCs w:val="18"/>
        </w:rPr>
        <w:t xml:space="preserve"> Floating,” </w:t>
      </w:r>
      <w:proofErr w:type="spellStart"/>
      <w:r>
        <w:rPr>
          <w:i/>
          <w:iCs/>
          <w:sz w:val="18"/>
          <w:szCs w:val="18"/>
        </w:rPr>
        <w:t>Quarterly</w:t>
      </w:r>
      <w:proofErr w:type="spellEnd"/>
      <w:r>
        <w:rPr>
          <w:i/>
          <w:iCs/>
          <w:sz w:val="18"/>
          <w:szCs w:val="18"/>
        </w:rPr>
        <w:t xml:space="preserve"> </w:t>
      </w:r>
      <w:proofErr w:type="spellStart"/>
      <w:r>
        <w:rPr>
          <w:i/>
          <w:iCs/>
          <w:sz w:val="18"/>
          <w:szCs w:val="18"/>
        </w:rPr>
        <w:t>Journal</w:t>
      </w:r>
      <w:proofErr w:type="spellEnd"/>
      <w:r>
        <w:rPr>
          <w:i/>
          <w:iCs/>
          <w:sz w:val="18"/>
          <w:szCs w:val="18"/>
        </w:rPr>
        <w:t xml:space="preserve"> </w:t>
      </w:r>
      <w:proofErr w:type="spellStart"/>
      <w:r>
        <w:rPr>
          <w:i/>
          <w:iCs/>
          <w:sz w:val="18"/>
          <w:szCs w:val="18"/>
        </w:rPr>
        <w:t>of</w:t>
      </w:r>
      <w:proofErr w:type="spellEnd"/>
      <w:r>
        <w:rPr>
          <w:i/>
          <w:iCs/>
          <w:sz w:val="18"/>
          <w:szCs w:val="18"/>
        </w:rPr>
        <w:t xml:space="preserve"> </w:t>
      </w:r>
      <w:proofErr w:type="spellStart"/>
      <w:r>
        <w:rPr>
          <w:i/>
          <w:iCs/>
          <w:sz w:val="18"/>
          <w:szCs w:val="18"/>
        </w:rPr>
        <w:t>Economics</w:t>
      </w:r>
      <w:proofErr w:type="spellEnd"/>
      <w:r>
        <w:rPr>
          <w:sz w:val="18"/>
          <w:szCs w:val="18"/>
        </w:rPr>
        <w:t>, 117(2), pp. 379–408.</w:t>
      </w:r>
    </w:p>
  </w:footnote>
  <w:footnote w:id="4">
    <w:p w14:paraId="62B9803D" w14:textId="77777777" w:rsidR="002A44AE" w:rsidRDefault="00000000">
      <w:r>
        <w:rPr>
          <w:rStyle w:val="Refdenotaderodap"/>
        </w:rPr>
        <w:footnoteRef/>
      </w:r>
      <w:proofErr w:type="spellStart"/>
      <w:r>
        <w:rPr>
          <w:sz w:val="18"/>
          <w:szCs w:val="18"/>
        </w:rPr>
        <w:t>National</w:t>
      </w:r>
      <w:proofErr w:type="spellEnd"/>
      <w:r>
        <w:rPr>
          <w:sz w:val="18"/>
          <w:szCs w:val="18"/>
        </w:rPr>
        <w:t xml:space="preserve"> Bank </w:t>
      </w:r>
      <w:proofErr w:type="spellStart"/>
      <w:r>
        <w:rPr>
          <w:sz w:val="18"/>
          <w:szCs w:val="18"/>
        </w:rPr>
        <w:t>of</w:t>
      </w:r>
      <w:proofErr w:type="spellEnd"/>
      <w:r>
        <w:rPr>
          <w:sz w:val="18"/>
          <w:szCs w:val="18"/>
        </w:rPr>
        <w:t xml:space="preserve"> </w:t>
      </w:r>
      <w:proofErr w:type="spellStart"/>
      <w:r>
        <w:rPr>
          <w:sz w:val="18"/>
          <w:szCs w:val="18"/>
        </w:rPr>
        <w:t>Ukraine</w:t>
      </w:r>
      <w:proofErr w:type="spellEnd"/>
      <w:r>
        <w:rPr>
          <w:sz w:val="18"/>
          <w:szCs w:val="18"/>
        </w:rPr>
        <w:t xml:space="preserve">, </w:t>
      </w:r>
      <w:proofErr w:type="spellStart"/>
      <w:r>
        <w:rPr>
          <w:sz w:val="18"/>
          <w:szCs w:val="18"/>
        </w:rPr>
        <w:t>Resolution</w:t>
      </w:r>
      <w:proofErr w:type="spellEnd"/>
      <w:r>
        <w:rPr>
          <w:sz w:val="18"/>
          <w:szCs w:val="18"/>
        </w:rPr>
        <w:t xml:space="preserve"> No. 541, 18 August 2015.</w:t>
      </w:r>
    </w:p>
  </w:footnote>
  <w:footnote w:id="5">
    <w:p w14:paraId="0179929C" w14:textId="77777777" w:rsidR="002A44AE" w:rsidRDefault="00000000">
      <w:r>
        <w:rPr>
          <w:rStyle w:val="Refdenotaderodap"/>
        </w:rPr>
        <w:footnoteRef/>
      </w:r>
      <w:r>
        <w:rPr>
          <w:sz w:val="18"/>
          <w:szCs w:val="18"/>
        </w:rPr>
        <w:t>Banque de France (2023), “</w:t>
      </w:r>
      <w:proofErr w:type="spellStart"/>
      <w:r>
        <w:rPr>
          <w:sz w:val="18"/>
          <w:szCs w:val="18"/>
        </w:rPr>
        <w:t>Monetary</w:t>
      </w:r>
      <w:proofErr w:type="spellEnd"/>
      <w:r>
        <w:rPr>
          <w:sz w:val="18"/>
          <w:szCs w:val="18"/>
        </w:rPr>
        <w:t xml:space="preserve"> </w:t>
      </w:r>
      <w:proofErr w:type="spellStart"/>
      <w:r>
        <w:rPr>
          <w:sz w:val="18"/>
          <w:szCs w:val="18"/>
        </w:rPr>
        <w:t>policy</w:t>
      </w:r>
      <w:proofErr w:type="spellEnd"/>
      <w:r>
        <w:rPr>
          <w:sz w:val="18"/>
          <w:szCs w:val="18"/>
        </w:rPr>
        <w:t xml:space="preserve"> in times </w:t>
      </w:r>
      <w:proofErr w:type="spellStart"/>
      <w:r>
        <w:rPr>
          <w:sz w:val="18"/>
          <w:szCs w:val="18"/>
        </w:rPr>
        <w:t>of</w:t>
      </w:r>
      <w:proofErr w:type="spellEnd"/>
      <w:r>
        <w:rPr>
          <w:sz w:val="18"/>
          <w:szCs w:val="18"/>
        </w:rPr>
        <w:t xml:space="preserve"> </w:t>
      </w:r>
      <w:proofErr w:type="spellStart"/>
      <w:r>
        <w:rPr>
          <w:sz w:val="18"/>
          <w:szCs w:val="18"/>
        </w:rPr>
        <w:t>war</w:t>
      </w:r>
      <w:proofErr w:type="spellEnd"/>
      <w:r>
        <w:rPr>
          <w:sz w:val="18"/>
          <w:szCs w:val="18"/>
        </w:rPr>
        <w:t xml:space="preserve">: </w:t>
      </w:r>
      <w:proofErr w:type="spellStart"/>
      <w:r>
        <w:rPr>
          <w:sz w:val="18"/>
          <w:szCs w:val="18"/>
        </w:rPr>
        <w:t>the</w:t>
      </w:r>
      <w:proofErr w:type="spellEnd"/>
      <w:r>
        <w:rPr>
          <w:sz w:val="18"/>
          <w:szCs w:val="18"/>
        </w:rPr>
        <w:t xml:space="preserve"> case </w:t>
      </w:r>
      <w:proofErr w:type="spellStart"/>
      <w:r>
        <w:rPr>
          <w:sz w:val="18"/>
          <w:szCs w:val="18"/>
        </w:rPr>
        <w:t>of</w:t>
      </w:r>
      <w:proofErr w:type="spellEnd"/>
      <w:r>
        <w:rPr>
          <w:sz w:val="18"/>
          <w:szCs w:val="18"/>
        </w:rPr>
        <w:t xml:space="preserve"> </w:t>
      </w:r>
      <w:proofErr w:type="spellStart"/>
      <w:r>
        <w:rPr>
          <w:sz w:val="18"/>
          <w:szCs w:val="18"/>
        </w:rPr>
        <w:t>Ukraine</w:t>
      </w:r>
      <w:proofErr w:type="spellEnd"/>
      <w:r>
        <w:rPr>
          <w:sz w:val="18"/>
          <w:szCs w:val="18"/>
        </w:rPr>
        <w:t>.”</w:t>
      </w:r>
    </w:p>
  </w:footnote>
  <w:footnote w:id="6">
    <w:p w14:paraId="2FFA141C" w14:textId="77777777" w:rsidR="002A44AE" w:rsidRDefault="00000000">
      <w:r>
        <w:rPr>
          <w:rStyle w:val="Refdenotaderodap"/>
        </w:rPr>
        <w:footnoteRef/>
      </w:r>
      <w:r>
        <w:rPr>
          <w:sz w:val="18"/>
          <w:szCs w:val="18"/>
        </w:rPr>
        <w:t>NBU, “</w:t>
      </w:r>
      <w:proofErr w:type="spellStart"/>
      <w:r>
        <w:rPr>
          <w:sz w:val="18"/>
          <w:szCs w:val="18"/>
        </w:rPr>
        <w:t>Easing</w:t>
      </w:r>
      <w:proofErr w:type="spellEnd"/>
      <w:r>
        <w:rPr>
          <w:sz w:val="18"/>
          <w:szCs w:val="18"/>
        </w:rPr>
        <w:t xml:space="preserve"> </w:t>
      </w:r>
      <w:proofErr w:type="spellStart"/>
      <w:r>
        <w:rPr>
          <w:sz w:val="18"/>
          <w:szCs w:val="18"/>
        </w:rPr>
        <w:t>of</w:t>
      </w:r>
      <w:proofErr w:type="spellEnd"/>
      <w:r>
        <w:rPr>
          <w:sz w:val="18"/>
          <w:szCs w:val="18"/>
        </w:rPr>
        <w:t xml:space="preserve"> FX </w:t>
      </w:r>
      <w:proofErr w:type="spellStart"/>
      <w:r>
        <w:rPr>
          <w:sz w:val="18"/>
          <w:szCs w:val="18"/>
        </w:rPr>
        <w:t>Restrictions</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Return</w:t>
      </w:r>
      <w:proofErr w:type="spellEnd"/>
      <w:r>
        <w:rPr>
          <w:sz w:val="18"/>
          <w:szCs w:val="18"/>
        </w:rPr>
        <w:t xml:space="preserve"> </w:t>
      </w:r>
      <w:proofErr w:type="spellStart"/>
      <w:r>
        <w:rPr>
          <w:sz w:val="18"/>
          <w:szCs w:val="18"/>
        </w:rPr>
        <w:t>to</w:t>
      </w:r>
      <w:proofErr w:type="spellEnd"/>
      <w:r>
        <w:rPr>
          <w:sz w:val="18"/>
          <w:szCs w:val="18"/>
        </w:rPr>
        <w:t xml:space="preserve"> Floating Exchange Rate,” </w:t>
      </w:r>
      <w:proofErr w:type="spellStart"/>
      <w:r>
        <w:rPr>
          <w:sz w:val="18"/>
          <w:szCs w:val="18"/>
        </w:rPr>
        <w:t>Strategy</w:t>
      </w:r>
      <w:proofErr w:type="spellEnd"/>
      <w:r>
        <w:rPr>
          <w:sz w:val="18"/>
          <w:szCs w:val="18"/>
        </w:rPr>
        <w:t xml:space="preserve"> </w:t>
      </w:r>
      <w:proofErr w:type="spellStart"/>
      <w:r>
        <w:rPr>
          <w:sz w:val="18"/>
          <w:szCs w:val="18"/>
        </w:rPr>
        <w:t>document</w:t>
      </w:r>
      <w:proofErr w:type="spellEnd"/>
      <w:r>
        <w:rPr>
          <w:sz w:val="18"/>
          <w:szCs w:val="18"/>
        </w:rPr>
        <w:t xml:space="preserve">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8B09" w14:textId="233294A8" w:rsidR="002A44AE" w:rsidRDefault="00000000">
    <w:pPr>
      <w:pBdr>
        <w:bottom w:val="single" w:sz="4" w:space="4" w:color="2E5090"/>
      </w:pBdr>
      <w:tabs>
        <w:tab w:val="right" w:pos="9026"/>
      </w:tabs>
    </w:pPr>
    <w:r>
      <w:rPr>
        <w:color w:val="888888"/>
        <w:sz w:val="18"/>
        <w:szCs w:val="18"/>
      </w:rPr>
      <w:t xml:space="preserve">Part A — </w:t>
    </w:r>
    <w:proofErr w:type="spellStart"/>
    <w:r>
      <w:rPr>
        <w:color w:val="888888"/>
        <w:sz w:val="18"/>
        <w:szCs w:val="18"/>
      </w:rPr>
      <w:t>Ukraine’s</w:t>
    </w:r>
    <w:proofErr w:type="spellEnd"/>
    <w:r>
      <w:rPr>
        <w:color w:val="888888"/>
        <w:sz w:val="18"/>
        <w:szCs w:val="18"/>
      </w:rPr>
      <w:t xml:space="preserve"> </w:t>
    </w:r>
    <w:proofErr w:type="spellStart"/>
    <w:r>
      <w:rPr>
        <w:color w:val="888888"/>
        <w:sz w:val="18"/>
        <w:szCs w:val="18"/>
      </w:rPr>
      <w:t>Monetary</w:t>
    </w:r>
    <w:proofErr w:type="spellEnd"/>
    <w:r>
      <w:rPr>
        <w:color w:val="888888"/>
        <w:sz w:val="18"/>
        <w:szCs w:val="18"/>
      </w:rPr>
      <w:t xml:space="preserve"> Regime </w:t>
    </w:r>
    <w:proofErr w:type="spellStart"/>
    <w:r>
      <w:rPr>
        <w:color w:val="888888"/>
        <w:sz w:val="18"/>
        <w:szCs w:val="18"/>
      </w:rPr>
      <w:t>Chronology</w:t>
    </w:r>
    <w:proofErr w:type="spellEnd"/>
    <w:r>
      <w:rPr>
        <w:color w:val="888888"/>
        <w:sz w:val="18"/>
        <w:szCs w:val="18"/>
      </w:rPr>
      <w:tab/>
    </w:r>
    <w:proofErr w:type="spellStart"/>
    <w:r>
      <w:rPr>
        <w:color w:val="888888"/>
        <w:sz w:val="18"/>
        <w:szCs w:val="18"/>
      </w:rPr>
      <w:t>Quantitative</w:t>
    </w:r>
    <w:proofErr w:type="spellEnd"/>
    <w:r>
      <w:rPr>
        <w:color w:val="888888"/>
        <w:sz w:val="18"/>
        <w:szCs w:val="18"/>
      </w:rPr>
      <w:t xml:space="preserve"> </w:t>
    </w:r>
    <w:proofErr w:type="spellStart"/>
    <w:r>
      <w:rPr>
        <w:color w:val="888888"/>
        <w:sz w:val="18"/>
        <w:szCs w:val="18"/>
      </w:rPr>
      <w:t>Methods</w:t>
    </w:r>
    <w:proofErr w:type="spellEnd"/>
    <w:r>
      <w:rPr>
        <w:color w:val="888888"/>
        <w:sz w:val="18"/>
        <w:szCs w:val="18"/>
      </w:rPr>
      <w:t xml:space="preserve"> in </w:t>
    </w:r>
    <w:proofErr w:type="spellStart"/>
    <w:r>
      <w:rPr>
        <w:color w:val="888888"/>
        <w:sz w:val="18"/>
        <w:szCs w:val="18"/>
      </w:rPr>
      <w:t>Finance</w:t>
    </w:r>
    <w:proofErr w:type="spellEnd"/>
    <w:r>
      <w:rPr>
        <w:color w:val="888888"/>
        <w:sz w:val="18"/>
        <w:szCs w:val="18"/>
      </w:rPr>
      <w:t xml:space="preserve"> — Final </w:t>
    </w:r>
    <w:proofErr w:type="spellStart"/>
    <w:r>
      <w:rPr>
        <w:color w:val="888888"/>
        <w:sz w:val="18"/>
        <w:szCs w:val="18"/>
      </w:rPr>
      <w:t>Exam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D2E44"/>
    <w:multiLevelType w:val="hybridMultilevel"/>
    <w:tmpl w:val="3DBEFCFA"/>
    <w:lvl w:ilvl="0" w:tplc="A9C2EB4C">
      <w:start w:val="1"/>
      <w:numFmt w:val="bullet"/>
      <w:lvlText w:val="●"/>
      <w:lvlJc w:val="left"/>
      <w:pPr>
        <w:ind w:left="720" w:hanging="360"/>
      </w:pPr>
    </w:lvl>
    <w:lvl w:ilvl="1" w:tplc="6F8CB030">
      <w:start w:val="1"/>
      <w:numFmt w:val="bullet"/>
      <w:lvlText w:val="○"/>
      <w:lvlJc w:val="left"/>
      <w:pPr>
        <w:ind w:left="1440" w:hanging="360"/>
      </w:pPr>
    </w:lvl>
    <w:lvl w:ilvl="2" w:tplc="AE14E2C6">
      <w:start w:val="1"/>
      <w:numFmt w:val="bullet"/>
      <w:lvlText w:val="■"/>
      <w:lvlJc w:val="left"/>
      <w:pPr>
        <w:ind w:left="2160" w:hanging="360"/>
      </w:pPr>
    </w:lvl>
    <w:lvl w:ilvl="3" w:tplc="6B64376E">
      <w:start w:val="1"/>
      <w:numFmt w:val="bullet"/>
      <w:lvlText w:val="●"/>
      <w:lvlJc w:val="left"/>
      <w:pPr>
        <w:ind w:left="2880" w:hanging="360"/>
      </w:pPr>
    </w:lvl>
    <w:lvl w:ilvl="4" w:tplc="D6ECD2B4">
      <w:start w:val="1"/>
      <w:numFmt w:val="bullet"/>
      <w:lvlText w:val="○"/>
      <w:lvlJc w:val="left"/>
      <w:pPr>
        <w:ind w:left="3600" w:hanging="360"/>
      </w:pPr>
    </w:lvl>
    <w:lvl w:ilvl="5" w:tplc="FC5CF51C">
      <w:start w:val="1"/>
      <w:numFmt w:val="bullet"/>
      <w:lvlText w:val="■"/>
      <w:lvlJc w:val="left"/>
      <w:pPr>
        <w:ind w:left="4320" w:hanging="360"/>
      </w:pPr>
    </w:lvl>
    <w:lvl w:ilvl="6" w:tplc="E3409DE4">
      <w:start w:val="1"/>
      <w:numFmt w:val="bullet"/>
      <w:lvlText w:val="●"/>
      <w:lvlJc w:val="left"/>
      <w:pPr>
        <w:ind w:left="5040" w:hanging="360"/>
      </w:pPr>
    </w:lvl>
    <w:lvl w:ilvl="7" w:tplc="ADBEE496">
      <w:start w:val="1"/>
      <w:numFmt w:val="bullet"/>
      <w:lvlText w:val="●"/>
      <w:lvlJc w:val="left"/>
      <w:pPr>
        <w:ind w:left="5760" w:hanging="360"/>
      </w:pPr>
    </w:lvl>
    <w:lvl w:ilvl="8" w:tplc="DC50877E">
      <w:start w:val="1"/>
      <w:numFmt w:val="bullet"/>
      <w:lvlText w:val="●"/>
      <w:lvlJc w:val="left"/>
      <w:pPr>
        <w:ind w:left="6480" w:hanging="360"/>
      </w:pPr>
    </w:lvl>
  </w:abstractNum>
  <w:num w:numId="1" w16cid:durableId="1733574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4AE"/>
    <w:rsid w:val="002A44AE"/>
    <w:rsid w:val="004547B3"/>
    <w:rsid w:val="007D70CF"/>
    <w:rsid w:val="0084510C"/>
    <w:rsid w:val="009B48B6"/>
    <w:rsid w:val="009C6D2B"/>
    <w:rsid w:val="00B36B15"/>
    <w:rsid w:val="00EF29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6B6C353"/>
  <w15:docId w15:val="{64B7122F-7748-8D49-B3B3-F324553E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2E5090"/>
      <w:sz w:val="28"/>
      <w:szCs w:val="28"/>
    </w:rPr>
  </w:style>
  <w:style w:type="paragraph" w:styleId="Ttulo2">
    <w:name w:val="heading 2"/>
    <w:uiPriority w:val="9"/>
    <w:unhideWhenUsed/>
    <w:qFormat/>
    <w:pPr>
      <w:spacing w:before="240" w:after="120"/>
      <w:outlineLvl w:val="1"/>
    </w:pPr>
    <w:rPr>
      <w:b/>
      <w:bCs/>
      <w:color w:val="2E509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7D70CF"/>
    <w:pPr>
      <w:tabs>
        <w:tab w:val="center" w:pos="4252"/>
        <w:tab w:val="right" w:pos="8504"/>
      </w:tabs>
    </w:pPr>
  </w:style>
  <w:style w:type="character" w:customStyle="1" w:styleId="CabealhoChar">
    <w:name w:val="Cabeçalho Char"/>
    <w:basedOn w:val="Fontepargpadro"/>
    <w:link w:val="Cabealho"/>
    <w:uiPriority w:val="99"/>
    <w:rsid w:val="007D70CF"/>
  </w:style>
  <w:style w:type="paragraph" w:styleId="Rodap">
    <w:name w:val="footer"/>
    <w:basedOn w:val="Normal"/>
    <w:link w:val="RodapChar"/>
    <w:uiPriority w:val="99"/>
    <w:unhideWhenUsed/>
    <w:rsid w:val="007D70CF"/>
    <w:pPr>
      <w:tabs>
        <w:tab w:val="center" w:pos="4252"/>
        <w:tab w:val="right" w:pos="8504"/>
      </w:tabs>
    </w:pPr>
  </w:style>
  <w:style w:type="character" w:customStyle="1" w:styleId="RodapChar">
    <w:name w:val="Rodapé Char"/>
    <w:basedOn w:val="Fontepargpadro"/>
    <w:link w:val="Rodap"/>
    <w:uiPriority w:val="99"/>
    <w:rsid w:val="007D7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296A7-B45F-FD46-B6B0-0E209B4D1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1426</Words>
  <Characters>7701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Medina Schutt</cp:lastModifiedBy>
  <cp:revision>3</cp:revision>
  <dcterms:created xsi:type="dcterms:W3CDTF">2026-04-11T08:35:00Z</dcterms:created>
  <dcterms:modified xsi:type="dcterms:W3CDTF">2026-05-10T14:06:00Z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c20be7-c3a5-46e3-9158-fa8a02ce2395_Enabled">
    <vt:lpwstr>true</vt:lpwstr>
  </property>
  <property fmtid="{D5CDD505-2E9C-101B-9397-08002B2CF9AE}" pid="3" name="MSIP_Label_d5c20be7-c3a5-46e3-9158-fa8a02ce2395_SetDate">
    <vt:lpwstr>2026-04-11T08:39:33Z</vt:lpwstr>
  </property>
  <property fmtid="{D5CDD505-2E9C-101B-9397-08002B2CF9AE}" pid="4" name="MSIP_Label_d5c20be7-c3a5-46e3-9158-fa8a02ce2395_Method">
    <vt:lpwstr>Standard</vt:lpwstr>
  </property>
  <property fmtid="{D5CDD505-2E9C-101B-9397-08002B2CF9AE}" pid="5" name="MSIP_Label_d5c20be7-c3a5-46e3-9158-fa8a02ce2395_Name">
    <vt:lpwstr>defa4170-0d19-0005-0004-bc88714345d2</vt:lpwstr>
  </property>
  <property fmtid="{D5CDD505-2E9C-101B-9397-08002B2CF9AE}" pid="6" name="MSIP_Label_d5c20be7-c3a5-46e3-9158-fa8a02ce2395_SiteId">
    <vt:lpwstr>8c6f9078-037e-4261-a583-52a944e55f7f</vt:lpwstr>
  </property>
  <property fmtid="{D5CDD505-2E9C-101B-9397-08002B2CF9AE}" pid="7" name="MSIP_Label_d5c20be7-c3a5-46e3-9158-fa8a02ce2395_ActionId">
    <vt:lpwstr>3201016d-6d50-4404-81d0-5a8e46891861</vt:lpwstr>
  </property>
  <property fmtid="{D5CDD505-2E9C-101B-9397-08002B2CF9AE}" pid="8" name="MSIP_Label_d5c20be7-c3a5-46e3-9158-fa8a02ce2395_ContentBits">
    <vt:lpwstr>0</vt:lpwstr>
  </property>
  <property fmtid="{D5CDD505-2E9C-101B-9397-08002B2CF9AE}" pid="9" name="MSIP_Label_d5c20be7-c3a5-46e3-9158-fa8a02ce2395_Tag">
    <vt:lpwstr>50, 3, 0, 1</vt:lpwstr>
  </property>
</Properties>
</file>