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A78"/>
          <w:sz w:val="44"/>
        </w:rPr>
        <w:t>Speaker Notes — Why Schemas?</w:t>
      </w:r>
    </w:p>
    <w:p>
      <w:pPr>
        <w:pStyle w:val="Heading1"/>
      </w:pPr>
      <w:r>
        <w:rPr>
          <w:color w:val="E65A1E"/>
        </w:rPr>
        <w:t>Slide 1 — Opening</w:t>
      </w:r>
    </w:p>
    <w:p>
      <w:r>
        <w:rPr>
          <w:b/>
          <w:color w:val="123A78"/>
        </w:rPr>
        <w:t xml:space="preserve">What to say: </w:t>
      </w:r>
      <w:r>
        <w:t>Welcome learners and position the lesson around one simple idea: MongoDB can be flexible without being random. Use the Order Management example to show why an application still needs an intended document shape.</w:t>
      </w:r>
    </w:p>
    <w:p>
      <w:r>
        <w:rPr>
          <w:b/>
          <w:color w:val="123A78"/>
        </w:rPr>
        <w:t xml:space="preserve">Key training points: </w:t>
      </w:r>
      <w:r>
        <w:t>Emphasize flexibility versus intentional design.</w:t>
      </w:r>
    </w:p>
    <w:p>
      <w:r>
        <w:rPr>
          <w:b/>
          <w:color w:val="123A78"/>
        </w:rPr>
        <w:t xml:space="preserve">Question / interaction: </w:t>
      </w:r>
      <w:r>
        <w:t>Ask: “Does flexible schema mean we do not need to think about structure?”</w:t>
      </w:r>
    </w:p>
    <w:p>
      <w:r>
        <w:rPr>
          <w:b/>
          <w:color w:val="123A78"/>
        </w:rPr>
        <w:t xml:space="preserve">Transition: </w:t>
      </w:r>
      <w:r>
        <w:t>Next, define schema as an expectation rather than only a database-enforced rule.</w:t>
      </w:r>
    </w:p>
    <w:p>
      <w:pPr>
        <w:pStyle w:val="Heading1"/>
      </w:pPr>
      <w:r>
        <w:rPr>
          <w:color w:val="E65A1E"/>
        </w:rPr>
        <w:t>Slide 2 — What Does “Schema” Mean?</w:t>
      </w:r>
    </w:p>
    <w:p>
      <w:r>
        <w:rPr>
          <w:b/>
          <w:color w:val="123A78"/>
        </w:rPr>
        <w:t xml:space="preserve">What to say: </w:t>
      </w:r>
      <w:r>
        <w:t>Explain the three layers: meaning, shape, and access. A schema is the expected shape that the application works with, even when MongoDB does not enforce it by default.</w:t>
      </w:r>
    </w:p>
    <w:p>
      <w:r>
        <w:rPr>
          <w:b/>
          <w:color w:val="123A78"/>
        </w:rPr>
        <w:t xml:space="preserve">Key training points: </w:t>
      </w:r>
      <w:r>
        <w:t>Connect the orderId, status, items, and shippingAddress fields to a practical contract.</w:t>
      </w:r>
    </w:p>
    <w:p>
      <w:r>
        <w:rPr>
          <w:b/>
          <w:color w:val="123A78"/>
        </w:rPr>
        <w:t xml:space="preserve">Question / interaction: </w:t>
      </w:r>
      <w:r>
        <w:t>Ask learners to name one field whose meaning must remain consistent.</w:t>
      </w:r>
    </w:p>
    <w:p>
      <w:r>
        <w:rPr>
          <w:b/>
          <w:color w:val="123A78"/>
        </w:rPr>
        <w:t xml:space="preserve">Transition: </w:t>
      </w:r>
      <w:r>
        <w:t>Move to the distinction between flexibility and “schema-free.”</w:t>
      </w:r>
    </w:p>
    <w:p>
      <w:pPr>
        <w:pStyle w:val="Heading1"/>
      </w:pPr>
      <w:r>
        <w:rPr>
          <w:color w:val="E65A1E"/>
        </w:rPr>
        <w:t>Slide 3 — Flexible Does Not Mean Schema-Free</w:t>
      </w:r>
    </w:p>
    <w:p>
      <w:r>
        <w:rPr>
          <w:b/>
          <w:color w:val="123A78"/>
        </w:rPr>
        <w:t xml:space="preserve">What to say: </w:t>
      </w:r>
      <w:r>
        <w:t>Explain that different documents can have different fields, and changes can be introduced over time. The important point is that the team still decides what the data should mean and how it should be accessed.</w:t>
      </w:r>
    </w:p>
    <w:p>
      <w:r>
        <w:rPr>
          <w:b/>
          <w:color w:val="123A78"/>
        </w:rPr>
        <w:t xml:space="preserve">Key training points: </w:t>
      </w:r>
      <w:r>
        <w:t>Avoid claiming that MongoDB has no schema; frame it as application-level schema with optional enforcement.</w:t>
      </w:r>
    </w:p>
    <w:p>
      <w:r>
        <w:rPr>
          <w:b/>
          <w:color w:val="123A78"/>
        </w:rPr>
        <w:t xml:space="preserve">Question / interaction: </w:t>
      </w:r>
      <w:r>
        <w:t>Ask: “What problems appear when two documents use the same field name with different meanings?”</w:t>
      </w:r>
    </w:p>
    <w:p>
      <w:r>
        <w:rPr>
          <w:b/>
          <w:color w:val="123A78"/>
        </w:rPr>
        <w:t xml:space="preserve">Transition: </w:t>
      </w:r>
      <w:r>
        <w:t>Show the concrete risks caused by unplanned flexibility.</w:t>
      </w:r>
    </w:p>
    <w:p>
      <w:pPr>
        <w:pStyle w:val="Heading1"/>
      </w:pPr>
      <w:r>
        <w:rPr>
          <w:color w:val="E65A1E"/>
        </w:rPr>
        <w:t>Slide 4 — Why a Schema Still Matters</w:t>
      </w:r>
    </w:p>
    <w:p>
      <w:r>
        <w:rPr>
          <w:b/>
          <w:color w:val="123A78"/>
        </w:rPr>
        <w:t xml:space="preserve">What to say: </w:t>
      </w:r>
      <w:r>
        <w:t>Walk through naming drift, type drift, and semantic drift. These differences can make queries and application code harder to reason about.</w:t>
      </w:r>
    </w:p>
    <w:p>
      <w:r>
        <w:rPr>
          <w:b/>
          <w:color w:val="123A78"/>
        </w:rPr>
        <w:t xml:space="preserve">Key training points: </w:t>
      </w:r>
      <w:r>
        <w:t>Stress that the goal is predictability, not unnecessary restriction.</w:t>
      </w:r>
    </w:p>
    <w:p>
      <w:r>
        <w:rPr>
          <w:b/>
          <w:color w:val="123A78"/>
        </w:rPr>
        <w:t xml:space="preserve">Question / interaction: </w:t>
      </w:r>
      <w:r>
        <w:t>Ask learners which drift is most dangerous in an order system and why.</w:t>
      </w:r>
    </w:p>
    <w:p>
      <w:r>
        <w:rPr>
          <w:b/>
          <w:color w:val="123A78"/>
        </w:rPr>
        <w:t xml:space="preserve">Transition: </w:t>
      </w:r>
      <w:r>
        <w:t>Show that a simple workflow can prevent accidental inconsistency.</w:t>
      </w:r>
    </w:p>
    <w:p>
      <w:pPr>
        <w:pStyle w:val="Heading1"/>
      </w:pPr>
      <w:r>
        <w:rPr>
          <w:color w:val="E65A1E"/>
        </w:rPr>
        <w:t>Slide 5 — Same Collection, Evolving Documents</w:t>
      </w:r>
    </w:p>
    <w:p>
      <w:r>
        <w:rPr>
          <w:b/>
          <w:color w:val="123A78"/>
        </w:rPr>
        <w:t xml:space="preserve">What to say: </w:t>
      </w:r>
      <w:r>
        <w:t>Show version 1, version 2, and version 3 of an order shape. Explain that the collection can carry documents from different points in the application’s evolution.</w:t>
      </w:r>
    </w:p>
    <w:p>
      <w:r>
        <w:rPr>
          <w:b/>
          <w:color w:val="123A78"/>
        </w:rPr>
        <w:t xml:space="preserve">Key training points: </w:t>
      </w:r>
      <w:r>
        <w:t>Purposeful evolution is different from accidental variation.</w:t>
      </w:r>
    </w:p>
    <w:p>
      <w:r>
        <w:rPr>
          <w:b/>
          <w:color w:val="123A78"/>
        </w:rPr>
        <w:t xml:space="preserve">Question / interaction: </w:t>
      </w:r>
      <w:r>
        <w:t>Ask: “What information would you need before adding a new field?”</w:t>
      </w:r>
    </w:p>
    <w:p>
      <w:r>
        <w:rPr>
          <w:b/>
          <w:color w:val="123A78"/>
        </w:rPr>
        <w:t xml:space="preserve">Transition: </w:t>
      </w:r>
      <w:r>
        <w:t>Connect evolution to the intended Order Management shape.</w:t>
      </w:r>
    </w:p>
    <w:p>
      <w:pPr>
        <w:pStyle w:val="Heading1"/>
      </w:pPr>
      <w:r>
        <w:rPr>
          <w:color w:val="E65A1E"/>
        </w:rPr>
        <w:t>Slide 6 — Order Management: Intended Shape</w:t>
      </w:r>
    </w:p>
    <w:p>
      <w:r>
        <w:rPr>
          <w:b/>
          <w:color w:val="123A78"/>
        </w:rPr>
        <w:t xml:space="preserve">What to say: </w:t>
      </w:r>
      <w:r>
        <w:t>Walk through the order document slowly. Identify top-level fields, nested objects, and the items array.</w:t>
      </w:r>
    </w:p>
    <w:p>
      <w:r>
        <w:rPr>
          <w:b/>
          <w:color w:val="123A78"/>
        </w:rPr>
        <w:t xml:space="preserve">Key training points: </w:t>
      </w:r>
      <w:r>
        <w:t>The document shape is the application contract; it is what later querying and data modeling decisions will build on.</w:t>
      </w:r>
    </w:p>
    <w:p>
      <w:r>
        <w:rPr>
          <w:b/>
          <w:color w:val="123A78"/>
        </w:rPr>
        <w:t xml:space="preserve">Question / interaction: </w:t>
      </w:r>
      <w:r>
        <w:t>Ask learners to identify which fields are core and which could be optional.</w:t>
      </w:r>
    </w:p>
    <w:p>
      <w:r>
        <w:rPr>
          <w:b/>
          <w:color w:val="123A78"/>
        </w:rPr>
        <w:t xml:space="preserve">Transition: </w:t>
      </w:r>
      <w:r>
        <w:t>Move from shape to the repeatable schema-design workflow.</w:t>
      </w:r>
    </w:p>
    <w:p>
      <w:pPr>
        <w:pStyle w:val="Heading1"/>
      </w:pPr>
      <w:r>
        <w:rPr>
          <w:color w:val="E65A1E"/>
        </w:rPr>
        <w:t>Slide 7 — Practical Schema Workflow</w:t>
      </w:r>
    </w:p>
    <w:p>
      <w:r>
        <w:rPr>
          <w:b/>
          <w:color w:val="123A78"/>
        </w:rPr>
        <w:t xml:space="preserve">What to say: </w:t>
      </w:r>
      <w:r>
        <w:t>Teach the sequence: requirements, document shape, access patterns, evolution plan, and optional enforcement.</w:t>
      </w:r>
    </w:p>
    <w:p>
      <w:r>
        <w:rPr>
          <w:b/>
          <w:color w:val="123A78"/>
        </w:rPr>
        <w:t xml:space="preserve">Key training points: </w:t>
      </w:r>
      <w:r>
        <w:t>Make clear that validation is a later guardrail, not the way to discover the original schema.</w:t>
      </w:r>
    </w:p>
    <w:p>
      <w:r>
        <w:rPr>
          <w:b/>
          <w:color w:val="123A78"/>
        </w:rPr>
        <w:t xml:space="preserve">Question / interaction: </w:t>
      </w:r>
      <w:r>
        <w:t>Ask learners where access patterns fit into document design.</w:t>
      </w:r>
    </w:p>
    <w:p>
      <w:r>
        <w:rPr>
          <w:b/>
          <w:color w:val="123A78"/>
        </w:rPr>
        <w:t xml:space="preserve">Transition: </w:t>
      </w:r>
      <w:r>
        <w:t>Move to deciding where flexibility should be allowed.</w:t>
      </w:r>
    </w:p>
    <w:p>
      <w:pPr>
        <w:pStyle w:val="Heading1"/>
      </w:pPr>
      <w:r>
        <w:rPr>
          <w:color w:val="E65A1E"/>
        </w:rPr>
        <w:t>Slide 8 — Flexibility Has Boundaries</w:t>
      </w:r>
    </w:p>
    <w:p>
      <w:r>
        <w:rPr>
          <w:b/>
          <w:color w:val="123A78"/>
        </w:rPr>
        <w:t xml:space="preserve">What to say: </w:t>
      </w:r>
      <w:r>
        <w:t>Use the matrix to separate fields that should remain consistent, fields that can evolve, and choices that need an explicit design decision.</w:t>
      </w:r>
    </w:p>
    <w:p>
      <w:r>
        <w:rPr>
          <w:b/>
          <w:color w:val="123A78"/>
        </w:rPr>
        <w:t xml:space="preserve">Key training points: </w:t>
      </w:r>
      <w:r>
        <w:t>Show that not every attribute deserves the same level of flexibility.</w:t>
      </w:r>
    </w:p>
    <w:p>
      <w:r>
        <w:rPr>
          <w:b/>
          <w:color w:val="123A78"/>
        </w:rPr>
        <w:t xml:space="preserve">Question / interaction: </w:t>
      </w:r>
      <w:r>
        <w:t>Ask learners to classify one Order Management field into each category.</w:t>
      </w:r>
    </w:p>
    <w:p>
      <w:r>
        <w:rPr>
          <w:b/>
          <w:color w:val="123A78"/>
        </w:rPr>
        <w:t xml:space="preserve">Transition: </w:t>
      </w:r>
      <w:r>
        <w:t>Then move to the hands-on inspection.</w:t>
      </w:r>
    </w:p>
    <w:p>
      <w:pPr>
        <w:pStyle w:val="Heading1"/>
      </w:pPr>
      <w:r>
        <w:rPr>
          <w:color w:val="E65A1E"/>
        </w:rPr>
        <w:t>Slide 9 — Hands-On: Inspect Schema Drift</w:t>
      </w:r>
    </w:p>
    <w:p>
      <w:r>
        <w:rPr>
          <w:b/>
          <w:color w:val="123A78"/>
        </w:rPr>
        <w:t xml:space="preserve">What to say: </w:t>
      </w:r>
      <w:r>
        <w:t>Run the mongosh script with representative orders. Point out the different field combinations and the inconsistent numeric type.</w:t>
      </w:r>
    </w:p>
    <w:p>
      <w:r>
        <w:rPr>
          <w:b/>
          <w:color w:val="123A78"/>
        </w:rPr>
        <w:t xml:space="preserve">Key training points: </w:t>
      </w:r>
      <w:r>
        <w:t>Use the output as an observation exercise rather than immediately fixing the data.</w:t>
      </w:r>
    </w:p>
    <w:p>
      <w:r>
        <w:rPr>
          <w:b/>
          <w:color w:val="123A78"/>
        </w:rPr>
        <w:t xml:space="preserve">Question / interaction: </w:t>
      </w:r>
      <w:r>
        <w:t>Ask: “Which differences look intentional, and which look accidental?”</w:t>
      </w:r>
    </w:p>
    <w:p>
      <w:r>
        <w:rPr>
          <w:b/>
          <w:color w:val="123A78"/>
        </w:rPr>
        <w:t xml:space="preserve">Transition: </w:t>
      </w:r>
      <w:r>
        <w:t>Use $type and field-existence checks to make the difference visible.</w:t>
      </w:r>
    </w:p>
    <w:p>
      <w:pPr>
        <w:pStyle w:val="Heading1"/>
      </w:pPr>
      <w:r>
        <w:rPr>
          <w:color w:val="E65A1E"/>
        </w:rPr>
        <w:t>Slide 10 — Hands-On: Turn Observation Into a Decision</w:t>
      </w:r>
    </w:p>
    <w:p>
      <w:r>
        <w:rPr>
          <w:b/>
          <w:color w:val="123A78"/>
        </w:rPr>
        <w:t xml:space="preserve">What to say: </w:t>
      </w:r>
      <w:r>
        <w:t>Show how $type and field-presence checks reveal the actual stored shape. Then state the design decisions the application should make.</w:t>
      </w:r>
    </w:p>
    <w:p>
      <w:r>
        <w:rPr>
          <w:b/>
          <w:color w:val="123A78"/>
        </w:rPr>
        <w:t xml:space="preserve">Key training points: </w:t>
      </w:r>
      <w:r>
        <w:t>Connect observation to action: standardize important types, define core fields, and document evolution.</w:t>
      </w:r>
    </w:p>
    <w:p>
      <w:r>
        <w:rPr>
          <w:b/>
          <w:color w:val="123A78"/>
        </w:rPr>
        <w:t xml:space="preserve">Question / interaction: </w:t>
      </w:r>
      <w:r>
        <w:t>Ask: “When would you add database-level validation?”</w:t>
      </w:r>
    </w:p>
    <w:p>
      <w:r>
        <w:rPr>
          <w:b/>
          <w:color w:val="123A78"/>
        </w:rPr>
        <w:t xml:space="preserve">Transition: </w:t>
      </w:r>
      <w:r>
        <w:t>Conclude with the best-practice checklist.</w:t>
      </w:r>
    </w:p>
    <w:p>
      <w:pPr>
        <w:pStyle w:val="Heading1"/>
      </w:pPr>
      <w:r>
        <w:rPr>
          <w:color w:val="E65A1E"/>
        </w:rPr>
        <w:t>Slide 11 — Best Practices</w:t>
      </w:r>
    </w:p>
    <w:p>
      <w:r>
        <w:rPr>
          <w:b/>
          <w:color w:val="123A78"/>
        </w:rPr>
        <w:t xml:space="preserve">What to say: </w:t>
      </w:r>
      <w:r>
        <w:t>Summarize meaningful naming, consistent semantics, purposeful flexibility, access-aware design, explicit evolution, and optional validation.</w:t>
      </w:r>
    </w:p>
    <w:p>
      <w:r>
        <w:rPr>
          <w:b/>
          <w:color w:val="123A78"/>
        </w:rPr>
        <w:t xml:space="preserve">Key training points: </w:t>
      </w:r>
      <w:r>
        <w:t>Keep the focus on developer discipline and application behavior.</w:t>
      </w:r>
    </w:p>
    <w:p>
      <w:r>
        <w:rPr>
          <w:b/>
          <w:color w:val="123A78"/>
        </w:rPr>
        <w:t xml:space="preserve">Question / interaction: </w:t>
      </w:r>
      <w:r>
        <w:t>Ask learners to name one schema rule they would document for an order.</w:t>
      </w:r>
    </w:p>
    <w:p>
      <w:r>
        <w:rPr>
          <w:b/>
          <w:color w:val="123A78"/>
        </w:rPr>
        <w:t xml:space="preserve">Transition: </w:t>
      </w:r>
      <w:r>
        <w:t>Close by previewing the next lesson on structuring documents.</w:t>
      </w:r>
    </w:p>
    <w:p>
      <w:pPr>
        <w:pStyle w:val="Heading1"/>
      </w:pPr>
      <w:r>
        <w:rPr>
          <w:color w:val="E65A1E"/>
        </w:rPr>
        <w:t>Slide 12 — Summary</w:t>
      </w:r>
    </w:p>
    <w:p>
      <w:r>
        <w:rPr>
          <w:b/>
          <w:color w:val="123A78"/>
        </w:rPr>
        <w:t xml:space="preserve">What to say: </w:t>
      </w:r>
      <w:r>
        <w:t>Use the final graphic summary as the visual recap. Reinforce that MongoDB flexibility is a capability, while schema thinking is the developer practice that makes that capability safe and understandable.</w:t>
      </w:r>
    </w:p>
    <w:p>
      <w:r>
        <w:rPr>
          <w:b/>
          <w:color w:val="123A78"/>
        </w:rPr>
        <w:t xml:space="preserve">Key training points: </w:t>
      </w:r>
      <w:r>
        <w:t>Focus on the mental model rather than memorization.</w:t>
      </w:r>
    </w:p>
    <w:p>
      <w:r>
        <w:rPr>
          <w:b/>
          <w:color w:val="123A78"/>
        </w:rPr>
        <w:t xml:space="preserve">Question / interaction: </w:t>
      </w:r>
      <w:r>
        <w:t>Ask: “Can you explain the difference between flexible storage and intentional design in one sentence?”</w:t>
      </w:r>
    </w:p>
    <w:p>
      <w:r>
        <w:rPr>
          <w:b/>
          <w:color w:val="123A78"/>
        </w:rPr>
        <w:t xml:space="preserve">Transition: </w:t>
      </w:r>
      <w:r>
        <w:t>Transition to structuring documents.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0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65A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5AB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