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8518"/>
          <w:sz w:val="42"/>
        </w:rPr>
        <w:t>Speaker Notes — MongoDB Data Types and Limits</w:t>
      </w:r>
    </w:p>
    <w:p>
      <w:r>
        <w:rPr>
          <w:b/>
          <w:color w:val="F58518"/>
          <w:sz w:val="28"/>
        </w:rPr>
        <w:t>Slide 1 — Opening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Open with the question: “When you look at a MongoDB order, do you see only values, or do you also need to understand the types behind them?” Frame this lesson as a practical map of BSON types and document boundaries.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Set expectations that this lesson is an overview. Detailed numeric width and price-precision decisions come later.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Ask: Which order field would you expect to have a special BSON type?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Next, build the type map.</w:t>
      </w:r>
    </w:p>
    <w:p>
      <w:r>
        <w:rPr>
          <w:b/>
          <w:color w:val="F58518"/>
          <w:sz w:val="28"/>
        </w:rPr>
        <w:t>Slide 2 — BSON types: the developer map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Walk through the grid as a recognition exercise. Emphasize that MongoDB supports more than the six basic JSON categories.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The important skill is recognizing the role of String, integers, Double, Decimal128, Boolean, Date, ObjectId, Array, Object, Null, and Binary.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Ask learners to identify one type they have used before.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Next, place those types inside one order document.</w:t>
      </w:r>
    </w:p>
    <w:p>
      <w:r>
        <w:rPr>
          <w:b/>
          <w:color w:val="F58518"/>
          <w:sz w:val="28"/>
        </w:rPr>
        <w:t>Slide 3 — Types inside a real Order document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Read the order document from top to bottom and point to the labels. Show how a single business object can combine different BSON types.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Connect types to business meaning: date for time, ObjectId for identity, Decimal128 for decimal numeric semantics, array for line items, and nested objects for grouped data.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Ask learners to name the type of orderDate, customerId, and items[].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Next, turn the example into a decision rule.</w:t>
      </w:r>
    </w:p>
    <w:p>
      <w:r>
        <w:rPr>
          <w:b/>
          <w:color w:val="F58518"/>
          <w:sz w:val="28"/>
        </w:rPr>
        <w:t>Slide 4 — Choose a type for the business meaning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Explain that the same visual value can have different meanings. The type choice should follow the field’s semantics and the application’s needs.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Use the checklist: meaning, valid values, type fidelity, access pattern, growth, and size.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Ask: Would you model a quantity and an identifier with the same numeric choice automatically?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Next, focus on numeric families.</w:t>
      </w:r>
    </w:p>
    <w:p>
      <w:r>
        <w:rPr>
          <w:b/>
          <w:color w:val="F58518"/>
          <w:sz w:val="28"/>
        </w:rPr>
        <w:t>Slide 5 — Numeric types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Keep this intentionally high level. Introduce Int32, Int64, Double, and Decimal128 without turning the lesson into a precision deep dive.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Explain that a number is not a single universal storage type. Different numeric types serve different roles.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Ask learners which type they recognize from mongosh.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Next, cover non-numeric types that carry business semantics.</w:t>
      </w:r>
    </w:p>
    <w:p>
      <w:r>
        <w:rPr>
          <w:b/>
          <w:color w:val="F58518"/>
          <w:sz w:val="28"/>
        </w:rPr>
        <w:t>Slide 6 — Dates, identifiers, flags and missing values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Show how Date, ObjectId, Boolean, Null, and Binary can communicate intent more clearly than generic strings or numbers.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Reinforce native BSON semantics and practical application boundaries.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Ask which type fits a true/false field and which fits a timestamp.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Next, address structured data growth.</w:t>
      </w:r>
    </w:p>
    <w:p>
      <w:r>
        <w:rPr>
          <w:b/>
          <w:color w:val="F58518"/>
          <w:sz w:val="28"/>
        </w:rPr>
        <w:t>Slide 7 — Arrays and nested objects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Use items[] and shippingAddress to connect earlier modeling concepts with document size. Explain that rich structure remains inside the BSON document and therefore counts toward the limit.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State the current hard limit as 16 MiB and explain that unbounded arrays can create document-growth problems.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Ask: What happens when an array continues to grow for years?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Next, show the alternative for oversized files.</w:t>
      </w:r>
    </w:p>
    <w:p>
      <w:r>
        <w:rPr>
          <w:b/>
          <w:color w:val="F58518"/>
          <w:sz w:val="28"/>
        </w:rPr>
        <w:t>Slide 8 — Large files and GridFS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Explain the boundary between business documents and large binary files. GridFS is the MongoDB pattern for files larger than the BSON document limit.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Emphasize that GridFS stores file chunks and metadata rather than forcing a single oversized document.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Ask what kind of data belongs in GridFS versus a normal order document.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Next, verify types hands-on.</w:t>
      </w:r>
    </w:p>
    <w:p>
      <w:r>
        <w:rPr>
          <w:b/>
          <w:color w:val="F58518"/>
          <w:sz w:val="28"/>
        </w:rPr>
        <w:t>Slide 9 — Verify with mongosh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Run the insert, inspect the document, then use $type to observe the stored types. The lesson is about building the habit of checking the database rather than guessing.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Connect the shell output back to the document design decisions.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Pause before each query and ask learners to predict the type.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Next, turn the lesson into a reusable design workflow.</w:t>
      </w:r>
    </w:p>
    <w:p>
      <w:r>
        <w:rPr>
          <w:b/>
          <w:color w:val="F58518"/>
          <w:sz w:val="28"/>
        </w:rPr>
        <w:t>Slide 10 — Practical workflow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Walk through Requirement → Type → Shape → Growth → Size → Verify. This is the repeatable process learners can use when designing documents.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Reinforce that document design is iterative and evidence-based.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Ask which step they tend to skip today.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Close with the summary image.</w:t>
      </w:r>
    </w:p>
    <w:p>
      <w:r>
        <w:rPr>
          <w:b/>
          <w:color w:val="F58518"/>
          <w:sz w:val="28"/>
        </w:rPr>
        <w:t>Slide 11 — Summary</w:t>
      </w:r>
    </w:p>
    <w:p>
      <w:r>
        <w:rPr>
          <w:b/>
          <w:color w:val="1E4A78"/>
        </w:rPr>
        <w:t xml:space="preserve">What to say: </w:t>
      </w:r>
      <w:r>
        <w:rPr>
          <w:color w:val="2D2D2D"/>
        </w:rPr>
        <w:t>Use the visual summary to recap the main categories, numeric families, 16 MiB boundary, GridFS, and developer habits.</w:t>
      </w:r>
    </w:p>
    <w:p>
      <w:r>
        <w:rPr>
          <w:b/>
          <w:color w:val="1E4A78"/>
        </w:rPr>
        <w:t xml:space="preserve">Key training points: </w:t>
      </w:r>
      <w:r>
        <w:rPr>
          <w:color w:val="2D2D2D"/>
        </w:rPr>
        <w:t>Final message: choose types intentionally, keep growth bounded, respect the document limit, and verify stored types.</w:t>
      </w:r>
    </w:p>
    <w:p>
      <w:r>
        <w:rPr>
          <w:b/>
          <w:color w:val="1E4A78"/>
        </w:rPr>
        <w:t xml:space="preserve">Question / interaction: </w:t>
      </w:r>
      <w:r>
        <w:rPr>
          <w:color w:val="2D2D2D"/>
        </w:rPr>
        <w:t>Ask learners to explain the 16 MiB limit and GridFS in one sentence.</w:t>
      </w:r>
    </w:p>
    <w:p>
      <w:r>
        <w:rPr>
          <w:b/>
          <w:color w:val="1E4A78"/>
        </w:rPr>
        <w:t xml:space="preserve">Transition: </w:t>
      </w:r>
      <w:r>
        <w:rPr>
          <w:color w:val="2D2D2D"/>
        </w:rPr>
        <w:t>Next topic: turn requirements into a concrete MongoDB data structure.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