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Speaker Notes — One-to-One — References</w:t>
      </w:r>
    </w:p>
    <w:p>
      <w:pPr>
        <w:jc w:val="center"/>
      </w:pPr>
      <w:r>
        <w:rPr>
          <w:i/>
          <w:sz w:val="22"/>
        </w:rPr>
        <w:t>MongoDB Developer Learning Path</w:t>
      </w:r>
    </w:p>
    <w:p>
      <w:r>
        <w:rPr>
          <w:b/>
          <w:color w:val="E67E22"/>
          <w:sz w:val="30"/>
        </w:rPr>
        <w:t>Slide 1 — Opening summary</w:t>
      </w:r>
    </w:p>
    <w:p>
      <w:pPr>
        <w:spacing w:after="140"/>
      </w:pPr>
      <w:r>
        <w:t>Use the visual summary first. Introduce the pattern as one parent document pointing to one related document through an identifier. Set the Order Management context immediately.</w:t>
      </w:r>
    </w:p>
    <w:p>
      <w:r>
        <w:rPr>
          <w:b/>
          <w:color w:val="E67E22"/>
          <w:sz w:val="30"/>
        </w:rPr>
        <w:t>Slide 2 — What is a one-to-one reference?</w:t>
      </w:r>
    </w:p>
    <w:p>
      <w:pPr>
        <w:spacing w:after="140"/>
      </w:pPr>
      <w:r>
        <w:t>Define the pattern. Emphasize that the related document lives in a separate collection and that the parent keeps a reference field rather than copying the complete related object.</w:t>
      </w:r>
    </w:p>
    <w:p>
      <w:r>
        <w:rPr>
          <w:b/>
          <w:color w:val="E67E22"/>
          <w:sz w:val="30"/>
        </w:rPr>
        <w:t>Slide 3 — How the reference works</w:t>
      </w:r>
    </w:p>
    <w:p>
      <w:pPr>
        <w:spacing w:after="140"/>
      </w:pPr>
      <w:r>
        <w:t>Walk from the order document to the invoice document. Explain that the reference is the link and the application determines how to resolve it.</w:t>
      </w:r>
    </w:p>
    <w:p>
      <w:r>
        <w:rPr>
          <w:b/>
          <w:color w:val="E67E22"/>
          <w:sz w:val="30"/>
        </w:rPr>
        <w:t>Slide 4 — Choosing one-to-one referencing</w:t>
      </w:r>
    </w:p>
    <w:p>
      <w:pPr>
        <w:spacing w:after="140"/>
      </w:pPr>
      <w:r>
        <w:t>Use independence, size, access, and lifecycle as the decision questions. Avoid presenting references as universally better than embedding.</w:t>
      </w:r>
    </w:p>
    <w:p>
      <w:r>
        <w:rPr>
          <w:b/>
          <w:color w:val="E67E22"/>
          <w:sz w:val="30"/>
        </w:rPr>
        <w:t>Slide 5 — Reference vs embedded</w:t>
      </w:r>
    </w:p>
    <w:p>
      <w:pPr>
        <w:spacing w:after="140"/>
      </w:pPr>
      <w:r>
        <w:t>Contrast the two shapes. Referencing supports independent data; embedding supports compact together-read objects. Keep the decision tied to the use case.</w:t>
      </w:r>
    </w:p>
    <w:p>
      <w:r>
        <w:rPr>
          <w:b/>
          <w:color w:val="E67E22"/>
          <w:sz w:val="30"/>
        </w:rPr>
        <w:t>Slide 6 — Querying the reference</w:t>
      </w:r>
    </w:p>
    <w:p>
      <w:pPr>
        <w:spacing w:after="140"/>
      </w:pPr>
      <w:r>
        <w:t>Demonstrate findOne first, then show $lookup. Stress that the reference does not automatically create a join; resolution is explicit.</w:t>
      </w:r>
    </w:p>
    <w:p>
      <w:r>
        <w:rPr>
          <w:b/>
          <w:color w:val="E67E22"/>
          <w:sz w:val="30"/>
        </w:rPr>
        <w:t>Slide 7 — Hands-on mongosh</w:t>
      </w:r>
    </w:p>
    <w:p>
      <w:pPr>
        <w:spacing w:after="140"/>
      </w:pPr>
      <w:r>
        <w:t>Run the script from top to bottom. Pause when the invoiceId is captured and reused in the order document. Ask learners to predict the stored order shape.</w:t>
      </w:r>
    </w:p>
    <w:p>
      <w:r>
        <w:rPr>
          <w:b/>
          <w:color w:val="E67E22"/>
          <w:sz w:val="30"/>
        </w:rPr>
        <w:t>Slide 8 — Independent updates</w:t>
      </w:r>
    </w:p>
    <w:p>
      <w:pPr>
        <w:spacing w:after="140"/>
      </w:pPr>
      <w:r>
        <w:t>Update the invoice without changing the order document. Point out that the same reference still identifies the invoice.</w:t>
      </w:r>
    </w:p>
    <w:p>
      <w:r>
        <w:rPr>
          <w:b/>
          <w:color w:val="E67E22"/>
          <w:sz w:val="30"/>
        </w:rPr>
        <w:t>Slide 9 — Design checklist</w:t>
      </w:r>
    </w:p>
    <w:p>
      <w:pPr>
        <w:spacing w:after="140"/>
      </w:pPr>
      <w:r>
        <w:t>Turn the lesson into a repeatable modeling habit. Ask learners which signal would be most important for an order and invoice.</w:t>
      </w:r>
    </w:p>
    <w:p>
      <w:r>
        <w:rPr>
          <w:b/>
          <w:color w:val="E67E22"/>
          <w:sz w:val="30"/>
        </w:rPr>
        <w:t>Slide 10 — Final takeaway</w:t>
      </w:r>
    </w:p>
    <w:p>
      <w:pPr>
        <w:spacing w:after="140"/>
      </w:pPr>
      <w:r>
        <w:t>Close with the mental model: separate related document, explicit identifier, deliberate read strategy. Preview the next relationship pattern.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