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9637"/>
          <w:sz w:val="44"/>
        </w:rPr>
        <w:t>Lesson 028 — Understanding Relations — Speaker Notes</w:t>
      </w:r>
    </w:p>
    <w:p>
      <w:pPr>
        <w:jc w:val="center"/>
      </w:pPr>
      <w:r>
        <w:rPr>
          <w:b/>
        </w:rPr>
        <w:t>Trainer example: Avi — Bangalore, RR Nagar</w:t>
      </w:r>
    </w:p>
    <w:p>
      <w:pPr>
        <w:pStyle w:val="Heading1"/>
      </w:pPr>
      <w:r>
        <w:t>Slide 1 — Understanding Relations</w:t>
      </w:r>
    </w:p>
    <w:p>
      <w:r>
        <w:t>What to say: Open by framing the problem. We have Avi as our customer. His profile, orders, and skills are related, but those relationships do not all behave the same way. The lesson is about recognizing the relationship and choosing an appropriate document shape.</w:t>
      </w:r>
    </w:p>
    <w:p>
      <w:r>
        <w:t>Explain the visual: Point to the central Avi node, then the three related nodes. Explain that embed, reference, and identifier-based relationships are different storage choices for related data.</w:t>
      </w:r>
    </w:p>
    <w:p>
      <w:r>
        <w:t>Trainer emphasis: Ask: “Would you store every future order inside Avi’s customer document?”</w:t>
      </w:r>
    </w:p>
    <w:p/>
    <w:p>
      <w:pPr>
        <w:pStyle w:val="Heading1"/>
      </w:pPr>
      <w:r>
        <w:t>Slide 2 — What Is a Relation?</w:t>
      </w:r>
    </w:p>
    <w:p>
      <w:r>
        <w:t>What to say: A relation is simply a logical connection between data items. In MongoDB, the important question is not whether a relation exists, but how that relation behaves.</w:t>
      </w:r>
    </w:p>
    <w:p>
      <w:r>
        <w:t>Explain the visual: Use the 1:1, 1:N, and N:M labels as the bridge to the next three slides.</w:t>
      </w:r>
    </w:p>
    <w:p>
      <w:r>
        <w:t>Trainer emphasis: Emphasize cardinality, ownership, growth, and access pattern.</w:t>
      </w:r>
    </w:p>
    <w:p/>
    <w:p>
      <w:pPr>
        <w:pStyle w:val="Heading1"/>
      </w:pPr>
      <w:r>
        <w:t>Slide 3 — One-to-One</w:t>
      </w:r>
    </w:p>
    <w:p>
      <w:r>
        <w:t>What to say: Avi has one profile. Because the profile is small and normally read with the customer, embedding is straightforward.</w:t>
      </w:r>
    </w:p>
    <w:p>
      <w:r>
        <w:t>Explain the visual: Walk through the embedded profile showing Bangalore and RR Nagar.</w:t>
      </w:r>
    </w:p>
    <w:p>
      <w:r>
        <w:t>Trainer emphasis: Say: “When the related data is tightly owned and bounded, embedding keeps the read simple.”</w:t>
      </w:r>
    </w:p>
    <w:p/>
    <w:p>
      <w:pPr>
        <w:pStyle w:val="Heading1"/>
      </w:pPr>
      <w:r>
        <w:t>Slide 4 — One-to-Many</w:t>
      </w:r>
    </w:p>
    <w:p>
      <w:r>
        <w:t>What to say: Avi can have many orders. Orders can grow independently, so a separate collection with customerId is a natural representation.</w:t>
      </w:r>
    </w:p>
    <w:p>
      <w:r>
        <w:t>Explain the visual: Point to Order 1 through Order 4 and explain that the N side can continue growing.</w:t>
      </w:r>
    </w:p>
    <w:p>
      <w:r>
        <w:t>Trainer emphasis: Stress that growth is one of the main reasons to avoid an unbounded embedded array.</w:t>
      </w:r>
    </w:p>
    <w:p/>
    <w:p>
      <w:pPr>
        <w:pStyle w:val="Heading1"/>
      </w:pPr>
      <w:r>
        <w:t>Slide 5 — Many-to-Many</w:t>
      </w:r>
    </w:p>
    <w:p>
      <w:r>
        <w:t>What to say: Avi can have many skills, while each skill may be shared by many users. Duplicating full skill definitions into every customer would be wasteful when the skill is reusable.</w:t>
      </w:r>
    </w:p>
    <w:p>
      <w:r>
        <w:t>Explain the visual: Point to the dashed lines and the skillIds array.</w:t>
      </w:r>
    </w:p>
    <w:p>
      <w:r>
        <w:t>Trainer emphasis: The key idea is that the relationship can be represented by identifiers when both sides are independently meaningful.</w:t>
      </w:r>
    </w:p>
    <w:p/>
    <w:p>
      <w:pPr>
        <w:pStyle w:val="Heading1"/>
      </w:pPr>
      <w:r>
        <w:t>Slide 6 — Embed or Reference?</w:t>
      </w:r>
    </w:p>
    <w:p>
      <w:r>
        <w:t>What to say: Use this slide as the decision point. Embed when data is small, bounded, owned, and read together. Reference when data grows, is shared, or is maintained independently.</w:t>
      </w:r>
    </w:p>
    <w:p>
      <w:r>
        <w:t>Explain the visual: Compare the left and right cards rather than treating either pattern as universally correct.</w:t>
      </w:r>
    </w:p>
    <w:p>
      <w:r>
        <w:t>Trainer emphasis: Ask: “Which choice would you make for Avi’s address? Which for Avi’s orders?”</w:t>
      </w:r>
    </w:p>
    <w:p/>
    <w:p>
      <w:pPr>
        <w:pStyle w:val="Heading1"/>
      </w:pPr>
      <w:r>
        <w:t>Slide 7 — Relationship Patterns at a Glance</w:t>
      </w:r>
    </w:p>
    <w:p>
      <w:r>
        <w:t>What to say: Summarize the three cardinalities. One-to-one often fits embedding. One-to-many often needs careful growth analysis. Many-to-many commonly benefits from references or ids.</w:t>
      </w:r>
    </w:p>
    <w:p>
      <w:r>
        <w:t>Explain the visual: Trace each card from ratio to storage suggestion.</w:t>
      </w:r>
    </w:p>
    <w:p>
      <w:r>
        <w:t>Trainer emphasis: Reinforce that cardinality is the starting signal, not the only decision.</w:t>
      </w:r>
    </w:p>
    <w:p/>
    <w:p>
      <w:pPr>
        <w:pStyle w:val="Heading1"/>
      </w:pPr>
      <w:r>
        <w:t>Slide 8 — Relation-Driven Design Decisions</w:t>
      </w:r>
    </w:p>
    <w:p>
      <w:r>
        <w:t>What to say: Before modeling, ask four questions: How many? How big? How shared? How accessed?</w:t>
      </w:r>
    </w:p>
    <w:p>
      <w:r>
        <w:t>Explain the visual: Point to each numbered question and connect it to document design.</w:t>
      </w:r>
    </w:p>
    <w:p>
      <w:r>
        <w:t>Trainer emphasis: Say: “These four questions prevent us from blindly translating a relational schema into MongoDB documents.”</w:t>
      </w:r>
    </w:p>
    <w:p/>
    <w:p>
      <w:pPr>
        <w:pStyle w:val="Heading1"/>
      </w:pPr>
      <w:r>
        <w:t>Slide 9 — Inspect Relations in mongosh</w:t>
      </w:r>
    </w:p>
    <w:p>
      <w:r>
        <w:t>What to say: The shell helps us see the chosen relationship directly. Avi is identified by AVI-001, profile data is nested, and order data is referenced.</w:t>
      </w:r>
    </w:p>
    <w:p>
      <w:r>
        <w:t>Explain the visual: Read the three shell queries from top to bottom and explain what each one is demonstrating.</w:t>
      </w:r>
    </w:p>
    <w:p>
      <w:r>
        <w:t>Trainer emphasis: Keep the focus on the relationship representation, not on advanced query features.</w:t>
      </w:r>
    </w:p>
    <w:p/>
    <w:p>
      <w:pPr>
        <w:pStyle w:val="Heading1"/>
      </w:pPr>
      <w:r>
        <w:t>Slide 10 — Relation Summary</w:t>
      </w:r>
    </w:p>
    <w:p>
      <w:r>
        <w:t>What to say: Close with the design chain: relation, cardinality, access pattern, then document shape.</w:t>
      </w:r>
    </w:p>
    <w:p>
      <w:r>
        <w:t>Explain the visual: Point to the Avi hub and each summary card.</w:t>
      </w:r>
    </w:p>
    <w:p>
      <w:r>
        <w:t>Trainer emphasis: Final message: “Good MongoDB modeling starts with how the application uses related data, not with copying tables one-for-one.”</w:t>
      </w:r>
    </w:p>
    <w:p/>
    <w:sectPr w:rsidR="00FC693F" w:rsidRPr="0006063C" w:rsidSect="00034616">
      <w:pgSz w:w="12240" w:h="15840"/>
      <w:pgMar w:top="792"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