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39FF58"/>
          <w:sz w:val="56"/>
        </w:rPr>
        <w:t>Lesson 029 — One-to-One — Embedded</w:t>
      </w:r>
    </w:p>
    <w:p>
      <w:pPr>
        <w:jc w:val="center"/>
      </w:pPr>
      <w:r>
        <w:rPr>
          <w:color w:val="555F58"/>
          <w:sz w:val="30"/>
        </w:rPr>
        <w:t>Embed one bounded, tightly related object inside its parent document.</w:t>
      </w:r>
    </w:p>
    <w:p>
      <w:pPr>
        <w:jc w:val="center"/>
      </w:pPr>
      <w:r>
        <w:rPr>
          <w:b/>
          <w:sz w:val="26"/>
        </w:rPr>
        <w:t>Training example: Avi • Bangalore • RR Nagar</w:t>
      </w:r>
    </w:p>
    <w:p>
      <w:r>
        <w:br w:type="page"/>
      </w:r>
    </w:p>
    <w:p>
      <w:pPr>
        <w:pStyle w:val="Heading1"/>
      </w:pPr>
      <w:r>
        <w:t>Learning Objective</w:t>
      </w:r>
    </w:p>
    <w:p>
      <w:r>
        <w:t>Understand when a one-to-one relationship fits naturally inside one MongoDB document and how embedding changes the access path.</w:t>
      </w:r>
    </w:p>
    <w:p>
      <w:pPr>
        <w:pStyle w:val="Heading1"/>
      </w:pPr>
      <w:r>
        <w:t>Core Idea</w:t>
      </w:r>
    </w:p>
    <w:p>
      <w:r>
        <w:t>A one-to-one embedded model keeps exactly one related object inside the parent document. For Avi, a bounded homeAddress can live inside the customer document because it belongs to Avi and is commonly read with his profile.</w:t>
      </w:r>
    </w:p>
    <w:p>
      <w:pPr>
        <w:pStyle w:val="Heading1"/>
      </w:pPr>
      <w:r>
        <w:t>How to Decide</w:t>
      </w:r>
    </w:p>
    <w:p>
      <w:r>
        <w:t>Use four questions: Is the child owned by the parent? Is it normally accessed with the parent? Is it small and bounded? Does it follow the same lifecycle? A “yes” across these checks supports embedding.</w:t>
      </w:r>
    </w:p>
    <w:p>
      <w:pPr>
        <w:pStyle w:val="Heading1"/>
      </w:pPr>
      <w:r>
        <w:t>Example Document Shape</w:t>
      </w:r>
    </w:p>
    <w:p>
      <w:r>
        <w:t>The parent document contains Avi’s identifying information plus one embedded homeAddress object. The application can retrieve both with one document read.</w:t>
      </w:r>
    </w:p>
    <w:p>
      <w:pPr>
        <w:pStyle w:val="Heading1"/>
      </w:pPr>
      <w:r>
        <w:t>Why This Shape Helps</w:t>
      </w:r>
    </w:p>
    <w:p>
      <w:r>
        <w:t>Embedding removes the need for a second lookup for a small one-to-one object. It also keeps related data close together and makes the document shape easy for an application to consume.</w:t>
      </w:r>
    </w:p>
    <w:p>
      <w:pPr>
        <w:pStyle w:val="Heading1"/>
      </w:pPr>
      <w:r>
        <w:t>Boundary to Watch</w:t>
      </w:r>
    </w:p>
    <w:p>
      <w:r>
        <w:t>Embedding is not a universal rule. A large, shared, independently queried, or independently growing object is a different modeling problem and may fit a reference better.</w:t>
      </w:r>
    </w:p>
    <w:p>
      <w:pPr>
        <w:pStyle w:val="Heading1"/>
      </w:pPr>
      <w:r>
        <w:t>Hands-on Focus</w:t>
      </w:r>
    </w:p>
    <w:p>
      <w:r>
        <w:t>The demo creates Avi with an embedded homeAddress, reads the nested object, projects only the needed fields, and verifies that the data is contained in one document.</w:t>
      </w:r>
    </w:p>
    <w:p>
      <w:pPr>
        <w:pStyle w:val="Heading1"/>
      </w:pPr>
      <w:r>
        <w:t>Quick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F5DF"/>
            <w:vAlign w:val="center"/>
          </w:tcPr>
          <w:p>
            <w:r>
              <w:t>Question</w:t>
            </w:r>
          </w:p>
        </w:tc>
        <w:tc>
          <w:tcPr>
            <w:tcW w:type="dxa" w:w="2880"/>
            <w:shd w:fill="D9F5DF"/>
            <w:vAlign w:val="center"/>
          </w:tcPr>
          <w:p>
            <w:r>
              <w:t>Embedded Signal</w:t>
            </w:r>
          </w:p>
        </w:tc>
        <w:tc>
          <w:tcPr>
            <w:tcW w:type="dxa" w:w="2880"/>
            <w:shd w:fill="D9F5DF"/>
            <w:vAlign w:val="center"/>
          </w:tcPr>
          <w:p>
            <w:r>
              <w:t>Avi Example</w:t>
            </w:r>
          </w:p>
        </w:tc>
      </w:tr>
      <w:tr>
        <w:tc>
          <w:tcPr>
            <w:tcW w:type="dxa" w:w="2880"/>
          </w:tcPr>
          <w:p>
            <w:r>
              <w:t>Ownership</w:t>
            </w:r>
          </w:p>
        </w:tc>
        <w:tc>
          <w:tcPr>
            <w:tcW w:type="dxa" w:w="2880"/>
          </w:tcPr>
          <w:p>
            <w:r>
              <w:t>Child belongs to parent</w:t>
            </w:r>
          </w:p>
        </w:tc>
        <w:tc>
          <w:tcPr>
            <w:tcW w:type="dxa" w:w="2880"/>
          </w:tcPr>
          <w:p>
            <w:r>
              <w:t>homeAddress belongs to Avi</w:t>
            </w:r>
          </w:p>
        </w:tc>
      </w:tr>
      <w:tr>
        <w:tc>
          <w:tcPr>
            <w:tcW w:type="dxa" w:w="2880"/>
          </w:tcPr>
          <w:p>
            <w:r>
              <w:t>Access</w:t>
            </w:r>
          </w:p>
        </w:tc>
        <w:tc>
          <w:tcPr>
            <w:tcW w:type="dxa" w:w="2880"/>
          </w:tcPr>
          <w:p>
            <w:r>
              <w:t>Often read together</w:t>
            </w:r>
          </w:p>
        </w:tc>
        <w:tc>
          <w:tcPr>
            <w:tcW w:type="dxa" w:w="2880"/>
          </w:tcPr>
          <w:p>
            <w:r>
              <w:t>Profile + address together</w:t>
            </w:r>
          </w:p>
        </w:tc>
      </w:tr>
      <w:tr>
        <w:tc>
          <w:tcPr>
            <w:tcW w:type="dxa" w:w="2880"/>
          </w:tcPr>
          <w:p>
            <w:r>
              <w:t>Growth</w:t>
            </w:r>
          </w:p>
        </w:tc>
        <w:tc>
          <w:tcPr>
            <w:tcW w:type="dxa" w:w="2880"/>
          </w:tcPr>
          <w:p>
            <w:r>
              <w:t>Small / bounded</w:t>
            </w:r>
          </w:p>
        </w:tc>
        <w:tc>
          <w:tcPr>
            <w:tcW w:type="dxa" w:w="2880"/>
          </w:tcPr>
          <w:p>
            <w:r>
              <w:t>One home address</w:t>
            </w:r>
          </w:p>
        </w:tc>
      </w:tr>
      <w:tr>
        <w:tc>
          <w:tcPr>
            <w:tcW w:type="dxa" w:w="2880"/>
          </w:tcPr>
          <w:p>
            <w:r>
              <w:t>Lifecycle</w:t>
            </w:r>
          </w:p>
        </w:tc>
        <w:tc>
          <w:tcPr>
            <w:tcW w:type="dxa" w:w="2880"/>
          </w:tcPr>
          <w:p>
            <w:r>
              <w:t>Changes with parent</w:t>
            </w:r>
          </w:p>
        </w:tc>
        <w:tc>
          <w:tcPr>
            <w:tcW w:type="dxa" w:w="2880"/>
          </w:tcPr>
          <w:p>
            <w:r>
              <w:t>Address is part of Avi profile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97832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