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933B"/>
          <w:sz w:val="52"/>
        </w:rPr>
        <w:t>Lesson 030</w:t>
      </w:r>
    </w:p>
    <w:p>
      <w:pPr>
        <w:jc w:val="center"/>
      </w:pPr>
      <w:r>
        <w:rPr>
          <w:b/>
          <w:sz w:val="48"/>
        </w:rPr>
        <w:t>One-to-Many — Embedded</w:t>
      </w:r>
    </w:p>
    <w:p>
      <w:pPr>
        <w:jc w:val="center"/>
      </w:pPr>
      <w:r>
        <w:rPr>
          <w:sz w:val="26"/>
        </w:rPr>
        <w:t>Modeling related data with an embedded array in MongoDB</w:t>
      </w:r>
    </w:p>
    <w:p>
      <w:pPr>
        <w:jc w:val="center"/>
      </w:pPr>
      <w:r>
        <w:rPr>
          <w:color w:val="5A6460"/>
          <w:sz w:val="24"/>
        </w:rPr>
        <w:t>Example used throughout: Avi — Bangalore, RR Nagar</w:t>
      </w:r>
    </w:p>
    <w:p>
      <w:r>
        <w:br w:type="page"/>
      </w:r>
    </w:p>
    <w:p>
      <w:pPr>
        <w:jc w:val="left"/>
      </w:pPr>
      <w:r>
        <w:rPr>
          <w:b/>
          <w:color w:val="14933B"/>
          <w:sz w:val="52"/>
        </w:rPr>
        <w:t>Overview</w:t>
      </w:r>
    </w:p>
    <w:p>
      <w:r>
        <w:rPr>
          <w:sz w:val="22"/>
        </w:rPr>
        <w:t>A one-to-many relationship exists when one parent document is associated with multiple related items. In MongoDB, those items can be embedded as an array inside the parent document when the relationship is bounded and the data is commonly accessed together.</w:t>
      </w:r>
    </w:p>
    <w:p>
      <w:pPr>
        <w:jc w:val="left"/>
      </w:pPr>
      <w:r>
        <w:rPr>
          <w:b/>
          <w:color w:val="14933B"/>
          <w:sz w:val="52"/>
        </w:rPr>
        <w:t>Core Pattern</w:t>
      </w:r>
    </w:p>
    <w:tbl>
      <w:tblPr>
        <w:tblW w:type="auto" w:w="0"/>
        <w:jc w:val="center"/>
        <w:tblLook w:firstColumn="1" w:firstRow="1" w:lastColumn="0" w:lastRow="0" w:noHBand="0" w:noVBand="1" w:val="04A0"/>
      </w:tblPr>
      <w:tblGrid>
        <w:gridCol w:w="3408"/>
        <w:gridCol w:w="3408"/>
        <w:gridCol w:w="3408"/>
      </w:tblGrid>
      <w:tr>
        <w:tc>
          <w:tcPr>
            <w:tcW w:type="dxa" w:w="3408"/>
            <w:shd w:fill="14933B"/>
          </w:tcPr>
          <w:p>
            <w:r>
              <w:rPr>
                <w:b/>
                <w:color w:val="FFFFFF"/>
              </w:rPr>
              <w:t>Parent</w:t>
            </w:r>
          </w:p>
        </w:tc>
        <w:tc>
          <w:tcPr>
            <w:tcW w:type="dxa" w:w="3408"/>
            <w:shd w:fill="14933B"/>
          </w:tcPr>
          <w:p>
            <w:r>
              <w:rPr>
                <w:b/>
                <w:color w:val="FFFFFF"/>
              </w:rPr>
              <w:t>Embedded array</w:t>
            </w:r>
          </w:p>
        </w:tc>
        <w:tc>
          <w:tcPr>
            <w:tcW w:type="dxa" w:w="3408"/>
            <w:shd w:fill="14933B"/>
          </w:tcPr>
          <w:p>
            <w:r>
              <w:rPr>
                <w:b/>
                <w:color w:val="FFFFFF"/>
              </w:rPr>
              <w:t>Access pattern</w:t>
            </w:r>
          </w:p>
        </w:tc>
      </w:tr>
      <w:tr>
        <w:tc>
          <w:tcPr>
            <w:tcW w:type="dxa" w:w="3408"/>
          </w:tcPr>
          <w:p>
            <w:r>
              <w:t>Avi</w:t>
            </w:r>
          </w:p>
        </w:tc>
        <w:tc>
          <w:tcPr>
            <w:tcW w:type="dxa" w:w="3408"/>
          </w:tcPr>
          <w:p>
            <w:r>
              <w:t>orders[]</w:t>
            </w:r>
          </w:p>
        </w:tc>
        <w:tc>
          <w:tcPr>
            <w:tcW w:type="dxa" w:w="3408"/>
          </w:tcPr>
          <w:p>
            <w:r>
              <w:t>Read the profile and orders together</w:t>
            </w:r>
          </w:p>
        </w:tc>
      </w:tr>
      <w:tr>
        <w:tc>
          <w:tcPr>
            <w:tcW w:type="dxa" w:w="3408"/>
          </w:tcPr>
          <w:p>
            <w:r>
              <w:t>Avi</w:t>
            </w:r>
          </w:p>
        </w:tc>
        <w:tc>
          <w:tcPr>
            <w:tcW w:type="dxa" w:w="3408"/>
          </w:tcPr>
          <w:p>
            <w:r>
              <w:t>multiple order documents</w:t>
            </w:r>
          </w:p>
        </w:tc>
        <w:tc>
          <w:tcPr>
            <w:tcW w:type="dxa" w:w="3408"/>
          </w:tcPr>
          <w:p>
            <w:r>
              <w:t>Bounded child collection</w:t>
            </w:r>
          </w:p>
        </w:tc>
      </w:tr>
      <w:tr>
        <w:tc>
          <w:tcPr>
            <w:tcW w:type="dxa" w:w="3408"/>
          </w:tcPr>
          <w:p>
            <w:r>
              <w:t>Avi</w:t>
            </w:r>
          </w:p>
        </w:tc>
        <w:tc>
          <w:tcPr>
            <w:tcW w:type="dxa" w:w="3408"/>
          </w:tcPr>
          <w:p>
            <w:r>
              <w:t>single document</w:t>
            </w:r>
          </w:p>
        </w:tc>
        <w:tc>
          <w:tcPr>
            <w:tcW w:type="dxa" w:w="3408"/>
          </w:tcPr>
          <w:p>
            <w:r>
              <w:t>No separate join step for this shape</w:t>
            </w:r>
          </w:p>
        </w:tc>
      </w:tr>
    </w:tbl>
    <w:p>
      <w:pPr>
        <w:jc w:val="left"/>
      </w:pPr>
      <w:r>
        <w:rPr>
          <w:b/>
          <w:color w:val="14933B"/>
          <w:sz w:val="52"/>
        </w:rPr>
        <w:t>Example Document</w:t>
      </w:r>
    </w:p>
    <w:p>
      <w:r>
        <w:rPr>
          <w:rFonts w:ascii="Consolas" w:hAnsi="Consolas"/>
          <w:sz w:val="20"/>
        </w:rPr>
        <w:t>{</w:t>
        <w:br/>
        <w:t xml:space="preserve">  name: "Avi",</w:t>
        <w:br/>
        <w:t xml:space="preserve">  location: "Bangalore, RR Nagar",</w:t>
        <w:br/>
        <w:t xml:space="preserve">  orders: [</w:t>
        <w:br/>
        <w:t xml:space="preserve">    { orderId: "O1001", total: 75000 },</w:t>
        <w:br/>
        <w:t xml:space="preserve">    { orderId: "O1002", total: 2000 },</w:t>
        <w:br/>
        <w:t xml:space="preserve">    { orderId: "O1003", total: 3000 }</w:t>
        <w:br/>
        <w:t xml:space="preserve">  ]</w:t>
        <w:br/>
        <w:t>}</w:t>
      </w:r>
    </w:p>
    <w:p>
      <w:pPr>
        <w:jc w:val="left"/>
      </w:pPr>
      <w:r>
        <w:rPr>
          <w:b/>
          <w:color w:val="14933B"/>
          <w:sz w:val="52"/>
        </w:rPr>
        <w:t>When Embedding Fits</w:t>
      </w:r>
    </w:p>
    <w:p>
      <w:pPr>
        <w:pStyle w:val="ListBullet"/>
        <w:ind w:left="288"/>
      </w:pPr>
      <w:r>
        <w:rPr>
          <w:sz w:val="22"/>
        </w:rPr>
        <w:t>The number of related items is small or reasonably bounded.</w:t>
      </w:r>
    </w:p>
    <w:p>
      <w:pPr>
        <w:pStyle w:val="ListBullet"/>
        <w:ind w:left="288"/>
      </w:pPr>
      <w:r>
        <w:rPr>
          <w:sz w:val="22"/>
        </w:rPr>
        <w:t>The child items naturally belong to the parent.</w:t>
      </w:r>
    </w:p>
    <w:p>
      <w:pPr>
        <w:pStyle w:val="ListBullet"/>
        <w:ind w:left="288"/>
      </w:pPr>
      <w:r>
        <w:rPr>
          <w:sz w:val="22"/>
        </w:rPr>
        <w:t>The application normally reads the parent and children together.</w:t>
      </w:r>
    </w:p>
    <w:p>
      <w:pPr>
        <w:pStyle w:val="ListBullet"/>
        <w:ind w:left="288"/>
      </w:pPr>
      <w:r>
        <w:rPr>
          <w:sz w:val="22"/>
        </w:rPr>
        <w:t>Keeping the relationship in one document makes the access path simple.</w:t>
      </w:r>
    </w:p>
    <w:p>
      <w:pPr>
        <w:jc w:val="left"/>
      </w:pPr>
      <w:r>
        <w:rPr>
          <w:b/>
          <w:color w:val="14933B"/>
          <w:sz w:val="52"/>
        </w:rPr>
        <w:t>Read the Embedded Relationship</w:t>
      </w:r>
    </w:p>
    <w:p>
      <w:r>
        <w:rPr>
          <w:rFonts w:ascii="Consolas" w:hAnsi="Consolas"/>
          <w:sz w:val="20"/>
        </w:rPr>
        <w:t>db.people.findOne(</w:t>
        <w:br/>
        <w:t xml:space="preserve">  { name: "Avi", "orders.item": "Laptop" }</w:t>
        <w:br/>
        <w:t>)</w:t>
      </w:r>
    </w:p>
    <w:p>
      <w:pPr>
        <w:jc w:val="left"/>
      </w:pPr>
      <w:r>
        <w:rPr>
          <w:b/>
          <w:color w:val="14933B"/>
          <w:sz w:val="52"/>
        </w:rPr>
        <w:t>Update the Embedded Array</w:t>
      </w:r>
    </w:p>
    <w:p>
      <w:r>
        <w:rPr>
          <w:rFonts w:ascii="Consolas" w:hAnsi="Consolas"/>
          <w:sz w:val="20"/>
        </w:rPr>
        <w:t>db.people.updateOne(</w:t>
        <w:br/>
        <w:t xml:space="preserve">  { name: "Avi" },</w:t>
        <w:br/>
        <w:t xml:space="preserve">  { $push: { orders: { orderId: "O1004", item: "Monitor", total: 18000 } } }</w:t>
        <w:br/>
        <w:t>)</w:t>
      </w:r>
    </w:p>
    <w:p>
      <w:pPr>
        <w:jc w:val="left"/>
      </w:pPr>
      <w:r>
        <w:rPr>
          <w:b/>
          <w:color w:val="14933B"/>
          <w:sz w:val="52"/>
        </w:rPr>
        <w:t>Design Boundaries</w:t>
      </w:r>
    </w:p>
    <w:p>
      <w:pPr>
        <w:pStyle w:val="ListBullet"/>
        <w:ind w:left="288"/>
      </w:pPr>
      <w:r>
        <w:rPr>
          <w:sz w:val="22"/>
        </w:rPr>
        <w:t>Watch document growth as the embedded array expands.</w:t>
      </w:r>
    </w:p>
    <w:p>
      <w:pPr>
        <w:pStyle w:val="ListBullet"/>
        <w:ind w:left="288"/>
      </w:pPr>
      <w:r>
        <w:rPr>
          <w:sz w:val="22"/>
        </w:rPr>
        <w:t>Embedding becomes less attractive when children grow without a practical bound.</w:t>
      </w:r>
    </w:p>
    <w:p>
      <w:pPr>
        <w:pStyle w:val="ListBullet"/>
        <w:ind w:left="288"/>
      </w:pPr>
      <w:r>
        <w:rPr>
          <w:sz w:val="22"/>
        </w:rPr>
        <w:t>Reconsider the model when child items are updated or accessed independently.</w:t>
      </w:r>
    </w:p>
    <w:p>
      <w:pPr>
        <w:jc w:val="left"/>
      </w:pPr>
      <w:r>
        <w:rPr>
          <w:b/>
          <w:color w:val="14933B"/>
          <w:sz w:val="52"/>
        </w:rPr>
        <w:t>Key Takeaways</w:t>
      </w:r>
    </w:p>
    <w:p>
      <w:pPr>
        <w:pStyle w:val="ListBullet"/>
        <w:ind w:left="288"/>
      </w:pPr>
      <w:r>
        <w:rPr>
          <w:sz w:val="22"/>
        </w:rPr>
        <w:t>One parent can contain many related items in an embedded array.</w:t>
      </w:r>
    </w:p>
    <w:p>
      <w:pPr>
        <w:pStyle w:val="ListBullet"/>
        <w:ind w:left="288"/>
      </w:pPr>
      <w:r>
        <w:rPr>
          <w:sz w:val="22"/>
        </w:rPr>
        <w:t>Embedding is a document-shape decision driven by access patterns and growth.</w:t>
      </w:r>
    </w:p>
    <w:p>
      <w:pPr>
        <w:pStyle w:val="ListBullet"/>
        <w:ind w:left="288"/>
      </w:pPr>
      <w:r>
        <w:rPr>
          <w:sz w:val="22"/>
        </w:rPr>
        <w:t>Use a predictable child shape and keep the array reasonably bounded.</w:t>
      </w:r>
    </w:p>
    <w:p>
      <w:pPr>
        <w:pStyle w:val="ListBullet"/>
        <w:ind w:left="288"/>
      </w:pPr>
      <w:r>
        <w:rPr>
          <w:sz w:val="22"/>
        </w:rPr>
        <w:t>Avi’s example keeps the parent and related orders together in one document.</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