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933B"/>
          <w:sz w:val="50"/>
        </w:rPr>
        <w:t>Lesson 030</w:t>
      </w:r>
    </w:p>
    <w:p>
      <w:pPr>
        <w:jc w:val="center"/>
      </w:pPr>
      <w:r>
        <w:rPr>
          <w:b/>
          <w:sz w:val="44"/>
        </w:rPr>
        <w:t>One-to-Many — Embedded</w:t>
      </w:r>
    </w:p>
    <w:p>
      <w:pPr>
        <w:jc w:val="center"/>
      </w:pPr>
      <w:r>
        <w:rPr>
          <w:sz w:val="26"/>
        </w:rPr>
        <w:t>Speaker notes for training delivery</w:t>
      </w:r>
    </w:p>
    <w:p>
      <w:pPr>
        <w:jc w:val="center"/>
      </w:pPr>
      <w:r>
        <w:rPr>
          <w:color w:val="5A6460"/>
          <w:sz w:val="24"/>
        </w:rPr>
        <w:t>Example: Avi — Bangalore, RR Nagar</w:t>
      </w:r>
    </w:p>
    <w:p>
      <w:r>
        <w:br w:type="page"/>
      </w:r>
    </w:p>
    <w:p>
      <w:pPr>
        <w:jc w:val="left"/>
      </w:pPr>
      <w:r>
        <w:rPr>
          <w:b/>
          <w:color w:val="14933B"/>
          <w:sz w:val="36"/>
        </w:rPr>
        <w:t>Slide 1 — Title</w:t>
      </w:r>
    </w:p>
    <w:p>
      <w:r>
        <w:rPr>
          <w:b/>
          <w:color w:val="14933B"/>
        </w:rPr>
        <w:t xml:space="preserve">What to say: </w:t>
      </w:r>
      <w:r>
        <w:rPr>
          <w:sz w:val="22"/>
        </w:rPr>
        <w:t>Open by defining the lesson goal: model a one-to-many relationship by embedding the many-side items inside the parent document. Use Avi in Bangalore, RR Nagar as the single example throughout.</w:t>
      </w:r>
    </w:p>
    <w:p>
      <w:r>
        <w:rPr>
          <w:b/>
        </w:rPr>
        <w:t xml:space="preserve">Key training emphasis: </w:t>
      </w:r>
      <w:r>
        <w:rPr>
          <w:sz w:val="20"/>
        </w:rPr>
        <w:t>Use only Avi — Bangalore, RR Nagar in examples and keep the discussion focused on one-to-many embedding.</w:t>
      </w:r>
    </w:p>
    <w:p>
      <w:pPr>
        <w:jc w:val="left"/>
      </w:pPr>
      <w:r>
        <w:rPr>
          <w:b/>
          <w:color w:val="14933B"/>
          <w:sz w:val="36"/>
        </w:rPr>
        <w:t>Slide 2 — One-to-Many as an Embedded Pattern</w:t>
      </w:r>
    </w:p>
    <w:p>
      <w:r>
        <w:rPr>
          <w:b/>
          <w:color w:val="14933B"/>
        </w:rPr>
        <w:t xml:space="preserve">What to say: </w:t>
      </w:r>
      <w:r>
        <w:rPr>
          <w:sz w:val="22"/>
        </w:rPr>
        <w:t>Explain one parent and many related items. Point to Avi as the single parent and the order boxes as the embedded children. Emphasize that embedding is a modeling choice, not simply a storage trick.</w:t>
      </w:r>
    </w:p>
    <w:p>
      <w:r>
        <w:rPr>
          <w:b/>
        </w:rPr>
        <w:t xml:space="preserve">Key training emphasis: </w:t>
      </w:r>
      <w:r>
        <w:rPr>
          <w:sz w:val="20"/>
        </w:rPr>
        <w:t>Use only Avi — Bangalore, RR Nagar in examples and keep the discussion focused on one-to-many embedding.</w:t>
      </w:r>
    </w:p>
    <w:p>
      <w:pPr>
        <w:jc w:val="left"/>
      </w:pPr>
      <w:r>
        <w:rPr>
          <w:b/>
          <w:color w:val="14933B"/>
          <w:sz w:val="36"/>
        </w:rPr>
        <w:t>Slide 3 — Document Shape</w:t>
      </w:r>
    </w:p>
    <w:p>
      <w:r>
        <w:rPr>
          <w:b/>
          <w:color w:val="14933B"/>
        </w:rPr>
        <w:t xml:space="preserve">What to say: </w:t>
      </w:r>
      <w:r>
        <w:rPr>
          <w:sz w:val="22"/>
        </w:rPr>
        <w:t>Walk line by line through the document. The parent fields stay at the top level, while the orders become an array. Call out that every embedded order follows a predictable shape.</w:t>
      </w:r>
    </w:p>
    <w:p>
      <w:r>
        <w:rPr>
          <w:b/>
        </w:rPr>
        <w:t xml:space="preserve">Key training emphasis: </w:t>
      </w:r>
      <w:r>
        <w:rPr>
          <w:sz w:val="20"/>
        </w:rPr>
        <w:t>Use only Avi — Bangalore, RR Nagar in examples and keep the discussion focused on one-to-many embedding.</w:t>
      </w:r>
    </w:p>
    <w:p>
      <w:pPr>
        <w:jc w:val="left"/>
      </w:pPr>
      <w:r>
        <w:rPr>
          <w:b/>
          <w:color w:val="14933B"/>
          <w:sz w:val="36"/>
        </w:rPr>
        <w:t>Slide 4 — When Embedded One-to-Many Fits</w:t>
      </w:r>
    </w:p>
    <w:p>
      <w:r>
        <w:rPr>
          <w:b/>
          <w:color w:val="14933B"/>
        </w:rPr>
        <w:t xml:space="preserve">What to say: </w:t>
      </w:r>
      <w:r>
        <w:rPr>
          <w:sz w:val="22"/>
        </w:rPr>
        <w:t>Teach the four signals: bounded growth, co-access, ownership, and simple reads. Stress that the relationship should match the application’s actual access pattern.</w:t>
      </w:r>
    </w:p>
    <w:p>
      <w:r>
        <w:rPr>
          <w:b/>
        </w:rPr>
        <w:t xml:space="preserve">Key training emphasis: </w:t>
      </w:r>
      <w:r>
        <w:rPr>
          <w:sz w:val="20"/>
        </w:rPr>
        <w:t>Use only Avi — Bangalore, RR Nagar in examples and keep the discussion focused on one-to-many embedding.</w:t>
      </w:r>
    </w:p>
    <w:p>
      <w:pPr>
        <w:jc w:val="left"/>
      </w:pPr>
      <w:r>
        <w:rPr>
          <w:b/>
          <w:color w:val="14933B"/>
          <w:sz w:val="36"/>
        </w:rPr>
        <w:t>Slide 5 — Reading Embedded Items</w:t>
      </w:r>
    </w:p>
    <w:p>
      <w:r>
        <w:rPr>
          <w:b/>
          <w:color w:val="14933B"/>
        </w:rPr>
        <w:t xml:space="preserve">What to say: </w:t>
      </w:r>
      <w:r>
        <w:rPr>
          <w:sz w:val="22"/>
        </w:rPr>
        <w:t>Show how one query can return Avi together with the embedded orders. Explain that the application can work with the document as one logical unit.</w:t>
      </w:r>
    </w:p>
    <w:p>
      <w:r>
        <w:rPr>
          <w:b/>
        </w:rPr>
        <w:t xml:space="preserve">Key training emphasis: </w:t>
      </w:r>
      <w:r>
        <w:rPr>
          <w:sz w:val="20"/>
        </w:rPr>
        <w:t>Use only Avi — Bangalore, RR Nagar in examples and keep the discussion focused on one-to-many embedding.</w:t>
      </w:r>
    </w:p>
    <w:p>
      <w:pPr>
        <w:jc w:val="left"/>
      </w:pPr>
      <w:r>
        <w:rPr>
          <w:b/>
          <w:color w:val="14933B"/>
          <w:sz w:val="36"/>
        </w:rPr>
        <w:t>Slide 6 — Updating an Embedded Array</w:t>
      </w:r>
    </w:p>
    <w:p>
      <w:r>
        <w:rPr>
          <w:b/>
          <w:color w:val="14933B"/>
        </w:rPr>
        <w:t xml:space="preserve">What to say: </w:t>
      </w:r>
      <w:r>
        <w:rPr>
          <w:sz w:val="22"/>
        </w:rPr>
        <w:t>Explain $push as the example mechanism for adding another order. Point out that the parent document remains the unit being updated.</w:t>
      </w:r>
    </w:p>
    <w:p>
      <w:r>
        <w:rPr>
          <w:b/>
        </w:rPr>
        <w:t xml:space="preserve">Key training emphasis: </w:t>
      </w:r>
      <w:r>
        <w:rPr>
          <w:sz w:val="20"/>
        </w:rPr>
        <w:t>Use only Avi — Bangalore, RR Nagar in examples and keep the discussion focused on one-to-many embedding.</w:t>
      </w:r>
    </w:p>
    <w:p>
      <w:pPr>
        <w:jc w:val="left"/>
      </w:pPr>
      <w:r>
        <w:rPr>
          <w:b/>
          <w:color w:val="14933B"/>
          <w:sz w:val="36"/>
        </w:rPr>
        <w:t>Slide 7 — Watch the Array Size</w:t>
      </w:r>
    </w:p>
    <w:p>
      <w:r>
        <w:rPr>
          <w:b/>
          <w:color w:val="14933B"/>
        </w:rPr>
        <w:t xml:space="preserve">What to say: </w:t>
      </w:r>
      <w:r>
        <w:rPr>
          <w:sz w:val="22"/>
        </w:rPr>
        <w:t>Use the visual to discuss growth. A bounded list can be a good fit; an ever-growing list can turn the parent document into an oversized and awkward access unit.</w:t>
      </w:r>
    </w:p>
    <w:p>
      <w:r>
        <w:rPr>
          <w:b/>
        </w:rPr>
        <w:t xml:space="preserve">Key training emphasis: </w:t>
      </w:r>
      <w:r>
        <w:rPr>
          <w:sz w:val="20"/>
        </w:rPr>
        <w:t>Use only Avi — Bangalore, RR Nagar in examples and keep the discussion focused on one-to-many embedding.</w:t>
      </w:r>
    </w:p>
    <w:p>
      <w:pPr>
        <w:jc w:val="left"/>
      </w:pPr>
      <w:r>
        <w:rPr>
          <w:b/>
          <w:color w:val="14933B"/>
          <w:sz w:val="36"/>
        </w:rPr>
        <w:t>Slide 8 — Embedded vs Separate Child Collection</w:t>
      </w:r>
    </w:p>
    <w:p>
      <w:r>
        <w:rPr>
          <w:b/>
          <w:color w:val="14933B"/>
        </w:rPr>
        <w:t xml:space="preserve">What to say: </w:t>
      </w:r>
      <w:r>
        <w:rPr>
          <w:sz w:val="22"/>
        </w:rPr>
        <w:t>Present this as a design comparison, not a rule. Embedding fits bounded, co-read data. A separate collection becomes useful when children grow independently or are frequently accessed alone.</w:t>
      </w:r>
    </w:p>
    <w:p>
      <w:r>
        <w:rPr>
          <w:b/>
        </w:rPr>
        <w:t xml:space="preserve">Key training emphasis: </w:t>
      </w:r>
      <w:r>
        <w:rPr>
          <w:sz w:val="20"/>
        </w:rPr>
        <w:t>Use only Avi — Bangalore, RR Nagar in examples and keep the discussion focused on one-to-many embedding.</w:t>
      </w:r>
    </w:p>
    <w:p>
      <w:pPr>
        <w:jc w:val="left"/>
      </w:pPr>
      <w:r>
        <w:rPr>
          <w:b/>
          <w:color w:val="14933B"/>
          <w:sz w:val="36"/>
        </w:rPr>
        <w:t>Slide 9 — Demo Focus</w:t>
      </w:r>
    </w:p>
    <w:p>
      <w:r>
        <w:rPr>
          <w:b/>
          <w:color w:val="14933B"/>
        </w:rPr>
        <w:t xml:space="preserve">What to say: </w:t>
      </w:r>
      <w:r>
        <w:rPr>
          <w:sz w:val="22"/>
        </w:rPr>
        <w:t>Run the mongosh demo. Insert Avi with several embedded orders, query the relationship, add another order, and verify the result. Keep every example centered on Avi.</w:t>
      </w:r>
    </w:p>
    <w:p>
      <w:r>
        <w:rPr>
          <w:b/>
        </w:rPr>
        <w:t xml:space="preserve">Key training emphasis: </w:t>
      </w:r>
      <w:r>
        <w:rPr>
          <w:sz w:val="20"/>
        </w:rPr>
        <w:t>Use only Avi — Bangalore, RR Nagar in examples and keep the discussion focused on one-to-many embedding.</w:t>
      </w:r>
    </w:p>
    <w:p>
      <w:pPr>
        <w:jc w:val="left"/>
      </w:pPr>
      <w:r>
        <w:rPr>
          <w:b/>
          <w:color w:val="14933B"/>
          <w:sz w:val="36"/>
        </w:rPr>
        <w:t>Slide 10 — Summary</w:t>
      </w:r>
    </w:p>
    <w:p>
      <w:r>
        <w:rPr>
          <w:b/>
          <w:color w:val="14933B"/>
        </w:rPr>
        <w:t xml:space="preserve">What to say: </w:t>
      </w:r>
      <w:r>
        <w:rPr>
          <w:sz w:val="22"/>
        </w:rPr>
        <w:t>Recap the four visual stages: parent, array, together-read access, and bounded growth. End with the design principle: model the document around real access patterns and lifecycle behavior.</w:t>
      </w:r>
    </w:p>
    <w:p>
      <w:r>
        <w:rPr>
          <w:b/>
        </w:rPr>
        <w:t xml:space="preserve">Key training emphasis: </w:t>
      </w:r>
      <w:r>
        <w:rPr>
          <w:sz w:val="20"/>
        </w:rPr>
        <w:t>Use only Avi — Bangalore, RR Nagar in examples and keep the discussion focused on one-to-many embedding.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