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0"/>
        </w:rPr>
        <w:t>Lesson 031</w:t>
      </w:r>
    </w:p>
    <w:p>
      <w:pPr>
        <w:jc w:val="center"/>
      </w:pPr>
      <w:r>
        <w:rPr>
          <w:b/>
          <w:sz w:val="44"/>
        </w:rPr>
        <w:t>One-to-Many — Embedded</w:t>
      </w:r>
    </w:p>
    <w:p>
      <w:pPr>
        <w:jc w:val="center"/>
      </w:pPr>
      <w:r>
        <w:rPr>
          <w:sz w:val="26"/>
        </w:rPr>
        <w:t>Detailed slide-by-slide speaker notes</w:t>
      </w:r>
    </w:p>
    <w:p>
      <w:pPr>
        <w:jc w:val="center"/>
      </w:pPr>
      <w:r>
        <w:rPr>
          <w:color w:val="5A6460"/>
          <w:sz w:val="24"/>
        </w:rPr>
        <w:t>Example used throughout: Avi — Bangalore, RR Nagar</w:t>
      </w:r>
    </w:p>
    <w:p>
      <w:r>
        <w:br w:type="page"/>
      </w:r>
    </w:p>
    <w:p>
      <w:r>
        <w:rPr>
          <w:b/>
          <w:color w:val="14933B"/>
          <w:sz w:val="36"/>
        </w:rPr>
        <w:t>Slide 1 — Title</w:t>
      </w:r>
    </w:p>
    <w:p>
      <w:r>
        <w:rPr>
          <w:b/>
          <w:color w:val="14933B"/>
        </w:rPr>
        <w:t xml:space="preserve">What to say: </w:t>
      </w:r>
      <w:r>
        <w:rPr>
          <w:sz w:val="20"/>
        </w:rPr>
        <w:t>Start by telling learners that the lesson is about representing a one-to-many relationship inside a single MongoDB document. Introduce Avi as the only person used in the lesson. Explain that Avi lives in Bangalore, RR Nagar and has several related addresses. Point to the parent box first, then the embedded child boxes. The visual message is simple: one parent document can carry many related objects when the relationship fits the embedding pattern. Transition by defining what one-to-many means.</w:t>
      </w:r>
    </w:p>
    <w:p>
      <w:r>
        <w:rPr>
          <w:b/>
        </w:rPr>
        <w:t xml:space="preserve">Trainer cue: </w:t>
      </w:r>
      <w:r>
        <w:rPr>
          <w:sz w:val="18"/>
        </w:rPr>
        <w:t>Keep every example centered on Avi — Bangalore, RR Nagar.</w:t>
      </w:r>
    </w:p>
    <w:p>
      <w:r>
        <w:rPr>
          <w:b/>
          <w:color w:val="14933B"/>
          <w:sz w:val="36"/>
        </w:rPr>
        <w:t>Slide 2 — One Parent, Many Related Items</w:t>
      </w:r>
    </w:p>
    <w:p>
      <w:r>
        <w:rPr>
          <w:b/>
          <w:color w:val="14933B"/>
        </w:rPr>
        <w:t xml:space="preserve">What to say: </w:t>
      </w:r>
      <w:r>
        <w:rPr>
          <w:sz w:val="20"/>
        </w:rPr>
        <w:t>Define one-to-many using the Avi example. One Avi can have multiple addresses. Explain that the important modeling question is not just how many values exist, but whether those values belong naturally to the same parent and are commonly needed with it. Point at the connectors to show that Home, Office, and Shipping all belong to Avi. Emphasize that embedding makes the relationship explicit inside the document rather than splitting it across separate records.</w:t>
      </w:r>
    </w:p>
    <w:p>
      <w:r>
        <w:rPr>
          <w:b/>
        </w:rPr>
        <w:t xml:space="preserve">Trainer cue: </w:t>
      </w:r>
      <w:r>
        <w:rPr>
          <w:sz w:val="18"/>
        </w:rPr>
        <w:t>Keep every example centered on Avi — Bangalore, RR Nagar.</w:t>
      </w:r>
    </w:p>
    <w:p>
      <w:r>
        <w:rPr>
          <w:b/>
          <w:color w:val="14933B"/>
          <w:sz w:val="36"/>
        </w:rPr>
        <w:t>Slide 3 — Document Shape</w:t>
      </w:r>
    </w:p>
    <w:p>
      <w:r>
        <w:rPr>
          <w:b/>
          <w:color w:val="14933B"/>
        </w:rPr>
        <w:t xml:space="preserve">What to say: </w:t>
      </w:r>
      <w:r>
        <w:rPr>
          <w:sz w:val="20"/>
        </w:rPr>
        <w:t>Walk through the document from top to bottom. First, identify the parent fields name and location. Next, highlight the addresses array. Explain that each element in the array is itself an object with a predictable shape. Call out that the many side is represented as an array because there are multiple related child objects. Pause on the closing brackets so learners see visually where the parent document ends and the embedded array sits inside it.</w:t>
      </w:r>
    </w:p>
    <w:p>
      <w:r>
        <w:rPr>
          <w:b/>
        </w:rPr>
        <w:t xml:space="preserve">Trainer cue: </w:t>
      </w:r>
      <w:r>
        <w:rPr>
          <w:sz w:val="18"/>
        </w:rPr>
        <w:t>Keep every example centered on Avi — Bangalore, RR Nagar.</w:t>
      </w:r>
    </w:p>
    <w:p>
      <w:r>
        <w:rPr>
          <w:b/>
          <w:color w:val="14933B"/>
          <w:sz w:val="36"/>
        </w:rPr>
        <w:t>Slide 4 — When This Embedded Pattern Fits</w:t>
      </w:r>
    </w:p>
    <w:p>
      <w:r>
        <w:rPr>
          <w:b/>
          <w:color w:val="14933B"/>
        </w:rPr>
        <w:t xml:space="preserve">What to say: </w:t>
      </w:r>
      <w:r>
        <w:rPr>
          <w:sz w:val="20"/>
        </w:rPr>
        <w:t>Teach the four design signals one by one. Bounded means the child list is not expected to grow forever. Co-read means the application often needs the parent and the related items at the same time. Owned means the child objects make sense as part of the parent. Local means the relationship can be managed as part of one document. Explain that these are design signals rather than a mechanical rule. Ask learners which of Avi’s addresses satisfy each signal.</w:t>
      </w:r>
    </w:p>
    <w:p>
      <w:r>
        <w:rPr>
          <w:b/>
        </w:rPr>
        <w:t xml:space="preserve">Trainer cue: </w:t>
      </w:r>
      <w:r>
        <w:rPr>
          <w:sz w:val="18"/>
        </w:rPr>
        <w:t>Keep every example centered on Avi — Bangalore, RR Nagar.</w:t>
      </w:r>
    </w:p>
    <w:p>
      <w:r>
        <w:br w:type="page"/>
      </w:r>
    </w:p>
    <w:p>
      <w:r>
        <w:rPr>
          <w:b/>
          <w:color w:val="14933B"/>
          <w:sz w:val="36"/>
        </w:rPr>
        <w:t>Slide 5 — Query the Embedded Relationship</w:t>
      </w:r>
    </w:p>
    <w:p>
      <w:r>
        <w:rPr>
          <w:b/>
          <w:color w:val="14933B"/>
        </w:rPr>
        <w:t xml:space="preserve">What to say: </w:t>
      </w:r>
      <w:r>
        <w:rPr>
          <w:sz w:val="20"/>
        </w:rPr>
        <w:t>Explain the query slowly. The first predicate identifies the parent Avi. The second predicate, addresses.type, reaches into the embedded array. Say that the application can ask for Avi when one of his embedded address objects has type office. Point out that the query is based on the document structure we just designed. The key teaching message is that embedding shapes the query path as well as the stored data.</w:t>
      </w:r>
    </w:p>
    <w:p>
      <w:r>
        <w:rPr>
          <w:b/>
        </w:rPr>
        <w:t xml:space="preserve">Trainer cue: </w:t>
      </w:r>
      <w:r>
        <w:rPr>
          <w:sz w:val="18"/>
        </w:rPr>
        <w:t>Keep every example centered on Avi — Bangalore, RR Nagar.</w:t>
      </w:r>
    </w:p>
    <w:p>
      <w:r>
        <w:rPr>
          <w:b/>
          <w:color w:val="14933B"/>
          <w:sz w:val="36"/>
        </w:rPr>
        <w:t>Slide 6 — Add Another Child with $push</w:t>
      </w:r>
    </w:p>
    <w:p>
      <w:r>
        <w:rPr>
          <w:b/>
          <w:color w:val="14933B"/>
        </w:rPr>
        <w:t xml:space="preserve">What to say: </w:t>
      </w:r>
      <w:r>
        <w:rPr>
          <w:sz w:val="20"/>
        </w:rPr>
        <w:t>Introduce $push as a way to append another object to the embedded array. Explain the three-step visual flow: locate Avi, append one new address, verify the result. Stress that the parent document is still the unit being updated. Use the new billing address only as another example for Avi. Avoid introducing unrelated update operators here so the lesson stays focused on the embedded one-to-many pattern.</w:t>
      </w:r>
    </w:p>
    <w:p>
      <w:r>
        <w:rPr>
          <w:b/>
        </w:rPr>
        <w:t xml:space="preserve">Trainer cue: </w:t>
      </w:r>
      <w:r>
        <w:rPr>
          <w:sz w:val="18"/>
        </w:rPr>
        <w:t>Keep every example centered on Avi — Bangalore, RR Nagar.</w:t>
      </w:r>
    </w:p>
    <w:p>
      <w:r>
        <w:rPr>
          <w:b/>
          <w:color w:val="14933B"/>
          <w:sz w:val="36"/>
        </w:rPr>
        <w:t>Slide 7 — Keep the Embedded Array Reasonably Bounded</w:t>
      </w:r>
    </w:p>
    <w:p>
      <w:r>
        <w:rPr>
          <w:b/>
          <w:color w:val="14933B"/>
        </w:rPr>
        <w:t xml:space="preserve">What to say: </w:t>
      </w:r>
      <w:r>
        <w:rPr>
          <w:sz w:val="20"/>
        </w:rPr>
        <w:t>Use the bar graphic to explain why growth matters. A small list of addresses remains easy to understand and access. Then explain the risk signals: the array can grow too large, the parent document can become very large, or the child records can become independent in how they are accessed and updated. Make the point that embedding is a lifecycle decision; the model should be revisited when the relationship changes.</w:t>
      </w:r>
    </w:p>
    <w:p>
      <w:r>
        <w:rPr>
          <w:b/>
        </w:rPr>
        <w:t xml:space="preserve">Trainer cue: </w:t>
      </w:r>
      <w:r>
        <w:rPr>
          <w:sz w:val="18"/>
        </w:rPr>
        <w:t>Keep every example centered on Avi — Bangalore, RR Nagar.</w:t>
      </w:r>
    </w:p>
    <w:p>
      <w:r>
        <w:br w:type="page"/>
      </w:r>
    </w:p>
    <w:p>
      <w:r>
        <w:rPr>
          <w:b/>
          <w:color w:val="14933B"/>
          <w:sz w:val="36"/>
        </w:rPr>
        <w:t>Slide 8 — Embedded Array vs Separate Child Collection</w:t>
      </w:r>
    </w:p>
    <w:p>
      <w:r>
        <w:rPr>
          <w:b/>
          <w:color w:val="14933B"/>
        </w:rPr>
        <w:t xml:space="preserve">What to say: </w:t>
      </w:r>
      <w:r>
        <w:rPr>
          <w:sz w:val="20"/>
        </w:rPr>
        <w:t>Present the two shapes without calling one universally better. On the embedded side, the relationship stays inside Avi’s document and co-access is simple. On the separate side, child records can grow and be accessed independently. Explain that the choice depends on access patterns, ownership, growth, and update behavior. Use Avi consistently and describe the alternative as a design option rather than a judgment.</w:t>
      </w:r>
    </w:p>
    <w:p>
      <w:r>
        <w:rPr>
          <w:b/>
        </w:rPr>
        <w:t xml:space="preserve">Trainer cue: </w:t>
      </w:r>
      <w:r>
        <w:rPr>
          <w:sz w:val="18"/>
        </w:rPr>
        <w:t>Keep every example centered on Avi — Bangalore, RR Nagar.</w:t>
      </w:r>
    </w:p>
    <w:p>
      <w:r>
        <w:rPr>
          <w:b/>
          <w:color w:val="14933B"/>
          <w:sz w:val="36"/>
        </w:rPr>
        <w:t>Slide 9 — Demo Focus</w:t>
      </w:r>
    </w:p>
    <w:p>
      <w:r>
        <w:rPr>
          <w:b/>
          <w:color w:val="14933B"/>
        </w:rPr>
        <w:t xml:space="preserve">What to say: </w:t>
      </w:r>
      <w:r>
        <w:rPr>
          <w:sz w:val="20"/>
        </w:rPr>
        <w:t>Tell learners the demo is deliberately small and topic-specific. First create the clean database, then insert one Avi document with several embedded address objects. Next show the document, query by an embedded child field, add another address, and inspect the result. While running the commands, ask learners to identify where the parent is and where the many side is. Reinforce that every command maps directly to a concept shown in the slides.</w:t>
      </w:r>
    </w:p>
    <w:p>
      <w:r>
        <w:rPr>
          <w:b/>
        </w:rPr>
        <w:t xml:space="preserve">Trainer cue: </w:t>
      </w:r>
      <w:r>
        <w:rPr>
          <w:sz w:val="18"/>
        </w:rPr>
        <w:t>Keep every example centered on Avi — Bangalore, RR Nagar.</w:t>
      </w:r>
    </w:p>
    <w:p>
      <w:r>
        <w:rPr>
          <w:b/>
          <w:color w:val="14933B"/>
          <w:sz w:val="36"/>
        </w:rPr>
        <w:t>Slide 10 — Graphic Summary</w:t>
      </w:r>
    </w:p>
    <w:p>
      <w:r>
        <w:rPr>
          <w:b/>
          <w:color w:val="14933B"/>
        </w:rPr>
        <w:t xml:space="preserve">What to say: </w:t>
      </w:r>
      <w:r>
        <w:rPr>
          <w:sz w:val="20"/>
        </w:rPr>
        <w:t>Use the flow from left to right as the final mental model: Avi is the parent, addresses[] is the embedded many side, the application queries through that document structure, and bounded growth keeps the model practical. Read the four numbered principles one at a time. Close by repeating the design principle: embed related items when they are bounded, parent-owned, and commonly accessed together. Transition to the next lesson by noting that the next design variation uses references instead of embedding.</w:t>
      </w:r>
    </w:p>
    <w:p>
      <w:r>
        <w:rPr>
          <w:b/>
        </w:rPr>
        <w:t xml:space="preserve">Trainer cue: </w:t>
      </w:r>
      <w:r>
        <w:rPr>
          <w:sz w:val="18"/>
        </w:rPr>
        <w:t>Keep every example centered on Avi — Bangalore, RR Nagar.</w:t>
      </w:r>
    </w:p>
    <w:sectPr w:rsidR="00FC693F" w:rsidRPr="0006063C"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