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2"/>
        </w:rPr>
        <w:t>Lesson 034</w:t>
      </w:r>
    </w:p>
    <w:p>
      <w:pPr>
        <w:jc w:val="center"/>
      </w:pPr>
      <w:r>
        <w:rPr>
          <w:b/>
          <w:sz w:val="46"/>
        </w:rPr>
        <w:t>Many-to-Many — References</w:t>
      </w:r>
    </w:p>
    <w:p>
      <w:pPr>
        <w:jc w:val="center"/>
      </w:pPr>
      <w:r>
        <w:rPr>
          <w:sz w:val="26"/>
        </w:rPr>
        <w:t>Model shared relationships with separate collections and identifiers</w:t>
      </w:r>
    </w:p>
    <w:p>
      <w:pPr>
        <w:jc w:val="center"/>
      </w:pPr>
      <w:r>
        <w:rPr>
          <w:color w:val="5A6460"/>
          <w:sz w:val="24"/>
        </w:rPr>
        <w:t>Example used throughout: Avi — Bangalore, RR Nagar</w:t>
      </w:r>
    </w:p>
    <w:p>
      <w:r>
        <w:br w:type="page"/>
      </w:r>
    </w:p>
    <w:p>
      <w:r>
        <w:rPr>
          <w:b/>
          <w:color w:val="14933B"/>
          <w:sz w:val="44"/>
        </w:rPr>
        <w:t>Overview</w:t>
      </w:r>
    </w:p>
    <w:p>
      <w:r>
        <w:t>A many-to-many relationship exists when multiple items on one side can relate to multiple items on the other side. In a reference-based MongoDB model, reusable entities are stored separately and linked through identifiers. This keeps the related entities independent and avoids copying the full entity into every parent document.</w:t>
      </w:r>
    </w:p>
    <w:p>
      <w:r>
        <w:rPr>
          <w:b/>
          <w:color w:val="14933B"/>
          <w:sz w:val="44"/>
        </w:rPr>
        <w:t>Example Model</w:t>
      </w:r>
    </w:p>
    <w:p>
      <w:r>
        <w:rPr>
          <w:rFonts w:ascii="Consolas" w:hAnsi="Consolas"/>
          <w:sz w:val="20"/>
        </w:rPr>
        <w:t>Avi</w:t>
        <w:br/>
        <w:t xml:space="preserve">  _id: A</w:t>
        <w:br/>
        <w:br/>
        <w:t>Project: MongoDB API</w:t>
        <w:br/>
        <w:t xml:space="preserve">  ownerId: A</w:t>
        <w:br/>
        <w:t xml:space="preserve">  technologyIds: [T1, T2]</w:t>
        <w:br/>
        <w:br/>
        <w:t>Technology T1: MongoDB</w:t>
        <w:br/>
        <w:t>Technology T2: Java</w:t>
      </w:r>
    </w:p>
    <w:p>
      <w:r>
        <w:rPr>
          <w:b/>
          <w:color w:val="14933B"/>
          <w:sz w:val="44"/>
        </w:rPr>
        <w:t>How the Reference Graph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Reference field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Points to</w:t>
            </w:r>
          </w:p>
        </w:tc>
      </w:tr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ownerId</w:t>
            </w:r>
          </w:p>
        </w:tc>
        <w:tc>
          <w:tcPr>
            <w:tcW w:type="dxa" w:w="3408"/>
          </w:tcPr>
          <w:p>
            <w:r>
              <w:t>Avi._id</w:t>
            </w:r>
          </w:p>
        </w:tc>
      </w:tr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technologyIds</w:t>
            </w:r>
          </w:p>
        </w:tc>
        <w:tc>
          <w:tcPr>
            <w:tcW w:type="dxa" w:w="3408"/>
          </w:tcPr>
          <w:p>
            <w:r>
              <w:t>Technology._id</w:t>
            </w:r>
          </w:p>
        </w:tc>
      </w:tr>
      <w:tr>
        <w:tc>
          <w:tcPr>
            <w:tcW w:type="dxa" w:w="3408"/>
          </w:tcPr>
          <w:p>
            <w:r>
              <w:t>Another Project</w:t>
            </w:r>
          </w:p>
        </w:tc>
        <w:tc>
          <w:tcPr>
            <w:tcW w:type="dxa" w:w="3408"/>
          </w:tcPr>
          <w:p>
            <w:r>
              <w:t>technologyIds</w:t>
            </w:r>
          </w:p>
        </w:tc>
        <w:tc>
          <w:tcPr>
            <w:tcW w:type="dxa" w:w="3408"/>
          </w:tcPr>
          <w:p>
            <w:r>
              <w:t>Same technology ids can be reused</w:t>
            </w:r>
          </w:p>
        </w:tc>
      </w:tr>
    </w:tbl>
    <w:p>
      <w:r>
        <w:rPr>
          <w:b/>
          <w:color w:val="14933B"/>
          <w:sz w:val="44"/>
        </w:rPr>
        <w:t>Why Use References</w:t>
      </w:r>
    </w:p>
    <w:p>
      <w:pPr>
        <w:pStyle w:val="ListBullet"/>
        <w:spacing w:after="40"/>
      </w:pPr>
      <w:r>
        <w:rPr>
          <w:sz w:val="22"/>
        </w:rPr>
        <w:t>Reusable entities can be stored once and referenced by multiple documents.</w:t>
      </w:r>
    </w:p>
    <w:p>
      <w:pPr>
        <w:pStyle w:val="ListBullet"/>
        <w:spacing w:after="40"/>
      </w:pPr>
      <w:r>
        <w:rPr>
          <w:sz w:val="22"/>
        </w:rPr>
        <w:t>Related entities can have independent lifecycle and access patterns.</w:t>
      </w:r>
    </w:p>
    <w:p>
      <w:pPr>
        <w:pStyle w:val="ListBullet"/>
        <w:spacing w:after="40"/>
      </w:pPr>
      <w:r>
        <w:rPr>
          <w:sz w:val="22"/>
        </w:rPr>
        <w:t>The parent document can remain focused while related data grows separately.</w:t>
      </w:r>
    </w:p>
    <w:p>
      <w:pPr>
        <w:pStyle w:val="ListBullet"/>
        <w:spacing w:after="40"/>
      </w:pPr>
      <w:r>
        <w:rPr>
          <w:sz w:val="22"/>
        </w:rPr>
        <w:t>A canonical entity can reduce repeated copies of the same information.</w:t>
      </w:r>
    </w:p>
    <w:p>
      <w:r>
        <w:rPr>
          <w:b/>
          <w:color w:val="14933B"/>
          <w:sz w:val="44"/>
        </w:rPr>
        <w:t>Creating the Graph</w:t>
      </w:r>
    </w:p>
    <w:p>
      <w:r>
        <w:rPr>
          <w:rFonts w:ascii="Consolas" w:hAnsi="Consolas"/>
          <w:sz w:val="19"/>
        </w:rPr>
        <w:t>const aviId = db.people.insertOne({</w:t>
        <w:br/>
        <w:t xml:space="preserve">  name: "Avi",</w:t>
        <w:br/>
        <w:t xml:space="preserve">  location: "Bangalore, RR Nagar"</w:t>
        <w:br/>
        <w:t>}).insertedId</w:t>
        <w:br/>
        <w:br/>
        <w:t>const mongoId = db.technologies.insertOne({</w:t>
        <w:br/>
        <w:t xml:space="preserve">  name: "MongoDB"</w:t>
        <w:br/>
        <w:t>}).insertedId</w:t>
        <w:br/>
        <w:br/>
        <w:t>db.projects.insertOne({</w:t>
        <w:br/>
        <w:t xml:space="preserve">  name: "MongoDB API",</w:t>
        <w:br/>
        <w:t xml:space="preserve">  ownerId: aviId,</w:t>
        <w:br/>
        <w:t xml:space="preserve">  technologyIds: [mongoId]</w:t>
        <w:br/>
        <w:t>})</w:t>
      </w:r>
    </w:p>
    <w:p>
      <w:r>
        <w:rPr>
          <w:b/>
          <w:color w:val="14933B"/>
          <w:sz w:val="44"/>
        </w:rPr>
        <w:t>Querying References</w:t>
      </w:r>
    </w:p>
    <w:p>
      <w:pPr>
        <w:pStyle w:val="ListBullet"/>
        <w:spacing w:after="40"/>
      </w:pPr>
      <w:r>
        <w:rPr>
          <w:sz w:val="22"/>
        </w:rPr>
        <w:t>Read Avi to obtain the parent identifier.</w:t>
      </w:r>
    </w:p>
    <w:p>
      <w:pPr>
        <w:pStyle w:val="ListBullet"/>
        <w:spacing w:after="40"/>
      </w:pPr>
      <w:r>
        <w:rPr>
          <w:sz w:val="22"/>
        </w:rPr>
        <w:t>Read a project using its ownerId.</w:t>
      </w:r>
    </w:p>
    <w:p>
      <w:pPr>
        <w:pStyle w:val="ListBullet"/>
        <w:spacing w:after="40"/>
      </w:pPr>
      <w:r>
        <w:rPr>
          <w:sz w:val="22"/>
        </w:rPr>
        <w:t>Use technologyIds to retrieve the related technology entities.</w:t>
      </w:r>
    </w:p>
    <w:p>
      <w:pPr>
        <w:pStyle w:val="ListBullet"/>
        <w:spacing w:after="40"/>
      </w:pPr>
      <w:r>
        <w:rPr>
          <w:sz w:val="22"/>
        </w:rPr>
        <w:t>The application resolves the graph through explicit identifiers.</w:t>
      </w:r>
    </w:p>
    <w:p>
      <w:r>
        <w:rPr>
          <w:b/>
          <w:color w:val="14933B"/>
          <w:sz w:val="44"/>
        </w:rPr>
        <w:t>Updating Shared Entities</w:t>
      </w:r>
    </w:p>
    <w:p>
      <w:r>
        <w:t>A shared technology can be updated in its own collection. Projects continue to point to the same identifier, so later reads can see the updated canonical entity.</w:t>
      </w:r>
    </w:p>
    <w:p>
      <w:r>
        <w:rPr>
          <w:b/>
          <w:color w:val="14933B"/>
          <w:sz w:val="44"/>
        </w:rPr>
        <w:t>Tradeoffs</w:t>
      </w:r>
    </w:p>
    <w:p>
      <w:pPr>
        <w:pStyle w:val="ListBullet"/>
        <w:spacing w:after="40"/>
      </w:pPr>
      <w:r>
        <w:rPr>
          <w:sz w:val="22"/>
        </w:rPr>
        <w:t>The application may need multiple reads to reconstruct the related view.</w:t>
      </w:r>
    </w:p>
    <w:p>
      <w:pPr>
        <w:pStyle w:val="ListBullet"/>
        <w:spacing w:after="40"/>
      </w:pPr>
      <w:r>
        <w:rPr>
          <w:sz w:val="22"/>
        </w:rPr>
        <w:t>Reference management is more explicit than embedding.</w:t>
      </w:r>
    </w:p>
    <w:p>
      <w:pPr>
        <w:pStyle w:val="ListBullet"/>
        <w:spacing w:after="40"/>
      </w:pPr>
      <w:r>
        <w:rPr>
          <w:sz w:val="22"/>
        </w:rPr>
        <w:t>Indexes on reference fields become important as the data grows.</w:t>
      </w:r>
    </w:p>
    <w:p>
      <w:pPr>
        <w:pStyle w:val="ListBullet"/>
        <w:spacing w:after="40"/>
      </w:pPr>
      <w:r>
        <w:rPr>
          <w:sz w:val="22"/>
        </w:rPr>
        <w:t>References fit especially well when related entities need reuse or independent lifecycle.</w:t>
      </w:r>
    </w:p>
    <w:p>
      <w:r>
        <w:rPr>
          <w:b/>
          <w:color w:val="14933B"/>
          <w:sz w:val="44"/>
        </w:rPr>
        <w:t>Key Takeaways</w:t>
      </w:r>
    </w:p>
    <w:p>
      <w:pPr>
        <w:pStyle w:val="ListBullet"/>
        <w:spacing w:after="40"/>
      </w:pPr>
      <w:r>
        <w:rPr>
          <w:sz w:val="22"/>
        </w:rPr>
        <w:t>Many-to-many can be modeled with separate collections and identifier references.</w:t>
      </w:r>
    </w:p>
    <w:p>
      <w:pPr>
        <w:pStyle w:val="ListBullet"/>
        <w:spacing w:after="40"/>
      </w:pPr>
      <w:r>
        <w:rPr>
          <w:sz w:val="22"/>
        </w:rPr>
        <w:t>Avi is the parent example; projects reference Avi and technologies through identifiers.</w:t>
      </w:r>
    </w:p>
    <w:p>
      <w:pPr>
        <w:pStyle w:val="ListBullet"/>
        <w:spacing w:after="40"/>
      </w:pPr>
      <w:r>
        <w:rPr>
          <w:sz w:val="22"/>
        </w:rPr>
        <w:t>The same technology entity can be reused by more than one project.</w:t>
      </w:r>
    </w:p>
    <w:p>
      <w:pPr>
        <w:pStyle w:val="ListBullet"/>
        <w:spacing w:after="40"/>
      </w:pPr>
      <w:r>
        <w:rPr>
          <w:sz w:val="22"/>
        </w:rPr>
        <w:t>Choose references when reuse, growth, or independent access outweighs embedded-read simplicity.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