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933B"/>
          <w:sz w:val="50"/>
        </w:rPr>
        <w:t>Lesson 034</w:t>
      </w:r>
    </w:p>
    <w:p>
      <w:pPr>
        <w:jc w:val="center"/>
      </w:pPr>
      <w:r>
        <w:rPr>
          <w:b/>
          <w:sz w:val="44"/>
        </w:rPr>
        <w:t>Many-to-Many — References</w:t>
      </w:r>
    </w:p>
    <w:p>
      <w:pPr>
        <w:jc w:val="center"/>
      </w:pPr>
      <w:r>
        <w:rPr>
          <w:sz w:val="26"/>
        </w:rPr>
        <w:t>Detailed speaker guide for training delivery</w:t>
      </w:r>
    </w:p>
    <w:p>
      <w:pPr>
        <w:jc w:val="center"/>
      </w:pPr>
      <w:r>
        <w:rPr>
          <w:color w:val="5A6460"/>
          <w:sz w:val="24"/>
        </w:rPr>
        <w:t>Example: Avi — Bangalore, RR Nagar</w:t>
      </w:r>
    </w:p>
    <w:p>
      <w:r>
        <w:br w:type="page"/>
      </w:r>
    </w:p>
    <w:p>
      <w:r>
        <w:rPr>
          <w:b/>
          <w:color w:val="14933B"/>
          <w:sz w:val="36"/>
        </w:rPr>
        <w:t>Slide 1 — Title</w:t>
      </w:r>
    </w:p>
    <w:p>
      <w:r>
        <w:rPr>
          <w:b/>
          <w:color w:val="14933B"/>
          <w:sz w:val="22"/>
        </w:rPr>
        <w:t xml:space="preserve">What to say: </w:t>
      </w:r>
      <w:r>
        <w:rPr>
          <w:sz w:val="22"/>
        </w:rPr>
        <w:t>Introduce the lesson as the reference-based version of a many-to-many relationship. Explain that the related entities are stored separately and connected using identifiers. Point to Avi as the parent, then to MongoDB, Java, and Python as shared related entities.</w:t>
      </w:r>
    </w:p>
    <w:p>
      <w:r>
        <w:rPr>
          <w:b/>
          <w:color w:val="14933B"/>
          <w:sz w:val="22"/>
        </w:rPr>
        <w:t xml:space="preserve">Key training points: </w:t>
      </w:r>
      <w:r>
        <w:rPr>
          <w:sz w:val="22"/>
        </w:rPr>
        <w:t>Keep the example centered on Avi in Bangalore, RR Nagar. The goal is to understand the reference graph, not to introduce a new business domain.</w:t>
      </w:r>
    </w:p>
    <w:p>
      <w:r>
        <w:rPr>
          <w:b/>
          <w:color w:val="14933B"/>
          <w:sz w:val="22"/>
        </w:rPr>
        <w:t xml:space="preserve">Question / interaction: </w:t>
      </w:r>
      <w:r>
        <w:rPr>
          <w:sz w:val="22"/>
        </w:rPr>
        <w:t>Ask: What connects the separate documents? The identifiers stored in the reference fields.</w:t>
      </w:r>
    </w:p>
    <w:p>
      <w:r>
        <w:rPr>
          <w:b/>
          <w:color w:val="14933B"/>
          <w:sz w:val="22"/>
        </w:rPr>
        <w:t xml:space="preserve">Transition: </w:t>
      </w:r>
      <w:r>
        <w:rPr>
          <w:sz w:val="22"/>
        </w:rPr>
        <w:t>Transition: Define why the relationship is called many-to-many.</w:t>
      </w:r>
    </w:p>
    <w:p>
      <w:r>
        <w:rPr>
          <w:b/>
          <w:color w:val="14933B"/>
          <w:sz w:val="36"/>
        </w:rPr>
        <w:t>Slide 2 — What Makes a Relationship Many-to-Many?</w:t>
      </w:r>
    </w:p>
    <w:p>
      <w:r>
        <w:rPr>
          <w:b/>
          <w:color w:val="14933B"/>
          <w:sz w:val="22"/>
        </w:rPr>
        <w:t xml:space="preserve">What to say: </w:t>
      </w:r>
      <w:r>
        <w:rPr>
          <w:sz w:val="22"/>
        </w:rPr>
        <w:t>Explain that many-to-many means multiple items can participate on both sides of the relationship. A project can use several technologies, and a technology can be reused by several projects. The diagram shows the possible connections.</w:t>
      </w:r>
    </w:p>
    <w:p>
      <w:r>
        <w:rPr>
          <w:b/>
          <w:color w:val="14933B"/>
          <w:sz w:val="22"/>
        </w:rPr>
        <w:t xml:space="preserve">Key training points: </w:t>
      </w:r>
      <w:r>
        <w:rPr>
          <w:sz w:val="22"/>
        </w:rPr>
        <w:t>Separate relationship cardinality from storage strategy. 'Many-to-many' describes how entities relate. 'References' describes how the relationship is represented in stored documents.</w:t>
      </w:r>
    </w:p>
    <w:p>
      <w:r>
        <w:rPr>
          <w:b/>
          <w:color w:val="14933B"/>
          <w:sz w:val="22"/>
        </w:rPr>
        <w:t xml:space="preserve">Question / interaction: </w:t>
      </w:r>
      <w:r>
        <w:rPr>
          <w:sz w:val="22"/>
        </w:rPr>
        <w:t>Ask: Can the same technology be used by multiple projects? Yes. That is one side of the many-to-many relationship.</w:t>
      </w:r>
    </w:p>
    <w:p>
      <w:r>
        <w:rPr>
          <w:b/>
          <w:color w:val="14933B"/>
          <w:sz w:val="22"/>
        </w:rPr>
        <w:t xml:space="preserve">Transition: </w:t>
      </w:r>
      <w:r>
        <w:rPr>
          <w:sz w:val="22"/>
        </w:rPr>
        <w:t>Transition: Put the idea into Avi's document structure.</w:t>
      </w:r>
    </w:p>
    <w:p>
      <w:r>
        <w:rPr>
          <w:b/>
          <w:color w:val="14933B"/>
          <w:sz w:val="36"/>
        </w:rPr>
        <w:t>Slide 3 — Example Model: Avi and Technologies</w:t>
      </w:r>
    </w:p>
    <w:p>
      <w:r>
        <w:rPr>
          <w:b/>
          <w:color w:val="14933B"/>
          <w:sz w:val="22"/>
        </w:rPr>
        <w:t xml:space="preserve">What to say: </w:t>
      </w:r>
      <w:r>
        <w:rPr>
          <w:sz w:val="22"/>
        </w:rPr>
        <w:t>Walk through the three document types. Avi has an _id. A project stores ownerId and technologyIds. A technology has its own _id. Explain that the identifiers, rather than duplicated technology objects, form the connection.</w:t>
      </w:r>
    </w:p>
    <w:p>
      <w:r>
        <w:rPr>
          <w:b/>
          <w:color w:val="14933B"/>
          <w:sz w:val="22"/>
        </w:rPr>
        <w:t xml:space="preserve">Key training points: </w:t>
      </w:r>
      <w:r>
        <w:rPr>
          <w:sz w:val="22"/>
        </w:rPr>
        <w:t>Point out the reference chain: project.ownerId points to Avi._id; project.technologyIds point to technology._id values.</w:t>
      </w:r>
    </w:p>
    <w:p>
      <w:r>
        <w:rPr>
          <w:b/>
          <w:color w:val="14933B"/>
          <w:sz w:val="22"/>
        </w:rPr>
        <w:t xml:space="preserve">Question / interaction: </w:t>
      </w:r>
      <w:r>
        <w:rPr>
          <w:sz w:val="22"/>
        </w:rPr>
        <w:t>Ask learners to trace T1 from the project to the technology document.</w:t>
      </w:r>
    </w:p>
    <w:p>
      <w:r>
        <w:rPr>
          <w:b/>
          <w:color w:val="14933B"/>
          <w:sz w:val="22"/>
        </w:rPr>
        <w:t xml:space="preserve">Transition: </w:t>
      </w:r>
      <w:r>
        <w:rPr>
          <w:sz w:val="22"/>
        </w:rPr>
        <w:t>Transition: Explain why a team may choose this approach.</w:t>
      </w:r>
    </w:p>
    <w:p>
      <w:r>
        <w:rPr>
          <w:b/>
          <w:color w:val="14933B"/>
          <w:sz w:val="36"/>
        </w:rPr>
        <w:t>Slide 4 — Where References Help</w:t>
      </w:r>
    </w:p>
    <w:p>
      <w:r>
        <w:rPr>
          <w:b/>
          <w:color w:val="14933B"/>
          <w:sz w:val="22"/>
        </w:rPr>
        <w:t xml:space="preserve">What to say: </w:t>
      </w:r>
      <w:r>
        <w:rPr>
          <w:sz w:val="22"/>
        </w:rPr>
        <w:t>Explain the four signals. Independent means shared entities can be read on their own. Reusable means one technology can be linked from multiple projects. Growth means related entities can expand outside the parent document. Consistency means one canonical entity can be maintained in one place.</w:t>
      </w:r>
    </w:p>
    <w:p>
      <w:r>
        <w:rPr>
          <w:b/>
          <w:color w:val="14933B"/>
          <w:sz w:val="22"/>
        </w:rPr>
        <w:t xml:space="preserve">Key training points: </w:t>
      </w:r>
      <w:r>
        <w:rPr>
          <w:sz w:val="22"/>
        </w:rPr>
        <w:t>Use the same Avi example for every point. Avoid switching to another person or unrelated domain.</w:t>
      </w:r>
    </w:p>
    <w:p>
      <w:r>
        <w:rPr>
          <w:b/>
          <w:color w:val="14933B"/>
          <w:sz w:val="22"/>
        </w:rPr>
        <w:t xml:space="preserve">Question / interaction: </w:t>
      </w:r>
      <w:r>
        <w:rPr>
          <w:sz w:val="22"/>
        </w:rPr>
        <w:t>Ask: Which benefit is most closely tied to avoiding duplicated full entity copies? A canonical reusable entity.</w:t>
      </w:r>
    </w:p>
    <w:p>
      <w:r>
        <w:rPr>
          <w:b/>
          <w:color w:val="14933B"/>
          <w:sz w:val="22"/>
        </w:rPr>
        <w:t xml:space="preserve">Transition: </w:t>
      </w:r>
      <w:r>
        <w:rPr>
          <w:sz w:val="22"/>
        </w:rPr>
        <w:t>Transition: Now create the graph in mongosh.</w:t>
      </w:r>
    </w:p>
    <w:p>
      <w:r>
        <w:rPr>
          <w:b/>
          <w:color w:val="14933B"/>
          <w:sz w:val="36"/>
        </w:rPr>
        <w:t>Slide 5 — Building the Reference Graph</w:t>
      </w:r>
    </w:p>
    <w:p>
      <w:r>
        <w:rPr>
          <w:b/>
          <w:color w:val="14933B"/>
          <w:sz w:val="22"/>
        </w:rPr>
        <w:t xml:space="preserve">What to say: </w:t>
      </w:r>
      <w:r>
        <w:rPr>
          <w:sz w:val="22"/>
        </w:rPr>
        <w:t>Walk through the creation order. Create Avi and capture aviId. Create the shared MongoDB technology and capture mongoId. Create the project with ownerId and technologyIds. Explain that the graph is built explicitly by storing identifiers.</w:t>
      </w:r>
    </w:p>
    <w:p>
      <w:r>
        <w:rPr>
          <w:b/>
          <w:color w:val="14933B"/>
          <w:sz w:val="22"/>
        </w:rPr>
        <w:t xml:space="preserve">Key training points: </w:t>
      </w:r>
      <w:r>
        <w:rPr>
          <w:sz w:val="22"/>
        </w:rPr>
        <w:t>Emphasize that identifiers are the link. MongoDB does not need to store the entire related technology inside the project document.</w:t>
      </w:r>
    </w:p>
    <w:p>
      <w:r>
        <w:rPr>
          <w:b/>
          <w:color w:val="14933B"/>
          <w:sz w:val="22"/>
        </w:rPr>
        <w:t xml:space="preserve">Question / interaction: </w:t>
      </w:r>
      <w:r>
        <w:rPr>
          <w:sz w:val="22"/>
        </w:rPr>
        <w:t>Ask: Which values are captured and reused? Avi's _id and the technology's _id.</w:t>
      </w:r>
    </w:p>
    <w:p>
      <w:r>
        <w:rPr>
          <w:b/>
          <w:color w:val="14933B"/>
          <w:sz w:val="22"/>
        </w:rPr>
        <w:t xml:space="preserve">Transition: </w:t>
      </w:r>
      <w:r>
        <w:rPr>
          <w:sz w:val="22"/>
        </w:rPr>
        <w:t>Transition: Once stored, the application must resolve the graph when it reads.</w:t>
      </w:r>
    </w:p>
    <w:p>
      <w:r>
        <w:rPr>
          <w:b/>
          <w:color w:val="14933B"/>
          <w:sz w:val="36"/>
        </w:rPr>
        <w:t>Slide 6 — Querying the Relationship</w:t>
      </w:r>
    </w:p>
    <w:p>
      <w:r>
        <w:rPr>
          <w:b/>
          <w:color w:val="14933B"/>
          <w:sz w:val="22"/>
        </w:rPr>
        <w:t xml:space="preserve">What to say: </w:t>
      </w:r>
      <w:r>
        <w:rPr>
          <w:sz w:val="22"/>
        </w:rPr>
        <w:t>Explain the three stages in the code: read the project, extract technologyIds, then query technologies with $in. The same idea applies to ownerId for Avi. The application is explicitly resolving related records.</w:t>
      </w:r>
    </w:p>
    <w:p>
      <w:r>
        <w:rPr>
          <w:b/>
          <w:color w:val="14933B"/>
          <w:sz w:val="22"/>
        </w:rPr>
        <w:t xml:space="preserve">Key training points: </w:t>
      </w:r>
      <w:r>
        <w:rPr>
          <w:sz w:val="22"/>
        </w:rPr>
        <w:t>Stress that a reference is not an automatic join. The application decides how and when related records are fetched.</w:t>
      </w:r>
    </w:p>
    <w:p>
      <w:r>
        <w:rPr>
          <w:b/>
          <w:color w:val="14933B"/>
          <w:sz w:val="22"/>
        </w:rPr>
        <w:t xml:space="preserve">Question / interaction: </w:t>
      </w:r>
      <w:r>
        <w:rPr>
          <w:sz w:val="22"/>
        </w:rPr>
        <w:t>Ask: What does $in do here? It finds documents whose _id matches any identifier in the project's technologyIds array.</w:t>
      </w:r>
    </w:p>
    <w:p>
      <w:r>
        <w:rPr>
          <w:b/>
          <w:color w:val="14933B"/>
          <w:sz w:val="22"/>
        </w:rPr>
        <w:t xml:space="preserve">Transition: </w:t>
      </w:r>
      <w:r>
        <w:rPr>
          <w:sz w:val="22"/>
        </w:rPr>
        <w:t>Transition: Show the value of canonical shared entities with an update.</w:t>
      </w:r>
    </w:p>
    <w:p>
      <w:r>
        <w:rPr>
          <w:b/>
          <w:color w:val="14933B"/>
          <w:sz w:val="36"/>
        </w:rPr>
        <w:t>Slide 7 — Updating a Shared Related Entity</w:t>
      </w:r>
    </w:p>
    <w:p>
      <w:r>
        <w:rPr>
          <w:b/>
          <w:color w:val="14933B"/>
          <w:sz w:val="22"/>
        </w:rPr>
        <w:t xml:space="preserve">What to say: </w:t>
      </w:r>
      <w:r>
        <w:rPr>
          <w:sz w:val="22"/>
        </w:rPr>
        <w:t>Explain that MongoDB is renamed to MongoDB Database in the technology collection. Projects still hold the same technology identifier. When an application reads the technology again, it sees the canonical updated value.</w:t>
      </w:r>
    </w:p>
    <w:p>
      <w:r>
        <w:rPr>
          <w:b/>
          <w:color w:val="14933B"/>
          <w:sz w:val="22"/>
        </w:rPr>
        <w:t xml:space="preserve">Key training points: </w:t>
      </w:r>
      <w:r>
        <w:rPr>
          <w:sz w:val="22"/>
        </w:rPr>
        <w:t>Point out the consistency advantage: one entity is maintained in one place instead of copying its full details into many projects.</w:t>
      </w:r>
    </w:p>
    <w:p>
      <w:r>
        <w:rPr>
          <w:b/>
          <w:color w:val="14933B"/>
          <w:sz w:val="22"/>
        </w:rPr>
        <w:t xml:space="preserve">Question / interaction: </w:t>
      </w:r>
      <w:r>
        <w:rPr>
          <w:sz w:val="22"/>
        </w:rPr>
        <w:t>Ask: Do projects need a new technologyId after the rename? No. The identifier is unchanged.</w:t>
      </w:r>
    </w:p>
    <w:p>
      <w:r>
        <w:rPr>
          <w:b/>
          <w:color w:val="14933B"/>
          <w:sz w:val="22"/>
        </w:rPr>
        <w:t xml:space="preserve">Transition: </w:t>
      </w:r>
      <w:r>
        <w:rPr>
          <w:sz w:val="22"/>
        </w:rPr>
        <w:t>Transition: Compare this with the embedded alternative.</w:t>
      </w:r>
    </w:p>
    <w:p>
      <w:r>
        <w:rPr>
          <w:b/>
          <w:color w:val="14933B"/>
          <w:sz w:val="36"/>
        </w:rPr>
        <w:t>Slide 8 — Embedded vs References for Many-to-Many</w:t>
      </w:r>
    </w:p>
    <w:p>
      <w:r>
        <w:rPr>
          <w:b/>
          <w:color w:val="14933B"/>
          <w:sz w:val="22"/>
        </w:rPr>
        <w:t xml:space="preserve">What to say: </w:t>
      </w:r>
      <w:r>
        <w:rPr>
          <w:sz w:val="22"/>
        </w:rPr>
        <w:t>Present the two approaches as tradeoffs. Embedded is centered on simple parent reads and bounded data, but can duplicate values. References keep shared entities separate and reusable, but require explicit relationship resolution.</w:t>
      </w:r>
    </w:p>
    <w:p>
      <w:r>
        <w:rPr>
          <w:b/>
          <w:color w:val="14933B"/>
          <w:sz w:val="22"/>
        </w:rPr>
        <w:t xml:space="preserve">Key training points: </w:t>
      </w:r>
      <w:r>
        <w:rPr>
          <w:sz w:val="22"/>
        </w:rPr>
        <w:t>Do not present one as universally correct. Tell learners to use access pattern, growth, reuse, and lifecycle as the decision inputs.</w:t>
      </w:r>
    </w:p>
    <w:p>
      <w:r>
        <w:rPr>
          <w:b/>
          <w:color w:val="14933B"/>
          <w:sz w:val="22"/>
        </w:rPr>
        <w:t xml:space="preserve">Question / interaction: </w:t>
      </w:r>
      <w:r>
        <w:rPr>
          <w:sz w:val="22"/>
        </w:rPr>
        <w:t>Ask: Which approach naturally supports a canonical shared technology document? References.</w:t>
      </w:r>
    </w:p>
    <w:p>
      <w:r>
        <w:rPr>
          <w:b/>
          <w:color w:val="14933B"/>
          <w:sz w:val="22"/>
        </w:rPr>
        <w:t xml:space="preserve">Transition: </w:t>
      </w:r>
      <w:r>
        <w:rPr>
          <w:sz w:val="22"/>
        </w:rPr>
        <w:t>Transition: Run the complete Avi demo.</w:t>
      </w:r>
    </w:p>
    <w:p>
      <w:r>
        <w:rPr>
          <w:b/>
          <w:color w:val="14933B"/>
          <w:sz w:val="36"/>
        </w:rPr>
        <w:t>Slide 9 — Demo Walkthrough: Avi's Reference Graph</w:t>
      </w:r>
    </w:p>
    <w:p>
      <w:r>
        <w:rPr>
          <w:b/>
          <w:color w:val="14933B"/>
          <w:sz w:val="22"/>
        </w:rPr>
        <w:t xml:space="preserve">What to say: </w:t>
      </w:r>
      <w:r>
        <w:rPr>
          <w:sz w:val="22"/>
        </w:rPr>
        <w:t>Run the demo in order. Create Avi, create MongoDB and Java technology documents, create two projects that reference Avi and reuse Java, query Avi's projects, resolve technologyIds, update MongoDB, and verify that the same identifier is still referenced.</w:t>
      </w:r>
    </w:p>
    <w:p>
      <w:r>
        <w:rPr>
          <w:b/>
          <w:color w:val="14933B"/>
          <w:sz w:val="22"/>
        </w:rPr>
        <w:t xml:space="preserve">Key training points: </w:t>
      </w:r>
      <w:r>
        <w:rPr>
          <w:sz w:val="22"/>
        </w:rPr>
        <w:t>Pause after creating the projects to show that the same javaId is stored in more than one project. This is a concrete demonstration of many-to-many reuse.</w:t>
      </w:r>
    </w:p>
    <w:p>
      <w:r>
        <w:rPr>
          <w:b/>
          <w:color w:val="14933B"/>
          <w:sz w:val="22"/>
        </w:rPr>
        <w:t xml:space="preserve">Question / interaction: </w:t>
      </w:r>
      <w:r>
        <w:rPr>
          <w:sz w:val="22"/>
        </w:rPr>
        <w:t>Trainer tip: keep narration attached to each identifier so learners see exactly how the graph is created and resolved.</w:t>
      </w:r>
    </w:p>
    <w:p>
      <w:r>
        <w:rPr>
          <w:b/>
          <w:color w:val="14933B"/>
          <w:sz w:val="22"/>
        </w:rPr>
        <w:t xml:space="preserve">Transition: </w:t>
      </w:r>
      <w:r>
        <w:rPr>
          <w:sz w:val="22"/>
        </w:rPr>
        <w:t>Transition: Summarize the entire pattern visually.</w:t>
      </w:r>
    </w:p>
    <w:p>
      <w:r>
        <w:rPr>
          <w:b/>
          <w:color w:val="14933B"/>
          <w:sz w:val="36"/>
        </w:rPr>
        <w:t>Slide 10 — Summary</w:t>
      </w:r>
    </w:p>
    <w:p>
      <w:r>
        <w:rPr>
          <w:b/>
          <w:color w:val="14933B"/>
          <w:sz w:val="22"/>
        </w:rPr>
        <w:t xml:space="preserve">What to say: </w:t>
      </w:r>
      <w:r>
        <w:rPr>
          <w:sz w:val="22"/>
        </w:rPr>
        <w:t>Walk left to right through Avi, project references, technology identifiers, and separate access. Restate the four ideas: separate entities, identifiers, application-side resolution, and lifecycle independence.</w:t>
      </w:r>
    </w:p>
    <w:p>
      <w:r>
        <w:rPr>
          <w:b/>
          <w:color w:val="14933B"/>
          <w:sz w:val="22"/>
        </w:rPr>
        <w:t xml:space="preserve">Key training points: </w:t>
      </w:r>
      <w:r>
        <w:rPr>
          <w:sz w:val="22"/>
        </w:rPr>
        <w:t>Close with the modeling principle: use references when shared entities need reuse, independent access, or independent growth.</w:t>
      </w:r>
    </w:p>
    <w:p>
      <w:r>
        <w:rPr>
          <w:b/>
          <w:color w:val="14933B"/>
          <w:sz w:val="22"/>
        </w:rPr>
        <w:t xml:space="preserve">Question / interaction: </w:t>
      </w:r>
      <w:r>
        <w:rPr>
          <w:sz w:val="22"/>
        </w:rPr>
        <w:t>Ask learners to explain the pattern in one sentence using Avi's example.</w:t>
      </w:r>
    </w:p>
    <w:p>
      <w:r>
        <w:rPr>
          <w:b/>
          <w:color w:val="14933B"/>
          <w:sz w:val="22"/>
        </w:rPr>
        <w:t xml:space="preserve">Transition: </w:t>
      </w:r>
      <w:r>
        <w:rPr>
          <w:sz w:val="22"/>
        </w:rPr>
        <w:t>Closing: A reference-based many-to-many model stores the entities separately and uses identifiers to connect the graph.</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