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2"/>
        </w:rPr>
        <w:t>Lesson 035</w:t>
      </w:r>
    </w:p>
    <w:p>
      <w:pPr>
        <w:jc w:val="center"/>
      </w:pPr>
      <w:r>
        <w:rPr>
          <w:b/>
          <w:sz w:val="46"/>
        </w:rPr>
        <w:t>Summarizing Relations</w:t>
      </w:r>
    </w:p>
    <w:p>
      <w:pPr>
        <w:jc w:val="center"/>
      </w:pPr>
      <w:r>
        <w:rPr>
          <w:sz w:val="26"/>
        </w:rPr>
        <w:t>A practical framework for choosing embedded and referenced relationship shapes</w:t>
      </w:r>
    </w:p>
    <w:p>
      <w:pPr>
        <w:jc w:val="center"/>
      </w:pPr>
      <w:r>
        <w:rPr>
          <w:color w:val="5A6460"/>
          <w:sz w:val="24"/>
        </w:rPr>
        <w:t>Example used throughout: Avi — Bangalore, RR Nagar</w:t>
      </w:r>
    </w:p>
    <w:p>
      <w:r>
        <w:br w:type="page"/>
      </w:r>
    </w:p>
    <w:p>
      <w:r>
        <w:rPr>
          <w:b/>
          <w:color w:val="14933B"/>
          <w:sz w:val="44"/>
        </w:rPr>
        <w:t>Overview</w:t>
      </w:r>
    </w:p>
    <w:p>
      <w:r>
        <w:t>MongoDB relationship design is easier to reason about when four questions are considered together: what is the relationship cardinality, how is the data read, how can the relationship grow, and who owns or updates the related data. The result may be an embedded document/array or a referenced document/collection.</w:t>
      </w:r>
    </w:p>
    <w:p>
      <w:r>
        <w:rPr>
          <w:b/>
          <w:color w:val="14933B"/>
          <w:sz w:val="44"/>
        </w:rPr>
        <w:t>Relationship Summary</w:t>
      </w:r>
    </w:p>
    <w:tbl>
      <w:tblPr>
        <w:tblW w:type="auto" w:w="0"/>
        <w:jc w:val="center"/>
        <w:tblLook w:firstColumn="1" w:firstRow="1" w:lastColumn="0" w:lastRow="0" w:noHBand="0" w:noVBand="1" w:val="04A0"/>
      </w:tblPr>
      <w:tblGrid>
        <w:gridCol w:w="2556"/>
        <w:gridCol w:w="2556"/>
        <w:gridCol w:w="2556"/>
        <w:gridCol w:w="2556"/>
      </w:tblGrid>
      <w:tr>
        <w:tc>
          <w:tcPr>
            <w:tcW w:type="dxa" w:w="2556"/>
            <w:shd w:fill="14933B"/>
          </w:tcPr>
          <w:p>
            <w:r>
              <w:rPr>
                <w:b/>
                <w:color w:val="FFFFFF"/>
              </w:rPr>
              <w:t>Relationship</w:t>
            </w:r>
          </w:p>
        </w:tc>
        <w:tc>
          <w:tcPr>
            <w:tcW w:type="dxa" w:w="2556"/>
            <w:shd w:fill="14933B"/>
          </w:tcPr>
          <w:p>
            <w:r>
              <w:rPr>
                <w:b/>
                <w:color w:val="FFFFFF"/>
              </w:rPr>
              <w:t>Typical shape</w:t>
            </w:r>
          </w:p>
        </w:tc>
        <w:tc>
          <w:tcPr>
            <w:tcW w:type="dxa" w:w="2556"/>
            <w:shd w:fill="14933B"/>
          </w:tcPr>
          <w:p>
            <w:r>
              <w:rPr>
                <w:b/>
                <w:color w:val="FFFFFF"/>
              </w:rPr>
              <w:t>Use embedded when</w:t>
            </w:r>
          </w:p>
        </w:tc>
        <w:tc>
          <w:tcPr>
            <w:tcW w:type="dxa" w:w="2556"/>
            <w:shd w:fill="14933B"/>
          </w:tcPr>
          <w:p>
            <w:r>
              <w:rPr>
                <w:b/>
                <w:color w:val="FFFFFF"/>
              </w:rPr>
              <w:t>Use references when</w:t>
            </w:r>
          </w:p>
        </w:tc>
      </w:tr>
      <w:tr>
        <w:tc>
          <w:tcPr>
            <w:tcW w:type="dxa" w:w="2556"/>
          </w:tcPr>
          <w:p>
            <w:r>
              <w:t>1:1</w:t>
            </w:r>
          </w:p>
        </w:tc>
        <w:tc>
          <w:tcPr>
            <w:tcW w:type="dxa" w:w="2556"/>
          </w:tcPr>
          <w:p>
            <w:r>
              <w:t>Embed / Reference</w:t>
            </w:r>
          </w:p>
        </w:tc>
        <w:tc>
          <w:tcPr>
            <w:tcW w:type="dxa" w:w="2556"/>
          </w:tcPr>
          <w:p>
            <w:r>
              <w:t>Tightly owned and co-read</w:t>
            </w:r>
          </w:p>
        </w:tc>
        <w:tc>
          <w:tcPr>
            <w:tcW w:type="dxa" w:w="2556"/>
          </w:tcPr>
          <w:p>
            <w:r>
              <w:t>Independent lifecycle or access</w:t>
            </w:r>
          </w:p>
        </w:tc>
      </w:tr>
      <w:tr>
        <w:tc>
          <w:tcPr>
            <w:tcW w:type="dxa" w:w="2556"/>
          </w:tcPr>
          <w:p>
            <w:r>
              <w:t>1:N</w:t>
            </w:r>
          </w:p>
        </w:tc>
        <w:tc>
          <w:tcPr>
            <w:tcW w:type="dxa" w:w="2556"/>
          </w:tcPr>
          <w:p>
            <w:r>
              <w:t>Embed / Reference</w:t>
            </w:r>
          </w:p>
        </w:tc>
        <w:tc>
          <w:tcPr>
            <w:tcW w:type="dxa" w:w="2556"/>
          </w:tcPr>
          <w:p>
            <w:r>
              <w:t>Bounded and co-read</w:t>
            </w:r>
          </w:p>
        </w:tc>
        <w:tc>
          <w:tcPr>
            <w:tcW w:type="dxa" w:w="2556"/>
          </w:tcPr>
          <w:p>
            <w:r>
              <w:t>Independent growth or child access</w:t>
            </w:r>
          </w:p>
        </w:tc>
      </w:tr>
      <w:tr>
        <w:tc>
          <w:tcPr>
            <w:tcW w:type="dxa" w:w="2556"/>
          </w:tcPr>
          <w:p>
            <w:r>
              <w:t>N:N</w:t>
            </w:r>
          </w:p>
        </w:tc>
        <w:tc>
          <w:tcPr>
            <w:tcW w:type="dxa" w:w="2556"/>
          </w:tcPr>
          <w:p>
            <w:r>
              <w:t>Embed / Reference</w:t>
            </w:r>
          </w:p>
        </w:tc>
        <w:tc>
          <w:tcPr>
            <w:tcW w:type="dxa" w:w="2556"/>
          </w:tcPr>
          <w:p>
            <w:r>
              <w:t>Small and duplication is acceptable</w:t>
            </w:r>
          </w:p>
        </w:tc>
        <w:tc>
          <w:tcPr>
            <w:tcW w:type="dxa" w:w="2556"/>
          </w:tcPr>
          <w:p>
            <w:r>
              <w:t>Shared reusable entities need canonical storage</w:t>
            </w:r>
          </w:p>
        </w:tc>
      </w:tr>
    </w:tbl>
    <w:p>
      <w:r>
        <w:rPr>
          <w:b/>
          <w:color w:val="14933B"/>
          <w:sz w:val="44"/>
        </w:rPr>
        <w:t>Decision Framework</w:t>
      </w:r>
    </w:p>
    <w:p>
      <w:pPr>
        <w:pStyle w:val="ListBullet"/>
        <w:spacing w:after="40"/>
      </w:pPr>
      <w:r>
        <w:rPr>
          <w:sz w:val="22"/>
        </w:rPr>
        <w:t>Cardinality: is it one-to-one, one-to-many, or many-to-many?</w:t>
      </w:r>
    </w:p>
    <w:p>
      <w:pPr>
        <w:pStyle w:val="ListBullet"/>
        <w:spacing w:after="40"/>
      </w:pPr>
      <w:r>
        <w:rPr>
          <w:sz w:val="22"/>
        </w:rPr>
        <w:t>Access: are parent and related values normally read together?</w:t>
      </w:r>
    </w:p>
    <w:p>
      <w:pPr>
        <w:pStyle w:val="ListBullet"/>
        <w:spacing w:after="40"/>
      </w:pPr>
      <w:r>
        <w:rPr>
          <w:sz w:val="22"/>
        </w:rPr>
        <w:t>Growth: is the related data bounded or independently growing?</w:t>
      </w:r>
    </w:p>
    <w:p>
      <w:pPr>
        <w:pStyle w:val="ListBullet"/>
        <w:spacing w:after="40"/>
      </w:pPr>
      <w:r>
        <w:rPr>
          <w:sz w:val="22"/>
        </w:rPr>
        <w:t>Lifecycle: are the related values owned and updated with the parent?</w:t>
      </w:r>
    </w:p>
    <w:p>
      <w:pPr>
        <w:pStyle w:val="ListBullet"/>
        <w:spacing w:after="40"/>
      </w:pPr>
      <w:r>
        <w:rPr>
          <w:sz w:val="22"/>
        </w:rPr>
        <w:t>Reuse: does the same related entity need to be shared by many parents?</w:t>
      </w:r>
    </w:p>
    <w:p>
      <w:r>
        <w:rPr>
          <w:b/>
          <w:color w:val="14933B"/>
          <w:sz w:val="44"/>
        </w:rPr>
        <w:t>Avi Example</w:t>
      </w:r>
    </w:p>
    <w:p>
      <w:r>
        <w:rPr>
          <w:rFonts w:ascii="Consolas" w:hAnsi="Consolas"/>
          <w:sz w:val="20"/>
        </w:rPr>
        <w:t>Avi — Bangalore, RR Nagar</w:t>
        <w:br/>
        <w:br/>
        <w:t>1:1 profile → embedded profile object</w:t>
        <w:br/>
        <w:t>1:N phones → embedded array when bounded</w:t>
        <w:br/>
        <w:t>1:N orders → separate collection when orders need independent lifecycle</w:t>
        <w:br/>
        <w:t>N:N project ↔ technology → references for reusable canonical entities, or embedding when duplication is small and controlled</w:t>
      </w:r>
    </w:p>
    <w:p>
      <w:r>
        <w:rPr>
          <w:b/>
          <w:color w:val="14933B"/>
          <w:sz w:val="44"/>
        </w:rPr>
        <w:t>Consistency and Growth</w:t>
      </w:r>
    </w:p>
    <w:p>
      <w:pPr>
        <w:pStyle w:val="ListBullet"/>
        <w:spacing w:after="40"/>
      </w:pPr>
      <w:r>
        <w:rPr>
          <w:sz w:val="22"/>
        </w:rPr>
        <w:t>Embedding can simplify reads but may duplicate related values.</w:t>
      </w:r>
    </w:p>
    <w:p>
      <w:pPr>
        <w:pStyle w:val="ListBullet"/>
        <w:spacing w:after="40"/>
      </w:pPr>
      <w:r>
        <w:rPr>
          <w:sz w:val="22"/>
        </w:rPr>
        <w:t>References preserve a canonical related entity but require explicit relationship resolution.</w:t>
      </w:r>
    </w:p>
    <w:p>
      <w:pPr>
        <w:pStyle w:val="ListBullet"/>
        <w:spacing w:after="40"/>
      </w:pPr>
      <w:r>
        <w:rPr>
          <w:sz w:val="22"/>
        </w:rPr>
        <w:t>Uncontrolled array growth is a warning sign for embedding.</w:t>
      </w:r>
    </w:p>
    <w:p>
      <w:pPr>
        <w:pStyle w:val="ListBullet"/>
        <w:spacing w:after="40"/>
      </w:pPr>
      <w:r>
        <w:rPr>
          <w:sz w:val="22"/>
        </w:rPr>
        <w:t>A related entity that is frequently accessed or updated independently may fit a separate collection.</w:t>
      </w:r>
    </w:p>
    <w:p>
      <w:r>
        <w:rPr>
          <w:b/>
          <w:color w:val="14933B"/>
          <w:sz w:val="44"/>
        </w:rPr>
        <w:t>Practical Summary</w:t>
      </w:r>
    </w:p>
    <w:p>
      <w:r>
        <w:t>For Avi, the relationship choice is not determined by cardinality alone. A one-to-many relationship such as phones may be embedded when it is small and read with Avi, while orders may be referenced when the order set can grow and orders have an independent lifecycle. Many-to-many relationships require extra attention to reuse and duplication.</w:t>
      </w:r>
    </w:p>
    <w:p>
      <w:r>
        <w:rPr>
          <w:b/>
          <w:color w:val="14933B"/>
          <w:sz w:val="44"/>
        </w:rPr>
        <w:t>Key Takeaways</w:t>
      </w:r>
    </w:p>
    <w:p>
      <w:pPr>
        <w:pStyle w:val="ListBullet"/>
        <w:spacing w:after="40"/>
      </w:pPr>
      <w:r>
        <w:rPr>
          <w:sz w:val="22"/>
        </w:rPr>
        <w:t>Start with cardinality, then evaluate access, growth, lifecycle, and reuse.</w:t>
      </w:r>
    </w:p>
    <w:p>
      <w:pPr>
        <w:pStyle w:val="ListBullet"/>
        <w:spacing w:after="40"/>
      </w:pPr>
      <w:r>
        <w:rPr>
          <w:sz w:val="22"/>
        </w:rPr>
        <w:t>Embedding favors bounded, co-read, parent-owned data.</w:t>
      </w:r>
    </w:p>
    <w:p>
      <w:pPr>
        <w:pStyle w:val="ListBullet"/>
        <w:spacing w:after="40"/>
      </w:pPr>
      <w:r>
        <w:rPr>
          <w:sz w:val="22"/>
        </w:rPr>
        <w:t>References favor reusable, independently growing, independently accessed data.</w:t>
      </w:r>
    </w:p>
    <w:p>
      <w:pPr>
        <w:pStyle w:val="ListBullet"/>
        <w:spacing w:after="40"/>
      </w:pPr>
      <w:r>
        <w:rPr>
          <w:sz w:val="22"/>
        </w:rPr>
        <w:t>The correct MongoDB relationship shape is the one that matches the application workload.</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