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037</w:t>
      </w:r>
    </w:p>
    <w:p>
      <w:pPr>
        <w:jc w:val="center"/>
      </w:pPr>
      <w:r>
        <w:rPr>
          <w:b/>
          <w:sz w:val="44"/>
        </w:rPr>
        <w:t>Implementing the Example Exercise</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Begin by connecting this lesson to the previous planning exercise. Explain that the team has already decided what should be represented and how the application will access it. The objective now is to implement exactly that plan as working MongoDB data. Walk across the four visual stages: build Avi, connect related data, exercise reads, and verify.</w:t>
      </w:r>
    </w:p>
    <w:p>
      <w:r>
        <w:rPr>
          <w:b/>
          <w:color w:val="14933B"/>
          <w:sz w:val="22"/>
        </w:rPr>
        <w:t xml:space="preserve">Key training points: </w:t>
      </w:r>
      <w:r>
        <w:rPr>
          <w:sz w:val="22"/>
        </w:rPr>
        <w:t>Emphasize that implementation should not invent a new schema. It should turn the reviewed plan into executable documents and queries.</w:t>
      </w:r>
    </w:p>
    <w:p>
      <w:r>
        <w:rPr>
          <w:b/>
          <w:color w:val="14933B"/>
          <w:sz w:val="22"/>
        </w:rPr>
        <w:t xml:space="preserve">Question / interaction: </w:t>
      </w:r>
      <w:r>
        <w:rPr>
          <w:sz w:val="22"/>
        </w:rPr>
        <w:t>Ask: What should change between planning and implementation? The artifact changes from a design description to real stored documents and working queries.</w:t>
      </w:r>
    </w:p>
    <w:p>
      <w:r>
        <w:rPr>
          <w:b/>
          <w:color w:val="14933B"/>
          <w:sz w:val="22"/>
        </w:rPr>
        <w:t xml:space="preserve">Transition: </w:t>
      </w:r>
      <w:r>
        <w:rPr>
          <w:sz w:val="22"/>
        </w:rPr>
        <w:t>Transition: Make the planned shape explicit before running any commands.</w:t>
      </w:r>
    </w:p>
    <w:p>
      <w:r>
        <w:rPr>
          <w:b/>
          <w:color w:val="14933B"/>
          <w:sz w:val="36"/>
        </w:rPr>
        <w:t>Slide 2 — Move from Plan to Working Model</w:t>
      </w:r>
    </w:p>
    <w:p>
      <w:r>
        <w:rPr>
          <w:b/>
          <w:color w:val="14933B"/>
          <w:sz w:val="22"/>
        </w:rPr>
        <w:t xml:space="preserve">What to say: </w:t>
      </w:r>
      <w:r>
        <w:rPr>
          <w:sz w:val="22"/>
        </w:rPr>
        <w:t>Explain the two columns. The left side is the approved plan: embedded profile and phones, separate projects, reusable technology entities. The right side is the implementation sequence. The learner should see a direct mapping from every plan decision to a concrete build step.</w:t>
      </w:r>
    </w:p>
    <w:p>
      <w:r>
        <w:rPr>
          <w:b/>
          <w:color w:val="14933B"/>
          <w:sz w:val="22"/>
        </w:rPr>
        <w:t xml:space="preserve">Key training points: </w:t>
      </w:r>
      <w:r>
        <w:rPr>
          <w:sz w:val="22"/>
        </w:rPr>
        <w:t>Reinforce that implementation is a translation exercise: requirements and access patterns become stored document shapes.</w:t>
      </w:r>
    </w:p>
    <w:p>
      <w:r>
        <w:rPr>
          <w:b/>
          <w:color w:val="14933B"/>
          <w:sz w:val="22"/>
        </w:rPr>
        <w:t xml:space="preserve">Question / interaction: </w:t>
      </w:r>
      <w:r>
        <w:rPr>
          <w:sz w:val="22"/>
        </w:rPr>
        <w:t>Ask learners to point to one planned decision and its corresponding implementation step.</w:t>
      </w:r>
    </w:p>
    <w:p>
      <w:r>
        <w:rPr>
          <w:b/>
          <w:color w:val="14933B"/>
          <w:sz w:val="22"/>
        </w:rPr>
        <w:t xml:space="preserve">Transition: </w:t>
      </w:r>
      <w:r>
        <w:rPr>
          <w:sz w:val="22"/>
        </w:rPr>
        <w:t>Transition: Implement Avi's parent document first.</w:t>
      </w:r>
    </w:p>
    <w:p>
      <w:r>
        <w:rPr>
          <w:b/>
          <w:color w:val="14933B"/>
          <w:sz w:val="36"/>
        </w:rPr>
        <w:t>Slide 3 — Implement Avi's Parent Document</w:t>
      </w:r>
    </w:p>
    <w:p>
      <w:r>
        <w:rPr>
          <w:b/>
          <w:color w:val="14933B"/>
          <w:sz w:val="22"/>
        </w:rPr>
        <w:t xml:space="preserve">What to say: </w:t>
      </w:r>
      <w:r>
        <w:rPr>
          <w:sz w:val="22"/>
        </w:rPr>
        <w:t>Walk through the insert command from top to bottom. Avi is the parent document. The profile object is embedded because it belongs to Avi and is read with Avi. The phone array is embedded because it is small and bounded. Location is kept explicit as part of Avi's information.</w:t>
      </w:r>
    </w:p>
    <w:p>
      <w:r>
        <w:rPr>
          <w:b/>
          <w:color w:val="14933B"/>
          <w:sz w:val="22"/>
        </w:rPr>
        <w:t xml:space="preserve">Key training points: </w:t>
      </w:r>
      <w:r>
        <w:rPr>
          <w:sz w:val="22"/>
        </w:rPr>
        <w:t>Point out that the generated aviId is captured because later project documents need to reference the parent. This is a direct example of carrying the planned relationship into implementation.</w:t>
      </w:r>
    </w:p>
    <w:p>
      <w:r>
        <w:rPr>
          <w:b/>
          <w:color w:val="14933B"/>
          <w:sz w:val="22"/>
        </w:rPr>
        <w:t xml:space="preserve">Question / interaction: </w:t>
      </w:r>
      <w:r>
        <w:rPr>
          <w:sz w:val="22"/>
        </w:rPr>
        <w:t>Ask: Which parts of this document were embedded and why? Profile and phones because the plan identified them as parent-owned and co-read.</w:t>
      </w:r>
    </w:p>
    <w:p>
      <w:r>
        <w:rPr>
          <w:b/>
          <w:color w:val="14933B"/>
          <w:sz w:val="22"/>
        </w:rPr>
        <w:t xml:space="preserve">Transition: </w:t>
      </w:r>
      <w:r>
        <w:rPr>
          <w:sz w:val="22"/>
        </w:rPr>
        <w:t>Transition: Next create the reusable technology entities separately.</w:t>
      </w:r>
    </w:p>
    <w:p>
      <w:r>
        <w:rPr>
          <w:b/>
          <w:color w:val="14933B"/>
          <w:sz w:val="36"/>
        </w:rPr>
        <w:t>Slide 4 — Implement Reusable Technology Documents</w:t>
      </w:r>
    </w:p>
    <w:p>
      <w:r>
        <w:rPr>
          <w:b/>
          <w:color w:val="14933B"/>
          <w:sz w:val="22"/>
        </w:rPr>
        <w:t xml:space="preserve">What to say: </w:t>
      </w:r>
      <w:r>
        <w:rPr>
          <w:sz w:val="22"/>
        </w:rPr>
        <w:t>Explain why MongoDB and Java are separate documents. They are reusable related entities, so each gets its own identifier. The identifiers become building blocks for project relationships.</w:t>
      </w:r>
    </w:p>
    <w:p>
      <w:r>
        <w:rPr>
          <w:b/>
          <w:color w:val="14933B"/>
          <w:sz w:val="22"/>
        </w:rPr>
        <w:t xml:space="preserve">Key training points: </w:t>
      </w:r>
      <w:r>
        <w:rPr>
          <w:sz w:val="22"/>
        </w:rPr>
        <w:t>Stress the concept of canonical storage: the technology details are kept in one place, while projects hold identifiers rather than copying the whole technology object.</w:t>
      </w:r>
    </w:p>
    <w:p>
      <w:r>
        <w:rPr>
          <w:b/>
          <w:color w:val="14933B"/>
          <w:sz w:val="22"/>
        </w:rPr>
        <w:t xml:space="preserve">Question / interaction: </w:t>
      </w:r>
      <w:r>
        <w:rPr>
          <w:sz w:val="22"/>
        </w:rPr>
        <w:t>Ask: Why capture mongoId and javaId? Because project documents need those identifiers to establish the relationship.</w:t>
      </w:r>
    </w:p>
    <w:p>
      <w:r>
        <w:rPr>
          <w:b/>
          <w:color w:val="14933B"/>
          <w:sz w:val="22"/>
        </w:rPr>
        <w:t xml:space="preserve">Transition: </w:t>
      </w:r>
      <w:r>
        <w:rPr>
          <w:sz w:val="22"/>
        </w:rPr>
        <w:t>Transition: Use the identifiers to build the project relationship.</w:t>
      </w:r>
    </w:p>
    <w:p>
      <w:r>
        <w:rPr>
          <w:b/>
          <w:color w:val="14933B"/>
          <w:sz w:val="36"/>
        </w:rPr>
        <w:t>Slide 5 — Implement the Project Relationship</w:t>
      </w:r>
    </w:p>
    <w:p>
      <w:r>
        <w:rPr>
          <w:b/>
          <w:color w:val="14933B"/>
          <w:sz w:val="22"/>
        </w:rPr>
        <w:t xml:space="preserve">What to say: </w:t>
      </w:r>
      <w:r>
        <w:rPr>
          <w:sz w:val="22"/>
        </w:rPr>
        <w:t>Walk through the project document. ownerId points to Avi. technologyIds contains the identifiers for MongoDB and Java. This single document therefore connects one parent to several reusable related entities.</w:t>
      </w:r>
    </w:p>
    <w:p>
      <w:r>
        <w:rPr>
          <w:b/>
          <w:color w:val="14933B"/>
          <w:sz w:val="22"/>
        </w:rPr>
        <w:t xml:space="preserve">Key training points: </w:t>
      </w:r>
      <w:r>
        <w:rPr>
          <w:sz w:val="22"/>
        </w:rPr>
        <w:t>Use the visual chain to reinforce the graph: Avi → project → technologies. Explain that the relationship is stored explicitly through identifiers.</w:t>
      </w:r>
    </w:p>
    <w:p>
      <w:r>
        <w:rPr>
          <w:b/>
          <w:color w:val="14933B"/>
          <w:sz w:val="22"/>
        </w:rPr>
        <w:t xml:space="preserve">Question / interaction: </w:t>
      </w:r>
      <w:r>
        <w:rPr>
          <w:sz w:val="22"/>
        </w:rPr>
        <w:t>Ask learners to identify the field that links the project to Avi and the field that links the project to technologies.</w:t>
      </w:r>
    </w:p>
    <w:p>
      <w:r>
        <w:rPr>
          <w:b/>
          <w:color w:val="14933B"/>
          <w:sz w:val="22"/>
        </w:rPr>
        <w:t xml:space="preserve">Transition: </w:t>
      </w:r>
      <w:r>
        <w:rPr>
          <w:sz w:val="22"/>
        </w:rPr>
        <w:t>Transition: Once the data is built, the planned access patterns should become the next test.</w:t>
      </w:r>
    </w:p>
    <w:p>
      <w:r>
        <w:rPr>
          <w:b/>
          <w:color w:val="14933B"/>
          <w:sz w:val="36"/>
        </w:rPr>
        <w:t>Slide 6 — Implement the Planned Access Patterns</w:t>
      </w:r>
    </w:p>
    <w:p>
      <w:r>
        <w:rPr>
          <w:b/>
          <w:color w:val="14933B"/>
          <w:sz w:val="22"/>
        </w:rPr>
        <w:t xml:space="preserve">What to say: </w:t>
      </w:r>
      <w:r>
        <w:rPr>
          <w:sz w:val="22"/>
        </w:rPr>
        <w:t>Explain that reads are not optional decoration. They are part of validating the model. Find Avi, then find Avi's projects using ownerId, then resolve the project's technologyIds. This sequence demonstrates that the implementation actually supports the workload defined in planning.</w:t>
      </w:r>
    </w:p>
    <w:p>
      <w:r>
        <w:rPr>
          <w:b/>
          <w:color w:val="14933B"/>
          <w:sz w:val="22"/>
        </w:rPr>
        <w:t xml:space="preserve">Key training points: </w:t>
      </w:r>
      <w:r>
        <w:rPr>
          <w:sz w:val="22"/>
        </w:rPr>
        <w:t>Call out that the same access patterns used during design are now used as acceptance checks after implementation.</w:t>
      </w:r>
    </w:p>
    <w:p>
      <w:r>
        <w:rPr>
          <w:b/>
          <w:color w:val="14933B"/>
          <w:sz w:val="22"/>
        </w:rPr>
        <w:t xml:space="preserve">Question / interaction: </w:t>
      </w:r>
      <w:r>
        <w:rPr>
          <w:sz w:val="22"/>
        </w:rPr>
        <w:t>Ask: Why do we resolve the technology identifiers separately? Because the related technology entities were deliberately stored independently.</w:t>
      </w:r>
    </w:p>
    <w:p>
      <w:r>
        <w:rPr>
          <w:b/>
          <w:color w:val="14933B"/>
          <w:sz w:val="22"/>
        </w:rPr>
        <w:t xml:space="preserve">Transition: </w:t>
      </w:r>
      <w:r>
        <w:rPr>
          <w:sz w:val="22"/>
        </w:rPr>
        <w:t>Transition: Add a normal write so the exercise includes an implementation lifecycle, then verify it.</w:t>
      </w:r>
    </w:p>
    <w:p>
      <w:r>
        <w:rPr>
          <w:b/>
          <w:color w:val="14933B"/>
          <w:sz w:val="36"/>
        </w:rPr>
        <w:t>Slide 7 — Implement a Real Change</w:t>
      </w:r>
    </w:p>
    <w:p>
      <w:r>
        <w:rPr>
          <w:b/>
          <w:color w:val="14933B"/>
          <w:sz w:val="22"/>
        </w:rPr>
        <w:t xml:space="preserve">What to say: </w:t>
      </w:r>
      <w:r>
        <w:rPr>
          <w:sz w:val="22"/>
        </w:rPr>
        <w:t>Use the update as a simple implementation test. The project receives a status field. Explain that the document can evolve through a normal update while its owner and technology relationship remain intact.</w:t>
      </w:r>
    </w:p>
    <w:p>
      <w:r>
        <w:rPr>
          <w:b/>
          <w:color w:val="14933B"/>
          <w:sz w:val="22"/>
        </w:rPr>
        <w:t xml:space="preserve">Key training points: </w:t>
      </w:r>
      <w:r>
        <w:rPr>
          <w:sz w:val="22"/>
        </w:rPr>
        <w:t>Keep the focus on implementation rather than validation or transactions. The goal is to prove that the planned document can support a real write path.</w:t>
      </w:r>
    </w:p>
    <w:p>
      <w:r>
        <w:rPr>
          <w:b/>
          <w:color w:val="14933B"/>
          <w:sz w:val="22"/>
        </w:rPr>
        <w:t xml:space="preserve">Question / interaction: </w:t>
      </w:r>
      <w:r>
        <w:rPr>
          <w:sz w:val="22"/>
        </w:rPr>
        <w:t>Ask: After this update, which relationship fields should remain unchanged? ownerId and technologyIds.</w:t>
      </w:r>
    </w:p>
    <w:p>
      <w:r>
        <w:rPr>
          <w:b/>
          <w:color w:val="14933B"/>
          <w:sz w:val="22"/>
        </w:rPr>
        <w:t xml:space="preserve">Transition: </w:t>
      </w:r>
      <w:r>
        <w:rPr>
          <w:sz w:val="22"/>
        </w:rPr>
        <w:t>Transition: Compare the final implementation back to the original plan.</w:t>
      </w:r>
    </w:p>
    <w:p>
      <w:r>
        <w:rPr>
          <w:b/>
          <w:color w:val="14933B"/>
          <w:sz w:val="36"/>
        </w:rPr>
        <w:t>Slide 8 — Compare Implementation with the Plan</w:t>
      </w:r>
    </w:p>
    <w:p>
      <w:r>
        <w:rPr>
          <w:b/>
          <w:color w:val="14933B"/>
          <w:sz w:val="22"/>
        </w:rPr>
        <w:t xml:space="preserve">What to say: </w:t>
      </w:r>
      <w:r>
        <w:rPr>
          <w:sz w:val="22"/>
        </w:rPr>
        <w:t>Walk the three layers. Requirements describe what Avi needs. Implementation creates the actual collections/documents. Access checks prove that the stored shape supports the intended reads. This is the core implementation loop.</w:t>
      </w:r>
    </w:p>
    <w:p>
      <w:r>
        <w:rPr>
          <w:b/>
          <w:color w:val="14933B"/>
          <w:sz w:val="22"/>
        </w:rPr>
        <w:t xml:space="preserve">Key training points: </w:t>
      </w:r>
      <w:r>
        <w:rPr>
          <w:sz w:val="22"/>
        </w:rPr>
        <w:t>Teach learners to look for traceability. A completed exercise should be explainable from requirement to document to query.</w:t>
      </w:r>
    </w:p>
    <w:p>
      <w:r>
        <w:rPr>
          <w:b/>
          <w:color w:val="14933B"/>
          <w:sz w:val="22"/>
        </w:rPr>
        <w:t xml:space="preserve">Question / interaction: </w:t>
      </w:r>
      <w:r>
        <w:rPr>
          <w:sz w:val="22"/>
        </w:rPr>
        <w:t>Ask: When can we call the exercise complete? When the implemented shape satisfies the planned access patterns and the stored data can be verified.</w:t>
      </w:r>
    </w:p>
    <w:p>
      <w:r>
        <w:rPr>
          <w:b/>
          <w:color w:val="14933B"/>
          <w:sz w:val="22"/>
        </w:rPr>
        <w:t xml:space="preserve">Transition: </w:t>
      </w:r>
      <w:r>
        <w:rPr>
          <w:sz w:val="22"/>
        </w:rPr>
        <w:t>Transition: Run the full implementation demo from a clean database.</w:t>
      </w:r>
    </w:p>
    <w:p>
      <w:r>
        <w:rPr>
          <w:b/>
          <w:color w:val="14933B"/>
          <w:sz w:val="36"/>
        </w:rPr>
        <w:t>Slide 9 — Demo Focus: Build the Exercise End to End</w:t>
      </w:r>
    </w:p>
    <w:p>
      <w:r>
        <w:rPr>
          <w:b/>
          <w:color w:val="14933B"/>
          <w:sz w:val="22"/>
        </w:rPr>
        <w:t xml:space="preserve">What to say: </w:t>
      </w:r>
      <w:r>
        <w:rPr>
          <w:sz w:val="22"/>
        </w:rPr>
        <w:t>Run the demo in sequence. Create the parent and capture aviId. Create reusable technology records and capture their ids. Create projects using ownerId and technologyIds. Run the planned reads. Apply one update. Verify the final state and counts.</w:t>
      </w:r>
    </w:p>
    <w:p>
      <w:r>
        <w:rPr>
          <w:b/>
          <w:color w:val="14933B"/>
          <w:sz w:val="22"/>
        </w:rPr>
        <w:t xml:space="preserve">Key training points: </w:t>
      </w:r>
      <w:r>
        <w:rPr>
          <w:sz w:val="22"/>
        </w:rPr>
        <w:t>Pause after each major stage so learners can observe the relationship identifiers. Keep the only person example as Avi — Bangalore, RR Nagar. Do not introduce another person.</w:t>
      </w:r>
    </w:p>
    <w:p>
      <w:r>
        <w:rPr>
          <w:b/>
          <w:color w:val="14933B"/>
          <w:sz w:val="22"/>
        </w:rPr>
        <w:t xml:space="preserve">Question / interaction: </w:t>
      </w:r>
      <w:r>
        <w:rPr>
          <w:sz w:val="22"/>
        </w:rPr>
        <w:t>Trainer tip: ask learners to predict what each query should return before running it.</w:t>
      </w:r>
    </w:p>
    <w:p>
      <w:r>
        <w:rPr>
          <w:b/>
          <w:color w:val="14933B"/>
          <w:sz w:val="22"/>
        </w:rPr>
        <w:t xml:space="preserve">Transition: </w:t>
      </w:r>
      <w:r>
        <w:rPr>
          <w:sz w:val="22"/>
        </w:rPr>
        <w:t>Transition: Finish with the visual implementation summary.</w:t>
      </w:r>
    </w:p>
    <w:p>
      <w:r>
        <w:rPr>
          <w:b/>
          <w:color w:val="14933B"/>
          <w:sz w:val="36"/>
        </w:rPr>
        <w:t>Slide 10 — Summary</w:t>
      </w:r>
    </w:p>
    <w:p>
      <w:r>
        <w:rPr>
          <w:b/>
          <w:color w:val="14933B"/>
          <w:sz w:val="22"/>
        </w:rPr>
        <w:t xml:space="preserve">What to say: </w:t>
      </w:r>
      <w:r>
        <w:rPr>
          <w:sz w:val="22"/>
        </w:rPr>
        <w:t>Walk left to right across the graphic: build the Avi document, connect identifiers, run the access patterns, and verify the result. The bottom row reinforces the implementation discipline: implement the planned shape, preserve relationship identifiers, exercise the planned reads, and verify before declaring success.</w:t>
      </w:r>
    </w:p>
    <w:p>
      <w:r>
        <w:rPr>
          <w:b/>
          <w:color w:val="14933B"/>
          <w:sz w:val="22"/>
        </w:rPr>
        <w:t xml:space="preserve">Key training points: </w:t>
      </w:r>
      <w:r>
        <w:rPr>
          <w:sz w:val="22"/>
        </w:rPr>
        <w:t>Remind learners that implementation is not just writing inserts. It includes proving that the stored structure supports the application's intended access patterns.</w:t>
      </w:r>
    </w:p>
    <w:p>
      <w:r>
        <w:rPr>
          <w:b/>
          <w:color w:val="14933B"/>
          <w:sz w:val="22"/>
        </w:rPr>
        <w:t xml:space="preserve">Question / interaction: </w:t>
      </w:r>
      <w:r>
        <w:rPr>
          <w:sz w:val="22"/>
        </w:rPr>
        <w:t>Ask learners to describe the implementation process in four words: build, link, read, verify.</w:t>
      </w:r>
    </w:p>
    <w:p>
      <w:r>
        <w:rPr>
          <w:b/>
          <w:color w:val="14933B"/>
          <w:sz w:val="22"/>
        </w:rPr>
        <w:t xml:space="preserve">Transition: </w:t>
      </w:r>
      <w:r>
        <w:rPr>
          <w:sz w:val="22"/>
        </w:rPr>
        <w:t>Closing: The next lesson can build further on the implemented relationship model.</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